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830" w:rsidRDefault="00604C4D" w:rsidP="007B058C">
      <w:pPr>
        <w:spacing w:after="0" w:line="360" w:lineRule="auto"/>
        <w:jc w:val="both"/>
        <w:rPr>
          <w:rFonts w:ascii="Arial" w:hAnsi="Arial"/>
        </w:rPr>
      </w:pPr>
      <w:r>
        <w:rPr>
          <w:rFonts w:ascii="Arial" w:hAnsi="Arial"/>
        </w:rPr>
        <w:t xml:space="preserve">Mérida, Yucatán, a </w:t>
      </w:r>
      <w:r w:rsidR="008D3D84">
        <w:rPr>
          <w:rFonts w:ascii="Arial" w:hAnsi="Arial"/>
        </w:rPr>
        <w:t>veinticinco</w:t>
      </w:r>
      <w:r w:rsidR="00B0500C">
        <w:rPr>
          <w:rFonts w:ascii="Arial" w:hAnsi="Arial"/>
        </w:rPr>
        <w:t xml:space="preserve"> de abril de dos mil dieciocho</w:t>
      </w:r>
      <w:r>
        <w:rPr>
          <w:rFonts w:ascii="Arial" w:hAnsi="Arial"/>
        </w:rPr>
        <w:t>. - - - - - - - - -</w:t>
      </w:r>
      <w:r w:rsidR="00E67495">
        <w:rPr>
          <w:rFonts w:ascii="Arial" w:hAnsi="Arial"/>
        </w:rPr>
        <w:t xml:space="preserve"> - - - - - - - - - - - - - -</w:t>
      </w:r>
      <w:r w:rsidR="00AD77F7">
        <w:rPr>
          <w:rFonts w:ascii="Arial" w:hAnsi="Arial"/>
        </w:rPr>
        <w:t xml:space="preserve"> - - - </w:t>
      </w:r>
      <w:r w:rsidR="00B51301">
        <w:rPr>
          <w:rFonts w:ascii="Arial" w:hAnsi="Arial"/>
        </w:rPr>
        <w:t xml:space="preserve">- - - - - - - - - - </w:t>
      </w:r>
    </w:p>
    <w:p w:rsidR="00FF5856" w:rsidRDefault="00FF5856" w:rsidP="007B058C">
      <w:pPr>
        <w:spacing w:after="0" w:line="360" w:lineRule="auto"/>
        <w:jc w:val="both"/>
        <w:rPr>
          <w:rFonts w:ascii="Arial" w:hAnsi="Arial"/>
        </w:rPr>
      </w:pPr>
    </w:p>
    <w:p w:rsidR="00B26AFE" w:rsidRDefault="00604C4D" w:rsidP="007B058C">
      <w:pPr>
        <w:spacing w:after="0" w:line="360" w:lineRule="auto"/>
        <w:jc w:val="both"/>
        <w:rPr>
          <w:rFonts w:ascii="Arial" w:hAnsi="Arial"/>
        </w:rPr>
      </w:pPr>
      <w:r>
        <w:rPr>
          <w:rFonts w:ascii="Arial" w:hAnsi="Arial"/>
        </w:rPr>
        <w:t xml:space="preserve">VISTOS: </w:t>
      </w:r>
      <w:r w:rsidR="00F72139" w:rsidRPr="00F72139">
        <w:rPr>
          <w:rFonts w:ascii="Arial" w:hAnsi="Arial"/>
        </w:rPr>
        <w:t>Tén</w:t>
      </w:r>
      <w:r w:rsidR="00E447BA">
        <w:rPr>
          <w:rFonts w:ascii="Arial" w:hAnsi="Arial"/>
        </w:rPr>
        <w:t>gase por presentada la denuncia</w:t>
      </w:r>
      <w:r w:rsidR="00B26AFE">
        <w:rPr>
          <w:rFonts w:ascii="Arial" w:hAnsi="Arial"/>
        </w:rPr>
        <w:t xml:space="preserve"> </w:t>
      </w:r>
      <w:r w:rsidR="00814421">
        <w:rPr>
          <w:rFonts w:ascii="Arial" w:hAnsi="Arial"/>
        </w:rPr>
        <w:t>contra la Secretaría de Seguridad Pública</w:t>
      </w:r>
      <w:r w:rsidR="007D3A56">
        <w:rPr>
          <w:rFonts w:ascii="Arial" w:hAnsi="Arial"/>
        </w:rPr>
        <w:t xml:space="preserve">, la cual fuera remita a </w:t>
      </w:r>
      <w:r w:rsidR="00B26AFE" w:rsidRPr="00F72139">
        <w:rPr>
          <w:rFonts w:ascii="Arial" w:hAnsi="Arial"/>
        </w:rPr>
        <w:t>este O</w:t>
      </w:r>
      <w:r w:rsidR="00B26AFE">
        <w:rPr>
          <w:rFonts w:ascii="Arial" w:hAnsi="Arial"/>
        </w:rPr>
        <w:t>rganismo Autónomo e</w:t>
      </w:r>
      <w:r w:rsidR="0029087E">
        <w:rPr>
          <w:rFonts w:ascii="Arial" w:hAnsi="Arial"/>
        </w:rPr>
        <w:t xml:space="preserve">l </w:t>
      </w:r>
      <w:r w:rsidR="00814421">
        <w:rPr>
          <w:rFonts w:ascii="Arial" w:hAnsi="Arial"/>
        </w:rPr>
        <w:t>dieci</w:t>
      </w:r>
      <w:r w:rsidR="0029087E">
        <w:rPr>
          <w:rFonts w:ascii="Arial" w:hAnsi="Arial"/>
        </w:rPr>
        <w:t>siete</w:t>
      </w:r>
      <w:r w:rsidR="00B26AFE">
        <w:rPr>
          <w:rFonts w:ascii="Arial" w:hAnsi="Arial"/>
        </w:rPr>
        <w:t xml:space="preserve"> del presente mes y año</w:t>
      </w:r>
      <w:r w:rsidR="00B26AFE" w:rsidRPr="00F72139">
        <w:rPr>
          <w:rFonts w:ascii="Arial" w:hAnsi="Arial"/>
        </w:rPr>
        <w:t>, a través de</w:t>
      </w:r>
      <w:r w:rsidR="00B26AFE">
        <w:rPr>
          <w:rFonts w:ascii="Arial" w:hAnsi="Arial"/>
        </w:rPr>
        <w:t>l sitio de Internet de</w:t>
      </w:r>
      <w:r w:rsidR="00B26AFE" w:rsidRPr="00F72139">
        <w:rPr>
          <w:rFonts w:ascii="Arial" w:hAnsi="Arial"/>
        </w:rPr>
        <w:t xml:space="preserve"> la Plataforma Nacional de Transparencia; agréguese a los autos del expediente al rubro citado, para los efectos legales correspondientes</w:t>
      </w:r>
      <w:r w:rsidR="00B26AFE">
        <w:rPr>
          <w:rFonts w:ascii="Arial" w:hAnsi="Arial"/>
        </w:rPr>
        <w:t>.</w:t>
      </w:r>
      <w:r w:rsidR="00F85E30">
        <w:rPr>
          <w:rFonts w:ascii="Arial" w:hAnsi="Arial"/>
        </w:rPr>
        <w:t xml:space="preserve"> - - - - - - - - - - - - - - - - - - - - - - - - - - - - - - </w:t>
      </w:r>
      <w:r w:rsidR="00B51301">
        <w:rPr>
          <w:rFonts w:ascii="Arial" w:hAnsi="Arial"/>
        </w:rPr>
        <w:t xml:space="preserve">- - - - - - - - - - - - - - - - - - - - - - - - - - - - - - - </w:t>
      </w:r>
      <w:bookmarkStart w:id="0" w:name="_GoBack"/>
      <w:bookmarkEnd w:id="0"/>
    </w:p>
    <w:p w:rsidR="00F85E30" w:rsidRDefault="00F85E30" w:rsidP="007B058C">
      <w:pPr>
        <w:spacing w:after="0" w:line="360" w:lineRule="auto"/>
        <w:jc w:val="both"/>
        <w:rPr>
          <w:rFonts w:ascii="Arial" w:hAnsi="Arial"/>
        </w:rPr>
      </w:pPr>
    </w:p>
    <w:p w:rsidR="00F85E30" w:rsidRDefault="00F85E30" w:rsidP="007B058C">
      <w:pPr>
        <w:spacing w:after="0" w:line="360" w:lineRule="auto"/>
        <w:jc w:val="both"/>
        <w:rPr>
          <w:rFonts w:ascii="Arial" w:hAnsi="Arial"/>
        </w:rPr>
      </w:pPr>
      <w:r>
        <w:rPr>
          <w:rFonts w:ascii="Arial" w:hAnsi="Arial"/>
        </w:rPr>
        <w:t xml:space="preserve">A </w:t>
      </w:r>
      <w:r w:rsidR="00485AD9">
        <w:rPr>
          <w:rFonts w:ascii="Arial" w:hAnsi="Arial"/>
        </w:rPr>
        <w:t>continuación,</w:t>
      </w:r>
      <w:r>
        <w:rPr>
          <w:rFonts w:ascii="Arial" w:hAnsi="Arial"/>
        </w:rPr>
        <w:t xml:space="preserve"> se procederá acordar sobre la denuncia en comento, en términos de los siguientes: </w:t>
      </w:r>
    </w:p>
    <w:p w:rsidR="0029087E" w:rsidRDefault="0029087E" w:rsidP="007B058C">
      <w:pPr>
        <w:spacing w:after="0" w:line="360" w:lineRule="auto"/>
        <w:jc w:val="both"/>
        <w:rPr>
          <w:rFonts w:ascii="Arial" w:hAnsi="Arial"/>
        </w:rPr>
      </w:pPr>
    </w:p>
    <w:p w:rsidR="00B26AFE" w:rsidRDefault="00B26AFE" w:rsidP="007B058C">
      <w:pPr>
        <w:spacing w:after="0" w:line="360" w:lineRule="auto"/>
        <w:jc w:val="center"/>
        <w:rPr>
          <w:rFonts w:ascii="Arial" w:hAnsi="Arial"/>
          <w:b/>
        </w:rPr>
      </w:pPr>
      <w:r>
        <w:rPr>
          <w:rFonts w:ascii="Arial" w:hAnsi="Arial"/>
          <w:b/>
        </w:rPr>
        <w:t>ANTECEDENTES</w:t>
      </w:r>
    </w:p>
    <w:p w:rsidR="00B26AFE" w:rsidRDefault="00B26AFE" w:rsidP="007B058C">
      <w:pPr>
        <w:spacing w:after="0" w:line="360" w:lineRule="auto"/>
        <w:jc w:val="center"/>
        <w:rPr>
          <w:rFonts w:ascii="Arial" w:hAnsi="Arial"/>
          <w:b/>
        </w:rPr>
      </w:pPr>
    </w:p>
    <w:p w:rsidR="00B26AFE" w:rsidRDefault="00B26AFE" w:rsidP="007B058C">
      <w:pPr>
        <w:spacing w:after="0" w:line="360" w:lineRule="auto"/>
        <w:jc w:val="both"/>
        <w:rPr>
          <w:rFonts w:ascii="Arial" w:hAnsi="Arial"/>
        </w:rPr>
      </w:pPr>
      <w:r>
        <w:rPr>
          <w:rFonts w:ascii="Arial" w:hAnsi="Arial"/>
          <w:b/>
        </w:rPr>
        <w:t xml:space="preserve">PRIMERO. </w:t>
      </w:r>
      <w:r w:rsidR="00F85E30">
        <w:rPr>
          <w:rFonts w:ascii="Arial" w:hAnsi="Arial"/>
        </w:rPr>
        <w:t>En fecha diecisiete de abril de dos mil dieciocho, a través de la Plataforma Nacional de Transparencia, se interpuso una denuncia contra la Secretaría de Seguridad Pública, en la cual se manifestó lo siguiente, respecto a dicho Sujeto Obligado:</w:t>
      </w:r>
    </w:p>
    <w:p w:rsidR="00A835D2" w:rsidRDefault="00A835D2" w:rsidP="007B058C">
      <w:pPr>
        <w:spacing w:after="0" w:line="360" w:lineRule="auto"/>
        <w:jc w:val="both"/>
        <w:rPr>
          <w:rFonts w:ascii="Arial" w:hAnsi="Arial"/>
        </w:rPr>
      </w:pPr>
    </w:p>
    <w:p w:rsidR="007D3A56" w:rsidRPr="008D3D84" w:rsidRDefault="007D3A56" w:rsidP="008D3D84">
      <w:pPr>
        <w:shd w:val="clear" w:color="auto" w:fill="FFFFFF"/>
        <w:spacing w:after="0" w:line="360" w:lineRule="auto"/>
        <w:ind w:left="567" w:right="567"/>
        <w:rPr>
          <w:rFonts w:ascii="Arial" w:eastAsia="Times New Roman" w:hAnsi="Arial" w:cs="Arial"/>
          <w:i/>
          <w:color w:val="222222"/>
          <w:lang w:eastAsia="es-MX"/>
        </w:rPr>
      </w:pPr>
      <w:r w:rsidRPr="00F85E30">
        <w:rPr>
          <w:rFonts w:ascii="Arial" w:hAnsi="Arial"/>
          <w:i/>
        </w:rPr>
        <w:t>“</w:t>
      </w:r>
      <w:r w:rsidR="008D3D84" w:rsidRPr="008D3D84">
        <w:rPr>
          <w:rFonts w:ascii="Arial" w:hAnsi="Arial" w:cs="Arial"/>
          <w:i/>
          <w:color w:val="222222"/>
          <w:shd w:val="clear" w:color="auto" w:fill="FFFFFF"/>
        </w:rPr>
        <w:t xml:space="preserve">no tiene </w:t>
      </w:r>
      <w:r w:rsidR="008D3D84">
        <w:rPr>
          <w:rFonts w:ascii="Arial" w:hAnsi="Arial" w:cs="Arial"/>
          <w:i/>
          <w:color w:val="222222"/>
          <w:shd w:val="clear" w:color="auto" w:fill="FFFFFF"/>
        </w:rPr>
        <w:t>información (Sic)</w:t>
      </w:r>
      <w:r w:rsidR="008D3D84" w:rsidRPr="008D3D84">
        <w:rPr>
          <w:rFonts w:ascii="Arial" w:hAnsi="Arial" w:cs="Arial"/>
          <w:i/>
          <w:color w:val="222222"/>
          <w:shd w:val="clear" w:color="auto" w:fill="FFFFFF"/>
        </w:rPr>
        <w:t xml:space="preserve"> actualizada al 31 marzo 2018</w:t>
      </w:r>
      <w:r w:rsidR="00F85E30" w:rsidRPr="008D3D84">
        <w:rPr>
          <w:rFonts w:ascii="Arial" w:eastAsia="Times New Roman" w:hAnsi="Arial" w:cs="Arial"/>
          <w:i/>
          <w:color w:val="222222"/>
          <w:lang w:eastAsia="es-MX"/>
        </w:rPr>
        <w:t>.”</w:t>
      </w:r>
    </w:p>
    <w:p w:rsidR="0029087E" w:rsidRDefault="0029087E" w:rsidP="007B058C">
      <w:pPr>
        <w:spacing w:after="0" w:line="360" w:lineRule="auto"/>
        <w:jc w:val="both"/>
        <w:rPr>
          <w:rFonts w:ascii="Arial" w:hAnsi="Arial" w:cs="Arial"/>
        </w:rPr>
      </w:pPr>
    </w:p>
    <w:p w:rsidR="00AE54E7" w:rsidRPr="0088446B" w:rsidRDefault="0029087E" w:rsidP="007B058C">
      <w:pPr>
        <w:spacing w:after="0" w:line="360" w:lineRule="auto"/>
        <w:jc w:val="both"/>
        <w:rPr>
          <w:rFonts w:ascii="Arial" w:hAnsi="Arial" w:cs="Arial"/>
        </w:rPr>
      </w:pPr>
      <w:r>
        <w:rPr>
          <w:rFonts w:ascii="Arial" w:hAnsi="Arial"/>
        </w:rPr>
        <w:t>Resulta al caso precisar que la denuncia se recibió el día diecisiete de abril de dos mil dieciocho</w:t>
      </w:r>
      <w:r w:rsidR="00F85E30">
        <w:rPr>
          <w:rFonts w:ascii="Arial" w:hAnsi="Arial"/>
        </w:rPr>
        <w:t xml:space="preserve"> a las veinti</w:t>
      </w:r>
      <w:r w:rsidR="008D3D84">
        <w:rPr>
          <w:rFonts w:ascii="Arial" w:hAnsi="Arial"/>
        </w:rPr>
        <w:t>ún</w:t>
      </w:r>
      <w:r w:rsidR="00F85E30">
        <w:rPr>
          <w:rFonts w:ascii="Arial" w:hAnsi="Arial"/>
        </w:rPr>
        <w:t xml:space="preserve"> horas con </w:t>
      </w:r>
      <w:r w:rsidR="008D3D84">
        <w:rPr>
          <w:rFonts w:ascii="Arial" w:hAnsi="Arial"/>
        </w:rPr>
        <w:t>cuarenta y cuatro</w:t>
      </w:r>
      <w:r w:rsidR="00F85E30">
        <w:rPr>
          <w:rFonts w:ascii="Arial" w:hAnsi="Arial"/>
        </w:rPr>
        <w:t xml:space="preserve"> minutos;</w:t>
      </w:r>
      <w:r>
        <w:rPr>
          <w:rFonts w:ascii="Arial" w:hAnsi="Arial"/>
        </w:rPr>
        <w:t xml:space="preserve"> por lo que con fundamento en lo establecido en el numeral décimo segundo de los</w:t>
      </w:r>
      <w:r w:rsidR="00F85E30">
        <w:rPr>
          <w:rFonts w:ascii="Arial" w:hAnsi="Arial"/>
        </w:rPr>
        <w:t xml:space="preserve"> Lineamientos que establecen el procedimiento de denuncia por incumplimiento a las obligaciones de transparencia que deben publicar los sujetos obligados en el Estado de Yucatán, en los portales de Internet y en la Plataforma Nacional de Transparencia, en adelante Lineamientos que establecen el procedimiento de denuncia,</w:t>
      </w:r>
      <w:r w:rsidR="0088446B">
        <w:rPr>
          <w:rFonts w:ascii="Arial" w:hAnsi="Arial" w:cs="Arial"/>
        </w:rPr>
        <w:t xml:space="preserve"> se t</w:t>
      </w:r>
      <w:r w:rsidR="00F85E30">
        <w:rPr>
          <w:rFonts w:ascii="Arial" w:hAnsi="Arial" w:cs="Arial"/>
        </w:rPr>
        <w:t>iene</w:t>
      </w:r>
      <w:r w:rsidR="0088446B">
        <w:rPr>
          <w:rFonts w:ascii="Arial" w:hAnsi="Arial" w:cs="Arial"/>
        </w:rPr>
        <w:t xml:space="preserve"> por presentada el </w:t>
      </w:r>
      <w:r w:rsidR="00F85E30">
        <w:rPr>
          <w:rFonts w:ascii="Arial" w:hAnsi="Arial" w:cs="Arial"/>
        </w:rPr>
        <w:t>dieciocho</w:t>
      </w:r>
      <w:r w:rsidR="0088446B">
        <w:rPr>
          <w:rFonts w:ascii="Arial" w:hAnsi="Arial" w:cs="Arial"/>
        </w:rPr>
        <w:t xml:space="preserve"> del mes y año en </w:t>
      </w:r>
      <w:r w:rsidR="00F85E30">
        <w:rPr>
          <w:rFonts w:ascii="Arial" w:hAnsi="Arial" w:cs="Arial"/>
        </w:rPr>
        <w:t>comento.</w:t>
      </w:r>
    </w:p>
    <w:p w:rsidR="00B26AFE" w:rsidRDefault="00B26AFE" w:rsidP="007B058C">
      <w:pPr>
        <w:spacing w:after="0" w:line="360" w:lineRule="auto"/>
        <w:jc w:val="both"/>
        <w:rPr>
          <w:rFonts w:ascii="Arial" w:hAnsi="Arial"/>
        </w:rPr>
      </w:pPr>
    </w:p>
    <w:p w:rsidR="004A4AE8" w:rsidRDefault="004A4AE8" w:rsidP="007B058C">
      <w:pPr>
        <w:spacing w:after="0" w:line="360" w:lineRule="auto"/>
        <w:jc w:val="center"/>
        <w:rPr>
          <w:rFonts w:ascii="Arial" w:hAnsi="Arial"/>
          <w:b/>
        </w:rPr>
      </w:pPr>
      <w:r>
        <w:rPr>
          <w:rFonts w:ascii="Arial" w:hAnsi="Arial"/>
          <w:b/>
        </w:rPr>
        <w:t>CONSIDERANDOS</w:t>
      </w:r>
    </w:p>
    <w:p w:rsidR="004A4AE8" w:rsidRDefault="004A4AE8" w:rsidP="007B058C">
      <w:pPr>
        <w:spacing w:after="0" w:line="360" w:lineRule="auto"/>
        <w:jc w:val="center"/>
        <w:rPr>
          <w:rFonts w:ascii="Arial" w:hAnsi="Arial"/>
          <w:b/>
        </w:rPr>
      </w:pPr>
    </w:p>
    <w:p w:rsidR="004A4AE8" w:rsidRDefault="004A4AE8" w:rsidP="007B058C">
      <w:pPr>
        <w:spacing w:after="0" w:line="360" w:lineRule="auto"/>
        <w:jc w:val="both"/>
        <w:rPr>
          <w:rFonts w:ascii="Arial" w:hAnsi="Arial"/>
        </w:rPr>
      </w:pPr>
      <w:r>
        <w:rPr>
          <w:rFonts w:ascii="Arial" w:hAnsi="Arial"/>
          <w:b/>
        </w:rPr>
        <w:t xml:space="preserve">PRIMERO. </w:t>
      </w:r>
      <w:r>
        <w:rPr>
          <w:rFonts w:ascii="Arial" w:hAnsi="Arial"/>
        </w:rPr>
        <w:t xml:space="preserve">Con fundamento en </w:t>
      </w:r>
      <w:r w:rsidR="00381DE0">
        <w:rPr>
          <w:rFonts w:ascii="Arial" w:hAnsi="Arial"/>
        </w:rPr>
        <w:t xml:space="preserve">lo establecido en el </w:t>
      </w:r>
      <w:r>
        <w:rPr>
          <w:rFonts w:ascii="Arial" w:hAnsi="Arial"/>
        </w:rPr>
        <w:t xml:space="preserve">numeral décimo </w:t>
      </w:r>
      <w:r w:rsidR="002F6F41">
        <w:rPr>
          <w:rFonts w:ascii="Arial" w:hAnsi="Arial"/>
        </w:rPr>
        <w:t>quinto</w:t>
      </w:r>
      <w:r w:rsidR="00381DE0">
        <w:rPr>
          <w:rFonts w:ascii="Arial" w:hAnsi="Arial"/>
        </w:rPr>
        <w:t xml:space="preserve"> de los Lineamientos que establecen el procedimiento de denuncia</w:t>
      </w:r>
      <w:r w:rsidR="00F85E30">
        <w:rPr>
          <w:rFonts w:ascii="Arial" w:hAnsi="Arial"/>
        </w:rPr>
        <w:t>,</w:t>
      </w:r>
      <w:r w:rsidR="00381DE0">
        <w:rPr>
          <w:rFonts w:ascii="Arial" w:hAnsi="Arial"/>
        </w:rPr>
        <w:t xml:space="preserve"> </w:t>
      </w:r>
      <w:r w:rsidR="00EA53F6">
        <w:rPr>
          <w:rFonts w:ascii="Arial" w:hAnsi="Arial"/>
        </w:rPr>
        <w:t>en los siguientes considerandos se realizará</w:t>
      </w:r>
      <w:r w:rsidR="00381DE0">
        <w:rPr>
          <w:rFonts w:ascii="Arial" w:hAnsi="Arial"/>
        </w:rPr>
        <w:t xml:space="preserve"> el análisis de los hechos plasmados en la petición realizada por el particular, a fin de ve</w:t>
      </w:r>
      <w:r w:rsidR="0075791D">
        <w:rPr>
          <w:rFonts w:ascii="Arial" w:hAnsi="Arial"/>
        </w:rPr>
        <w:t>rificar si ésto</w:t>
      </w:r>
      <w:r w:rsidR="00EA53F6">
        <w:rPr>
          <w:rFonts w:ascii="Arial" w:hAnsi="Arial"/>
        </w:rPr>
        <w:t>s encuadran en los</w:t>
      </w:r>
      <w:r w:rsidR="00381DE0">
        <w:rPr>
          <w:rFonts w:ascii="Arial" w:hAnsi="Arial"/>
        </w:rPr>
        <w:t xml:space="preserve"> supuesto</w:t>
      </w:r>
      <w:r w:rsidR="00EA53F6">
        <w:rPr>
          <w:rFonts w:ascii="Arial" w:hAnsi="Arial"/>
        </w:rPr>
        <w:t>s</w:t>
      </w:r>
      <w:r w:rsidR="00381DE0">
        <w:rPr>
          <w:rFonts w:ascii="Arial" w:hAnsi="Arial"/>
        </w:rPr>
        <w:t xml:space="preserve"> previsto</w:t>
      </w:r>
      <w:r w:rsidR="00EA53F6">
        <w:rPr>
          <w:rFonts w:ascii="Arial" w:hAnsi="Arial"/>
        </w:rPr>
        <w:t>s</w:t>
      </w:r>
      <w:r w:rsidR="00381DE0">
        <w:rPr>
          <w:rFonts w:ascii="Arial" w:hAnsi="Arial"/>
        </w:rPr>
        <w:t xml:space="preserve"> en </w:t>
      </w:r>
      <w:r w:rsidR="0016249F">
        <w:rPr>
          <w:rFonts w:ascii="Arial" w:hAnsi="Arial"/>
        </w:rPr>
        <w:t xml:space="preserve">los </w:t>
      </w:r>
      <w:r w:rsidR="00381DE0">
        <w:rPr>
          <w:rFonts w:ascii="Arial" w:hAnsi="Arial"/>
        </w:rPr>
        <w:t>numeral</w:t>
      </w:r>
      <w:r w:rsidR="0016249F">
        <w:rPr>
          <w:rFonts w:ascii="Arial" w:hAnsi="Arial"/>
        </w:rPr>
        <w:t>es 77 de la Ley de Transparencia y Acceso a la Información Pública del Estado de Yucatán y</w:t>
      </w:r>
      <w:r w:rsidR="00381DE0">
        <w:rPr>
          <w:rFonts w:ascii="Arial" w:hAnsi="Arial"/>
        </w:rPr>
        <w:t xml:space="preserve"> décimo primero de </w:t>
      </w:r>
      <w:r w:rsidR="002F6F41">
        <w:rPr>
          <w:rFonts w:ascii="Arial" w:hAnsi="Arial"/>
        </w:rPr>
        <w:t>los Lineamientos antes invocados.</w:t>
      </w:r>
      <w:r w:rsidR="00381DE0">
        <w:rPr>
          <w:rFonts w:ascii="Arial" w:hAnsi="Arial"/>
        </w:rPr>
        <w:t xml:space="preserve"> </w:t>
      </w:r>
    </w:p>
    <w:p w:rsidR="008D3D84" w:rsidRDefault="008D3D84" w:rsidP="007B058C">
      <w:pPr>
        <w:spacing w:after="0" w:line="360" w:lineRule="auto"/>
        <w:jc w:val="both"/>
        <w:rPr>
          <w:rFonts w:ascii="Arial" w:hAnsi="Arial"/>
          <w:b/>
        </w:rPr>
      </w:pPr>
    </w:p>
    <w:p w:rsidR="00C43E58" w:rsidRDefault="002F6F41" w:rsidP="007B058C">
      <w:pPr>
        <w:spacing w:after="0" w:line="360" w:lineRule="auto"/>
        <w:jc w:val="both"/>
        <w:rPr>
          <w:rFonts w:ascii="Arial" w:hAnsi="Arial"/>
        </w:rPr>
      </w:pPr>
      <w:r>
        <w:rPr>
          <w:rFonts w:ascii="Arial" w:hAnsi="Arial"/>
          <w:b/>
        </w:rPr>
        <w:t xml:space="preserve">SEGUNDO. </w:t>
      </w:r>
      <w:r>
        <w:rPr>
          <w:rFonts w:ascii="Arial" w:hAnsi="Arial"/>
        </w:rPr>
        <w:t xml:space="preserve">Del estudio efectuado al escrito </w:t>
      </w:r>
      <w:r w:rsidR="00C43E58">
        <w:rPr>
          <w:rFonts w:ascii="Arial" w:hAnsi="Arial"/>
        </w:rPr>
        <w:t>de denuncia</w:t>
      </w:r>
      <w:r>
        <w:rPr>
          <w:rFonts w:ascii="Arial" w:hAnsi="Arial"/>
        </w:rPr>
        <w:t xml:space="preserve">, se advirtió que los hechos </w:t>
      </w:r>
      <w:r w:rsidR="00276BEA">
        <w:rPr>
          <w:rFonts w:ascii="Arial" w:hAnsi="Arial"/>
        </w:rPr>
        <w:t>señalados</w:t>
      </w:r>
      <w:r>
        <w:rPr>
          <w:rFonts w:ascii="Arial" w:hAnsi="Arial"/>
        </w:rPr>
        <w:t xml:space="preserve"> por el </w:t>
      </w:r>
      <w:r w:rsidR="00F85E30">
        <w:rPr>
          <w:rFonts w:ascii="Arial" w:hAnsi="Arial"/>
        </w:rPr>
        <w:t xml:space="preserve">denunciante </w:t>
      </w:r>
      <w:r>
        <w:rPr>
          <w:rFonts w:ascii="Arial" w:hAnsi="Arial"/>
        </w:rPr>
        <w:t xml:space="preserve">radican </w:t>
      </w:r>
      <w:r w:rsidR="001A1427">
        <w:rPr>
          <w:rFonts w:ascii="Arial" w:hAnsi="Arial"/>
        </w:rPr>
        <w:t xml:space="preserve">en consignar </w:t>
      </w:r>
      <w:r w:rsidR="007376F8">
        <w:rPr>
          <w:rFonts w:ascii="Arial" w:hAnsi="Arial"/>
        </w:rPr>
        <w:t xml:space="preserve">la falta de publicación de información </w:t>
      </w:r>
      <w:r w:rsidR="008D3D84">
        <w:rPr>
          <w:rFonts w:ascii="Arial" w:hAnsi="Arial"/>
        </w:rPr>
        <w:t>actualizada al treinta y uno de marzo de dos mil dieciocho</w:t>
      </w:r>
      <w:r w:rsidR="007376F8">
        <w:rPr>
          <w:rFonts w:ascii="Arial" w:hAnsi="Arial"/>
        </w:rPr>
        <w:t xml:space="preserve">, </w:t>
      </w:r>
      <w:r w:rsidR="001A1427">
        <w:rPr>
          <w:rFonts w:ascii="Arial" w:hAnsi="Arial"/>
        </w:rPr>
        <w:t>por parte de la Secretaría de Seguridad Pública</w:t>
      </w:r>
      <w:r w:rsidR="007B4EA6">
        <w:rPr>
          <w:rFonts w:ascii="Arial" w:hAnsi="Arial"/>
        </w:rPr>
        <w:t>.</w:t>
      </w:r>
    </w:p>
    <w:p w:rsidR="00276BEA" w:rsidRDefault="00276BEA" w:rsidP="007B058C">
      <w:pPr>
        <w:spacing w:after="0" w:line="360" w:lineRule="auto"/>
        <w:jc w:val="both"/>
        <w:rPr>
          <w:rFonts w:ascii="Arial" w:hAnsi="Arial"/>
        </w:rPr>
      </w:pPr>
    </w:p>
    <w:p w:rsidR="002F6F41" w:rsidRDefault="00EA53F6" w:rsidP="007B058C">
      <w:pPr>
        <w:spacing w:after="0" w:line="360" w:lineRule="auto"/>
        <w:jc w:val="both"/>
        <w:rPr>
          <w:rFonts w:ascii="Arial" w:hAnsi="Arial"/>
        </w:rPr>
      </w:pPr>
      <w:r>
        <w:rPr>
          <w:rFonts w:ascii="Arial" w:hAnsi="Arial"/>
        </w:rPr>
        <w:t>Así pues</w:t>
      </w:r>
      <w:r w:rsidR="00C43E58">
        <w:rPr>
          <w:rFonts w:ascii="Arial" w:hAnsi="Arial"/>
        </w:rPr>
        <w:t>, para establecer la procedencia de la denuncia que diera origen al procedimiento al rubro citado, a continuación</w:t>
      </w:r>
      <w:r w:rsidR="00AD77F7">
        <w:rPr>
          <w:rFonts w:ascii="Arial" w:hAnsi="Arial"/>
        </w:rPr>
        <w:t>,</w:t>
      </w:r>
      <w:r w:rsidR="00C43E58">
        <w:rPr>
          <w:rFonts w:ascii="Arial" w:hAnsi="Arial"/>
        </w:rPr>
        <w:t xml:space="preserve"> se determinará si las manifestaciones vertidas por</w:t>
      </w:r>
      <w:r w:rsidR="007C0839">
        <w:rPr>
          <w:rFonts w:ascii="Arial" w:hAnsi="Arial"/>
        </w:rPr>
        <w:t xml:space="preserve"> </w:t>
      </w:r>
      <w:r w:rsidR="00AA48FD">
        <w:rPr>
          <w:rFonts w:ascii="Arial" w:hAnsi="Arial"/>
        </w:rPr>
        <w:t>el</w:t>
      </w:r>
      <w:r w:rsidR="00C43E58">
        <w:rPr>
          <w:rFonts w:ascii="Arial" w:hAnsi="Arial"/>
        </w:rPr>
        <w:t xml:space="preserve"> denunc</w:t>
      </w:r>
      <w:r>
        <w:rPr>
          <w:rFonts w:ascii="Arial" w:hAnsi="Arial"/>
        </w:rPr>
        <w:t xml:space="preserve">iante, encuadran en los supuestos </w:t>
      </w:r>
      <w:r>
        <w:rPr>
          <w:rFonts w:ascii="Arial" w:hAnsi="Arial"/>
        </w:rPr>
        <w:lastRenderedPageBreak/>
        <w:t>que pudieran dar origen al procedimiento de denuncia contemplado en el Capítulo VII del Título Quinto de la Ley General.</w:t>
      </w:r>
    </w:p>
    <w:p w:rsidR="00EA53F6" w:rsidRDefault="00EA53F6" w:rsidP="007B058C">
      <w:pPr>
        <w:spacing w:after="0" w:line="360" w:lineRule="auto"/>
        <w:jc w:val="both"/>
        <w:rPr>
          <w:rFonts w:ascii="Arial" w:hAnsi="Arial"/>
        </w:rPr>
      </w:pPr>
    </w:p>
    <w:p w:rsidR="00ED1C08" w:rsidRDefault="00EA53F6" w:rsidP="007B058C">
      <w:pPr>
        <w:spacing w:after="0" w:line="360" w:lineRule="auto"/>
        <w:jc w:val="both"/>
        <w:rPr>
          <w:rFonts w:ascii="Arial" w:hAnsi="Arial"/>
        </w:rPr>
      </w:pPr>
      <w:r>
        <w:rPr>
          <w:rFonts w:ascii="Arial" w:hAnsi="Arial"/>
        </w:rPr>
        <w:t>Al respecto</w:t>
      </w:r>
      <w:r w:rsidR="00ED1C08">
        <w:rPr>
          <w:rFonts w:ascii="Arial" w:hAnsi="Arial"/>
        </w:rPr>
        <w:t>,</w:t>
      </w:r>
      <w:r>
        <w:rPr>
          <w:rFonts w:ascii="Arial" w:hAnsi="Arial"/>
        </w:rPr>
        <w:t xml:space="preserve"> </w:t>
      </w:r>
      <w:r w:rsidR="00ED1C08">
        <w:rPr>
          <w:rFonts w:ascii="Arial" w:hAnsi="Arial"/>
        </w:rPr>
        <w:t>los</w:t>
      </w:r>
      <w:r w:rsidR="00807640">
        <w:rPr>
          <w:rFonts w:ascii="Arial" w:hAnsi="Arial"/>
        </w:rPr>
        <w:t xml:space="preserve"> artículo</w:t>
      </w:r>
      <w:r w:rsidR="00ED1C08">
        <w:rPr>
          <w:rFonts w:ascii="Arial" w:hAnsi="Arial"/>
        </w:rPr>
        <w:t>s</w:t>
      </w:r>
      <w:r w:rsidR="00807640">
        <w:rPr>
          <w:rFonts w:ascii="Arial" w:hAnsi="Arial"/>
        </w:rPr>
        <w:t xml:space="preserve"> 68</w:t>
      </w:r>
      <w:r w:rsidR="00ED1C08">
        <w:rPr>
          <w:rFonts w:ascii="Arial" w:hAnsi="Arial"/>
        </w:rPr>
        <w:t xml:space="preserve"> y 77</w:t>
      </w:r>
      <w:r w:rsidR="00807640">
        <w:rPr>
          <w:rFonts w:ascii="Arial" w:hAnsi="Arial"/>
        </w:rPr>
        <w:t xml:space="preserve"> de la Ley de Transparencia y Acceso a la Información Pública del Estado de Yucatán, dispone</w:t>
      </w:r>
      <w:r w:rsidR="00ED1C08">
        <w:rPr>
          <w:rFonts w:ascii="Arial" w:hAnsi="Arial"/>
        </w:rPr>
        <w:t>n lo siguiente:</w:t>
      </w:r>
    </w:p>
    <w:p w:rsidR="00ED1C08" w:rsidRDefault="00ED1C08" w:rsidP="007B058C">
      <w:pPr>
        <w:spacing w:after="0" w:line="360" w:lineRule="auto"/>
        <w:jc w:val="both"/>
        <w:rPr>
          <w:rFonts w:ascii="Arial" w:hAnsi="Arial"/>
        </w:rPr>
      </w:pPr>
    </w:p>
    <w:p w:rsidR="00ED1C08" w:rsidRPr="0016249F" w:rsidRDefault="00ED1C08" w:rsidP="007B058C">
      <w:pPr>
        <w:autoSpaceDE w:val="0"/>
        <w:autoSpaceDN w:val="0"/>
        <w:adjustRightInd w:val="0"/>
        <w:spacing w:after="0" w:line="360" w:lineRule="auto"/>
        <w:ind w:left="567" w:right="567"/>
        <w:jc w:val="both"/>
        <w:rPr>
          <w:rFonts w:ascii="Arial" w:hAnsi="Arial" w:cs="Arial,Bold"/>
          <w:b/>
          <w:bCs/>
          <w:i/>
          <w:sz w:val="20"/>
          <w:szCs w:val="21"/>
        </w:rPr>
      </w:pPr>
      <w:r w:rsidRPr="0016249F">
        <w:rPr>
          <w:rFonts w:ascii="Arial" w:hAnsi="Arial" w:cs="Arial,Bold"/>
          <w:b/>
          <w:bCs/>
          <w:i/>
          <w:sz w:val="20"/>
          <w:szCs w:val="21"/>
        </w:rPr>
        <w:t>Artículo 68. Verificación y denuncia de la información</w:t>
      </w:r>
    </w:p>
    <w:p w:rsidR="00ED1C08" w:rsidRPr="001865C4" w:rsidRDefault="00ED1C08" w:rsidP="007B058C">
      <w:pPr>
        <w:autoSpaceDE w:val="0"/>
        <w:autoSpaceDN w:val="0"/>
        <w:adjustRightInd w:val="0"/>
        <w:spacing w:after="0" w:line="360" w:lineRule="auto"/>
        <w:ind w:left="567" w:right="567"/>
        <w:jc w:val="both"/>
        <w:rPr>
          <w:rFonts w:ascii="Arial" w:hAnsi="Arial" w:cs="Arial,Bold"/>
          <w:bCs/>
          <w:i/>
          <w:sz w:val="20"/>
          <w:szCs w:val="21"/>
        </w:rPr>
      </w:pPr>
    </w:p>
    <w:p w:rsidR="00ED1C08" w:rsidRPr="001865C4" w:rsidRDefault="00ED1C08" w:rsidP="007B058C">
      <w:pPr>
        <w:autoSpaceDE w:val="0"/>
        <w:autoSpaceDN w:val="0"/>
        <w:adjustRightInd w:val="0"/>
        <w:spacing w:after="0" w:line="360" w:lineRule="auto"/>
        <w:ind w:left="567" w:right="567"/>
        <w:jc w:val="both"/>
        <w:rPr>
          <w:rFonts w:ascii="Arial" w:hAnsi="Arial" w:cs="Arial"/>
          <w:i/>
          <w:sz w:val="20"/>
          <w:szCs w:val="21"/>
        </w:rPr>
      </w:pPr>
      <w:r w:rsidRPr="001865C4">
        <w:rPr>
          <w:rFonts w:ascii="Arial" w:hAnsi="Arial" w:cs="Arial"/>
          <w:i/>
          <w:sz w:val="20"/>
          <w:szCs w:val="21"/>
        </w:rPr>
        <w:t>El instituto, de oficio o a petición de los particulares, verificarán el cumplimiento que los sujetos obligados den a las disposiciones previstas en este título.</w:t>
      </w:r>
    </w:p>
    <w:p w:rsidR="00ED1C08" w:rsidRPr="001865C4" w:rsidRDefault="00ED1C08" w:rsidP="007B058C">
      <w:pPr>
        <w:autoSpaceDE w:val="0"/>
        <w:autoSpaceDN w:val="0"/>
        <w:adjustRightInd w:val="0"/>
        <w:spacing w:after="0" w:line="360" w:lineRule="auto"/>
        <w:ind w:left="567" w:right="567"/>
        <w:jc w:val="both"/>
        <w:rPr>
          <w:rFonts w:ascii="Arial" w:hAnsi="Arial" w:cs="Arial"/>
          <w:i/>
          <w:sz w:val="20"/>
          <w:szCs w:val="21"/>
        </w:rPr>
      </w:pPr>
    </w:p>
    <w:p w:rsidR="00ED1C08" w:rsidRPr="001865C4" w:rsidRDefault="00ED1C08" w:rsidP="007B058C">
      <w:pPr>
        <w:autoSpaceDE w:val="0"/>
        <w:autoSpaceDN w:val="0"/>
        <w:adjustRightInd w:val="0"/>
        <w:spacing w:after="0" w:line="360" w:lineRule="auto"/>
        <w:ind w:left="567" w:right="567"/>
        <w:jc w:val="both"/>
        <w:rPr>
          <w:rFonts w:ascii="Arial" w:hAnsi="Arial" w:cs="Arial"/>
          <w:i/>
          <w:sz w:val="20"/>
          <w:szCs w:val="21"/>
        </w:rPr>
      </w:pPr>
      <w:r w:rsidRPr="001865C4">
        <w:rPr>
          <w:rFonts w:ascii="Arial" w:hAnsi="Arial" w:cs="Arial"/>
          <w:i/>
          <w:sz w:val="20"/>
          <w:szCs w:val="21"/>
        </w:rPr>
        <w:t>Las denuncias presentadas por los particulares podrán realizarse en cualquier momento, de conformidad con el procedimiento señalado en la presente Ley.</w:t>
      </w:r>
    </w:p>
    <w:p w:rsidR="00ED1C08" w:rsidRPr="001865C4" w:rsidRDefault="00ED1C08" w:rsidP="007B058C">
      <w:pPr>
        <w:spacing w:after="0" w:line="360" w:lineRule="auto"/>
        <w:ind w:left="567" w:right="567"/>
        <w:jc w:val="both"/>
        <w:rPr>
          <w:rFonts w:ascii="Arial" w:hAnsi="Arial" w:cs="Arial"/>
          <w:i/>
          <w:sz w:val="20"/>
          <w:szCs w:val="21"/>
        </w:rPr>
      </w:pPr>
    </w:p>
    <w:p w:rsidR="00ED1C08" w:rsidRPr="0016249F" w:rsidRDefault="00ED1C08" w:rsidP="007B058C">
      <w:pPr>
        <w:autoSpaceDE w:val="0"/>
        <w:autoSpaceDN w:val="0"/>
        <w:adjustRightInd w:val="0"/>
        <w:spacing w:after="0" w:line="360" w:lineRule="auto"/>
        <w:ind w:left="567" w:right="567"/>
        <w:jc w:val="both"/>
        <w:rPr>
          <w:rFonts w:ascii="Arial" w:hAnsi="Arial" w:cs="Arial,Bold"/>
          <w:b/>
          <w:bCs/>
          <w:i/>
          <w:sz w:val="20"/>
          <w:szCs w:val="21"/>
        </w:rPr>
      </w:pPr>
      <w:r w:rsidRPr="0016249F">
        <w:rPr>
          <w:rFonts w:ascii="Arial" w:hAnsi="Arial" w:cs="Arial,Bold"/>
          <w:b/>
          <w:bCs/>
          <w:i/>
          <w:sz w:val="20"/>
          <w:szCs w:val="21"/>
        </w:rPr>
        <w:t>Artículo 77. Denuncia por incumplimiento</w:t>
      </w:r>
    </w:p>
    <w:p w:rsidR="00ED1C08" w:rsidRPr="001865C4" w:rsidRDefault="00ED1C08" w:rsidP="007B058C">
      <w:pPr>
        <w:autoSpaceDE w:val="0"/>
        <w:autoSpaceDN w:val="0"/>
        <w:adjustRightInd w:val="0"/>
        <w:spacing w:after="0" w:line="360" w:lineRule="auto"/>
        <w:ind w:left="567" w:right="567"/>
        <w:jc w:val="both"/>
        <w:rPr>
          <w:rFonts w:ascii="Arial" w:hAnsi="Arial" w:cs="Arial"/>
          <w:i/>
          <w:sz w:val="20"/>
          <w:szCs w:val="21"/>
        </w:rPr>
      </w:pPr>
    </w:p>
    <w:p w:rsidR="00ED1C08" w:rsidRPr="001865C4" w:rsidRDefault="00ED1C08" w:rsidP="007B058C">
      <w:pPr>
        <w:autoSpaceDE w:val="0"/>
        <w:autoSpaceDN w:val="0"/>
        <w:adjustRightInd w:val="0"/>
        <w:spacing w:after="0" w:line="360" w:lineRule="auto"/>
        <w:ind w:left="567" w:right="567"/>
        <w:jc w:val="both"/>
        <w:rPr>
          <w:rFonts w:ascii="Arial" w:hAnsi="Arial"/>
          <w:i/>
          <w:sz w:val="20"/>
        </w:rPr>
      </w:pPr>
      <w:r w:rsidRPr="001865C4">
        <w:rPr>
          <w:rFonts w:ascii="Arial" w:hAnsi="Arial" w:cs="Arial"/>
          <w:i/>
          <w:sz w:val="20"/>
          <w:szCs w:val="21"/>
        </w:rPr>
        <w:t>Cualquier persona podrá denunciar ante el instituto la falta de publicación y actualización de las obligaciones establecidas en el capítulo II en los sitios web de los sujetos obligados o en la plataforma nacional, con base en las disposiciones y el procedimiento previstos en los artículos 89 al 99 de la Ley general.</w:t>
      </w:r>
    </w:p>
    <w:p w:rsidR="009E4E5C" w:rsidRDefault="009E4E5C" w:rsidP="007B058C">
      <w:pPr>
        <w:spacing w:after="0" w:line="360" w:lineRule="auto"/>
        <w:jc w:val="both"/>
        <w:rPr>
          <w:rFonts w:ascii="Arial" w:hAnsi="Arial"/>
        </w:rPr>
      </w:pPr>
    </w:p>
    <w:p w:rsidR="000668F0" w:rsidRDefault="000668F0" w:rsidP="007B058C">
      <w:pPr>
        <w:spacing w:after="0" w:line="360" w:lineRule="auto"/>
        <w:jc w:val="both"/>
        <w:rPr>
          <w:rFonts w:ascii="Arial" w:hAnsi="Arial"/>
        </w:rPr>
      </w:pPr>
      <w:r>
        <w:rPr>
          <w:rFonts w:ascii="Arial" w:hAnsi="Arial"/>
        </w:rPr>
        <w:t>El ordinal octavo de los Lineamientos Técnicos Generales, en sus fracciones I y II, señala lo siguiente:</w:t>
      </w:r>
    </w:p>
    <w:p w:rsidR="000668F0" w:rsidRDefault="000668F0" w:rsidP="007B058C">
      <w:pPr>
        <w:spacing w:after="0" w:line="360" w:lineRule="auto"/>
        <w:jc w:val="both"/>
        <w:rPr>
          <w:rFonts w:ascii="Arial" w:hAnsi="Arial"/>
        </w:rPr>
      </w:pPr>
    </w:p>
    <w:p w:rsidR="000668F0" w:rsidRDefault="000668F0" w:rsidP="007B058C">
      <w:pPr>
        <w:autoSpaceDE w:val="0"/>
        <w:autoSpaceDN w:val="0"/>
        <w:adjustRightInd w:val="0"/>
        <w:spacing w:after="0" w:line="360" w:lineRule="auto"/>
        <w:ind w:left="567" w:right="567"/>
        <w:jc w:val="both"/>
        <w:rPr>
          <w:rFonts w:ascii="Arial" w:hAnsi="Arial" w:cs="Arial"/>
          <w:i/>
          <w:sz w:val="20"/>
          <w:szCs w:val="20"/>
        </w:rPr>
      </w:pPr>
      <w:r>
        <w:rPr>
          <w:rFonts w:ascii="Arial" w:hAnsi="Arial" w:cs="Arial"/>
          <w:b/>
          <w:bCs/>
          <w:i/>
          <w:sz w:val="20"/>
          <w:szCs w:val="20"/>
        </w:rPr>
        <w:t>“</w:t>
      </w:r>
      <w:r w:rsidRPr="00FA694B">
        <w:rPr>
          <w:rFonts w:ascii="Arial" w:hAnsi="Arial" w:cs="Arial"/>
          <w:b/>
          <w:bCs/>
          <w:i/>
          <w:sz w:val="20"/>
          <w:szCs w:val="20"/>
        </w:rPr>
        <w:t>Octavo.</w:t>
      </w:r>
      <w:r w:rsidRPr="00FA694B">
        <w:rPr>
          <w:rFonts w:ascii="Arial" w:hAnsi="Arial" w:cs="Arial"/>
          <w:bCs/>
          <w:i/>
          <w:sz w:val="20"/>
          <w:szCs w:val="20"/>
        </w:rPr>
        <w:t xml:space="preserve"> </w:t>
      </w:r>
      <w:r w:rsidRPr="00FA694B">
        <w:rPr>
          <w:rFonts w:ascii="Arial" w:hAnsi="Arial" w:cs="Arial"/>
          <w:i/>
          <w:sz w:val="20"/>
          <w:szCs w:val="20"/>
        </w:rPr>
        <w:t>Las políticas para actualizar la información son las siguientes:</w:t>
      </w:r>
    </w:p>
    <w:p w:rsidR="007B4EA6" w:rsidRPr="00FA694B" w:rsidRDefault="007B4EA6" w:rsidP="007B058C">
      <w:pPr>
        <w:autoSpaceDE w:val="0"/>
        <w:autoSpaceDN w:val="0"/>
        <w:adjustRightInd w:val="0"/>
        <w:spacing w:after="0" w:line="360" w:lineRule="auto"/>
        <w:ind w:left="567" w:right="567"/>
        <w:jc w:val="both"/>
        <w:rPr>
          <w:rFonts w:ascii="Arial" w:hAnsi="Arial" w:cs="Arial"/>
          <w:i/>
          <w:sz w:val="20"/>
          <w:szCs w:val="20"/>
        </w:rPr>
      </w:pPr>
    </w:p>
    <w:p w:rsidR="000668F0" w:rsidRDefault="000668F0" w:rsidP="007B058C">
      <w:pPr>
        <w:pStyle w:val="Prrafodelista"/>
        <w:numPr>
          <w:ilvl w:val="0"/>
          <w:numId w:val="9"/>
        </w:numPr>
        <w:autoSpaceDE w:val="0"/>
        <w:autoSpaceDN w:val="0"/>
        <w:adjustRightInd w:val="0"/>
        <w:spacing w:after="0" w:line="360" w:lineRule="auto"/>
        <w:ind w:right="567"/>
        <w:jc w:val="both"/>
        <w:rPr>
          <w:rFonts w:ascii="Arial" w:hAnsi="Arial" w:cs="Arial"/>
          <w:i/>
          <w:sz w:val="20"/>
          <w:szCs w:val="20"/>
        </w:rPr>
      </w:pPr>
      <w:r w:rsidRPr="00FA694B">
        <w:rPr>
          <w:rFonts w:ascii="Arial" w:hAnsi="Arial" w:cs="Arial"/>
          <w:i/>
          <w:sz w:val="20"/>
          <w:szCs w:val="20"/>
        </w:rPr>
        <w:t>La información publicada por los sujetos obligados en su portal de Internet y en la Plataforma Nacional</w:t>
      </w:r>
      <w:r>
        <w:rPr>
          <w:rFonts w:ascii="Arial" w:hAnsi="Arial" w:cs="Arial"/>
          <w:i/>
          <w:sz w:val="20"/>
          <w:szCs w:val="20"/>
        </w:rPr>
        <w:t xml:space="preserve"> </w:t>
      </w:r>
      <w:r w:rsidRPr="00FA694B">
        <w:rPr>
          <w:rFonts w:ascii="Arial" w:hAnsi="Arial" w:cs="Arial"/>
          <w:i/>
          <w:sz w:val="20"/>
          <w:szCs w:val="20"/>
        </w:rPr>
        <w:t>deberá actualizarse por lo menos cada tres meses, de acuerdo con el artículo 62 de la Ley General, salvo que, en dicha Ley, en estos Lineamientos o en alguna otra normatividad se establezca un plazo</w:t>
      </w:r>
      <w:r>
        <w:rPr>
          <w:rFonts w:ascii="Arial" w:hAnsi="Arial" w:cs="Arial"/>
          <w:i/>
          <w:sz w:val="20"/>
          <w:szCs w:val="20"/>
        </w:rPr>
        <w:t xml:space="preserve"> </w:t>
      </w:r>
      <w:r w:rsidRPr="00FA694B">
        <w:rPr>
          <w:rFonts w:ascii="Arial" w:hAnsi="Arial" w:cs="Arial"/>
          <w:i/>
          <w:sz w:val="20"/>
          <w:szCs w:val="20"/>
        </w:rPr>
        <w:t>diverso, en tal caso, se especificará el periodo de actualización, así como la fundamentación y motivación respectivas</w:t>
      </w:r>
      <w:r w:rsidR="00485AD9" w:rsidRPr="00FA694B">
        <w:rPr>
          <w:rFonts w:ascii="Arial" w:hAnsi="Arial" w:cs="Arial"/>
          <w:i/>
          <w:sz w:val="20"/>
          <w:szCs w:val="20"/>
        </w:rPr>
        <w:t xml:space="preserve">. </w:t>
      </w:r>
      <w:r w:rsidR="00485AD9">
        <w:rPr>
          <w:rFonts w:ascii="Arial" w:hAnsi="Arial" w:cs="Arial"/>
          <w:i/>
          <w:sz w:val="20"/>
          <w:szCs w:val="20"/>
        </w:rPr>
        <w:t>. ..</w:t>
      </w:r>
      <w:r>
        <w:rPr>
          <w:rFonts w:ascii="Arial" w:hAnsi="Arial" w:cs="Arial"/>
          <w:i/>
          <w:sz w:val="20"/>
          <w:szCs w:val="20"/>
        </w:rPr>
        <w:t xml:space="preserve"> </w:t>
      </w:r>
    </w:p>
    <w:p w:rsidR="000668F0" w:rsidRPr="00FA694B" w:rsidRDefault="000668F0" w:rsidP="007B058C">
      <w:pPr>
        <w:pStyle w:val="Prrafodelista"/>
        <w:autoSpaceDE w:val="0"/>
        <w:autoSpaceDN w:val="0"/>
        <w:adjustRightInd w:val="0"/>
        <w:spacing w:after="0" w:line="360" w:lineRule="auto"/>
        <w:ind w:left="1287" w:right="567"/>
        <w:jc w:val="both"/>
        <w:rPr>
          <w:rFonts w:ascii="Arial" w:hAnsi="Arial" w:cs="Arial"/>
          <w:i/>
          <w:sz w:val="20"/>
          <w:szCs w:val="20"/>
        </w:rPr>
      </w:pPr>
    </w:p>
    <w:p w:rsidR="000668F0" w:rsidRPr="00FA694B" w:rsidRDefault="000668F0" w:rsidP="007B058C">
      <w:pPr>
        <w:pStyle w:val="Prrafodelista"/>
        <w:numPr>
          <w:ilvl w:val="0"/>
          <w:numId w:val="9"/>
        </w:numPr>
        <w:autoSpaceDE w:val="0"/>
        <w:autoSpaceDN w:val="0"/>
        <w:adjustRightInd w:val="0"/>
        <w:spacing w:after="0" w:line="360" w:lineRule="auto"/>
        <w:ind w:right="567"/>
        <w:jc w:val="both"/>
        <w:rPr>
          <w:rFonts w:ascii="Arial" w:hAnsi="Arial"/>
          <w:i/>
          <w:sz w:val="20"/>
          <w:szCs w:val="20"/>
        </w:rPr>
      </w:pPr>
      <w:r w:rsidRPr="00FA694B">
        <w:rPr>
          <w:rFonts w:ascii="Arial" w:hAnsi="Arial" w:cs="Arial"/>
          <w:i/>
          <w:sz w:val="20"/>
          <w:szCs w:val="20"/>
        </w:rPr>
        <w:t>Los sujetos obligados publicarán la información actualizada en su portal de Internet y en la Plataforma Nacional dentro de los treinta días naturales siguientes al cierre del período de actualización que corresponda, salvo las excepciones establecidas en los presentes Lineamientos;</w:t>
      </w:r>
      <w:r>
        <w:rPr>
          <w:rFonts w:ascii="Arial" w:hAnsi="Arial" w:cs="Arial"/>
          <w:i/>
          <w:sz w:val="20"/>
          <w:szCs w:val="20"/>
        </w:rPr>
        <w:t>”</w:t>
      </w:r>
    </w:p>
    <w:p w:rsidR="000668F0" w:rsidRDefault="000668F0" w:rsidP="007B058C">
      <w:pPr>
        <w:spacing w:after="0" w:line="360" w:lineRule="auto"/>
        <w:jc w:val="both"/>
        <w:rPr>
          <w:rFonts w:ascii="Arial" w:hAnsi="Arial"/>
        </w:rPr>
      </w:pPr>
    </w:p>
    <w:p w:rsidR="00ED1C08" w:rsidRDefault="00ED1C08" w:rsidP="007B058C">
      <w:pPr>
        <w:spacing w:after="0" w:line="360" w:lineRule="auto"/>
        <w:jc w:val="both"/>
        <w:rPr>
          <w:rFonts w:ascii="Arial" w:hAnsi="Arial"/>
        </w:rPr>
      </w:pPr>
      <w:r>
        <w:rPr>
          <w:rFonts w:ascii="Arial" w:hAnsi="Arial"/>
        </w:rPr>
        <w:t xml:space="preserve">A su vez, </w:t>
      </w:r>
      <w:r w:rsidR="00C33556">
        <w:rPr>
          <w:rFonts w:ascii="Arial" w:hAnsi="Arial"/>
        </w:rPr>
        <w:t>los</w:t>
      </w:r>
      <w:r>
        <w:rPr>
          <w:rFonts w:ascii="Arial" w:hAnsi="Arial"/>
        </w:rPr>
        <w:t xml:space="preserve"> numeral</w:t>
      </w:r>
      <w:r w:rsidR="00C33556">
        <w:rPr>
          <w:rFonts w:ascii="Arial" w:hAnsi="Arial"/>
        </w:rPr>
        <w:t>es décimo,</w:t>
      </w:r>
      <w:r>
        <w:rPr>
          <w:rFonts w:ascii="Arial" w:hAnsi="Arial"/>
        </w:rPr>
        <w:t xml:space="preserve"> décimo primero</w:t>
      </w:r>
      <w:r w:rsidR="00C33556">
        <w:rPr>
          <w:rFonts w:ascii="Arial" w:hAnsi="Arial"/>
        </w:rPr>
        <w:t xml:space="preserve"> y décimo séptimo</w:t>
      </w:r>
      <w:r>
        <w:rPr>
          <w:rFonts w:ascii="Arial" w:hAnsi="Arial"/>
        </w:rPr>
        <w:t xml:space="preserve"> de los Lineamientos que establecen el procedimiento de denuncia, dispone</w:t>
      </w:r>
      <w:r w:rsidR="0016249F">
        <w:rPr>
          <w:rFonts w:ascii="Arial" w:hAnsi="Arial"/>
        </w:rPr>
        <w:t>n</w:t>
      </w:r>
      <w:r>
        <w:rPr>
          <w:rFonts w:ascii="Arial" w:hAnsi="Arial"/>
        </w:rPr>
        <w:t>:</w:t>
      </w:r>
    </w:p>
    <w:p w:rsidR="00596A71" w:rsidRDefault="00596A71" w:rsidP="007B058C">
      <w:pPr>
        <w:spacing w:after="0" w:line="360" w:lineRule="auto"/>
        <w:jc w:val="both"/>
        <w:rPr>
          <w:rFonts w:ascii="Arial" w:hAnsi="Arial"/>
        </w:rPr>
      </w:pPr>
    </w:p>
    <w:p w:rsidR="00C33556" w:rsidRPr="001865C4" w:rsidRDefault="00C33556" w:rsidP="007B058C">
      <w:pPr>
        <w:spacing w:after="0" w:line="360" w:lineRule="auto"/>
        <w:ind w:left="567" w:right="567"/>
        <w:jc w:val="both"/>
        <w:rPr>
          <w:rFonts w:ascii="Arial" w:hAnsi="Arial"/>
          <w:i/>
          <w:sz w:val="20"/>
        </w:rPr>
      </w:pPr>
      <w:r w:rsidRPr="0016249F">
        <w:rPr>
          <w:rFonts w:ascii="Arial" w:hAnsi="Arial"/>
          <w:b/>
          <w:i/>
          <w:sz w:val="20"/>
        </w:rPr>
        <w:t>Décimo.</w:t>
      </w:r>
      <w:r w:rsidRPr="001865C4">
        <w:rPr>
          <w:rFonts w:ascii="Arial" w:hAnsi="Arial"/>
          <w:b/>
          <w:i/>
          <w:sz w:val="20"/>
        </w:rPr>
        <w:t xml:space="preserve"> </w:t>
      </w:r>
      <w:r w:rsidRPr="001865C4">
        <w:rPr>
          <w:rFonts w:ascii="Arial" w:hAnsi="Arial"/>
          <w:i/>
          <w:sz w:val="20"/>
        </w:rPr>
        <w:t>El Instituto verificará a petición de los particulares el cumplimiento de las obligaciones de transparencia que deben publicar los sujetos obligados del Estado de Yucatán en los portales de Internet y en la Plataforma Nacional de Transparencia, a través de la denuncia que éstos presenten.</w:t>
      </w:r>
    </w:p>
    <w:p w:rsidR="00C33556" w:rsidRPr="001865C4" w:rsidRDefault="00C33556" w:rsidP="007B058C">
      <w:pPr>
        <w:spacing w:after="0" w:line="360" w:lineRule="auto"/>
        <w:ind w:left="567" w:right="567"/>
        <w:jc w:val="both"/>
        <w:rPr>
          <w:rFonts w:ascii="Arial" w:hAnsi="Arial"/>
          <w:i/>
          <w:sz w:val="20"/>
        </w:rPr>
      </w:pPr>
    </w:p>
    <w:p w:rsidR="00ED1C08" w:rsidRDefault="00ED1C08" w:rsidP="007B058C">
      <w:pPr>
        <w:spacing w:after="0" w:line="360" w:lineRule="auto"/>
        <w:ind w:left="567" w:right="567"/>
        <w:jc w:val="both"/>
        <w:rPr>
          <w:rFonts w:ascii="Arial" w:hAnsi="Arial" w:cs="Arial"/>
          <w:i/>
          <w:sz w:val="20"/>
          <w:szCs w:val="21"/>
        </w:rPr>
      </w:pPr>
      <w:r w:rsidRPr="0016249F">
        <w:rPr>
          <w:rFonts w:ascii="Arial" w:hAnsi="Arial"/>
          <w:b/>
          <w:i/>
          <w:sz w:val="20"/>
        </w:rPr>
        <w:t>Décimo primero.</w:t>
      </w:r>
      <w:r w:rsidRPr="001865C4">
        <w:rPr>
          <w:rFonts w:ascii="Arial" w:hAnsi="Arial"/>
          <w:i/>
          <w:sz w:val="20"/>
        </w:rPr>
        <w:t xml:space="preserve"> </w:t>
      </w:r>
      <w:r w:rsidRPr="001865C4">
        <w:rPr>
          <w:rFonts w:ascii="Arial" w:hAnsi="Arial" w:cs="Arial"/>
          <w:i/>
          <w:sz w:val="20"/>
          <w:szCs w:val="21"/>
        </w:rPr>
        <w:t>Cualquier persona podrá denunciar ante el Instituto la falta de publicación o actualización por parte de los sujetos obligados en sus sitios de Internet o en la Plataforma Nacional, de la información inherente a sus obligaciones de transparencia.</w:t>
      </w:r>
    </w:p>
    <w:p w:rsidR="00C16566" w:rsidRPr="001865C4" w:rsidRDefault="00C16566" w:rsidP="007B058C">
      <w:pPr>
        <w:spacing w:after="0" w:line="360" w:lineRule="auto"/>
        <w:ind w:left="567" w:right="567"/>
        <w:jc w:val="both"/>
        <w:rPr>
          <w:rFonts w:ascii="Arial" w:hAnsi="Arial" w:cs="Arial"/>
          <w:i/>
          <w:sz w:val="20"/>
          <w:szCs w:val="21"/>
        </w:rPr>
      </w:pPr>
    </w:p>
    <w:p w:rsidR="00C33556" w:rsidRDefault="00C33556" w:rsidP="007B058C">
      <w:pPr>
        <w:pStyle w:val="Texto"/>
        <w:spacing w:after="0" w:line="360" w:lineRule="auto"/>
        <w:ind w:left="567" w:right="567" w:firstLine="0"/>
        <w:rPr>
          <w:i/>
          <w:sz w:val="20"/>
          <w:szCs w:val="22"/>
        </w:rPr>
      </w:pPr>
      <w:r w:rsidRPr="0016249F">
        <w:rPr>
          <w:rFonts w:eastAsiaTheme="minorHAnsi" w:cstheme="minorBidi"/>
          <w:b/>
          <w:i/>
          <w:sz w:val="20"/>
          <w:szCs w:val="22"/>
          <w:lang w:val="es-MX" w:eastAsia="en-US"/>
        </w:rPr>
        <w:t>Décimo séptimo</w:t>
      </w:r>
      <w:r w:rsidRPr="001865C4">
        <w:rPr>
          <w:rFonts w:eastAsiaTheme="minorHAnsi" w:cstheme="minorBidi"/>
          <w:i/>
          <w:sz w:val="20"/>
          <w:szCs w:val="22"/>
          <w:lang w:val="es-MX" w:eastAsia="en-US"/>
        </w:rPr>
        <w:t xml:space="preserve">. </w:t>
      </w:r>
      <w:r w:rsidRPr="001865C4">
        <w:rPr>
          <w:i/>
          <w:sz w:val="20"/>
          <w:szCs w:val="22"/>
        </w:rPr>
        <w:t>La denuncia será desechada por improcedente cuando:</w:t>
      </w:r>
    </w:p>
    <w:p w:rsidR="00AD77F7" w:rsidRPr="001865C4" w:rsidRDefault="00AD77F7" w:rsidP="007B058C">
      <w:pPr>
        <w:pStyle w:val="Texto"/>
        <w:spacing w:after="0" w:line="360" w:lineRule="auto"/>
        <w:ind w:left="567" w:right="567" w:firstLine="0"/>
        <w:rPr>
          <w:i/>
          <w:sz w:val="20"/>
          <w:szCs w:val="22"/>
        </w:rPr>
      </w:pPr>
    </w:p>
    <w:p w:rsidR="00C33556" w:rsidRPr="001865C4" w:rsidRDefault="00C33556" w:rsidP="007B058C">
      <w:pPr>
        <w:pStyle w:val="Texto"/>
        <w:numPr>
          <w:ilvl w:val="0"/>
          <w:numId w:val="4"/>
        </w:numPr>
        <w:spacing w:after="0" w:line="360" w:lineRule="auto"/>
        <w:ind w:left="1068" w:right="567"/>
        <w:rPr>
          <w:i/>
          <w:sz w:val="20"/>
          <w:szCs w:val="22"/>
        </w:rPr>
      </w:pPr>
      <w:r w:rsidRPr="001865C4">
        <w:rPr>
          <w:i/>
          <w:sz w:val="20"/>
          <w:szCs w:val="22"/>
        </w:rPr>
        <w:t>Exista plena certeza de que anteriormente el Instituto ya había conocido del mismo incumplimiento, y en su momento se instruyó la publicación o actualización de la obligación de transparencia correspondiente;</w:t>
      </w:r>
    </w:p>
    <w:p w:rsidR="00C33556" w:rsidRPr="001865C4" w:rsidRDefault="00C33556" w:rsidP="007B058C">
      <w:pPr>
        <w:pStyle w:val="Texto"/>
        <w:spacing w:after="0" w:line="360" w:lineRule="auto"/>
        <w:ind w:left="1068" w:right="567" w:firstLine="0"/>
        <w:rPr>
          <w:i/>
          <w:sz w:val="20"/>
          <w:szCs w:val="22"/>
        </w:rPr>
      </w:pPr>
    </w:p>
    <w:p w:rsidR="00C33556" w:rsidRPr="001865C4" w:rsidRDefault="00C33556" w:rsidP="007B058C">
      <w:pPr>
        <w:pStyle w:val="Texto"/>
        <w:numPr>
          <w:ilvl w:val="0"/>
          <w:numId w:val="4"/>
        </w:numPr>
        <w:spacing w:after="0" w:line="360" w:lineRule="auto"/>
        <w:ind w:left="1068" w:right="567"/>
        <w:rPr>
          <w:i/>
          <w:sz w:val="20"/>
          <w:szCs w:val="22"/>
        </w:rPr>
      </w:pPr>
      <w:r w:rsidRPr="001865C4">
        <w:rPr>
          <w:i/>
          <w:sz w:val="20"/>
          <w:szCs w:val="22"/>
        </w:rPr>
        <w:t>El particular no desahogue la prevención a que hace referencia el numeral anterior, en el plazo señalado;</w:t>
      </w:r>
    </w:p>
    <w:p w:rsidR="00C33556" w:rsidRPr="001865C4" w:rsidRDefault="00C33556" w:rsidP="007B058C">
      <w:pPr>
        <w:pStyle w:val="Texto"/>
        <w:spacing w:after="0" w:line="360" w:lineRule="auto"/>
        <w:ind w:left="1068" w:right="567" w:firstLine="708"/>
        <w:rPr>
          <w:i/>
          <w:sz w:val="20"/>
          <w:szCs w:val="22"/>
        </w:rPr>
      </w:pPr>
    </w:p>
    <w:p w:rsidR="00C33556" w:rsidRPr="001865C4" w:rsidRDefault="00C33556" w:rsidP="007B058C">
      <w:pPr>
        <w:pStyle w:val="Texto"/>
        <w:numPr>
          <w:ilvl w:val="0"/>
          <w:numId w:val="4"/>
        </w:numPr>
        <w:spacing w:after="0" w:line="360" w:lineRule="auto"/>
        <w:ind w:left="1068" w:right="567"/>
        <w:rPr>
          <w:i/>
          <w:sz w:val="20"/>
          <w:szCs w:val="22"/>
        </w:rPr>
      </w:pPr>
      <w:r w:rsidRPr="001865C4">
        <w:rPr>
          <w:i/>
          <w:sz w:val="20"/>
          <w:szCs w:val="22"/>
        </w:rPr>
        <w:t>La denuncia no verse sobre presuntos incumplimientos de las obligaciones de transparencia previstas en los artículos 70 a 82 de la Ley General;</w:t>
      </w:r>
    </w:p>
    <w:p w:rsidR="00C33556" w:rsidRPr="001865C4" w:rsidRDefault="00C33556" w:rsidP="007B058C">
      <w:pPr>
        <w:pStyle w:val="Texto"/>
        <w:spacing w:after="0" w:line="360" w:lineRule="auto"/>
        <w:ind w:left="1068" w:right="567" w:firstLine="0"/>
        <w:rPr>
          <w:i/>
          <w:sz w:val="20"/>
          <w:szCs w:val="22"/>
        </w:rPr>
      </w:pPr>
    </w:p>
    <w:p w:rsidR="00C33556" w:rsidRPr="001865C4" w:rsidRDefault="00C33556" w:rsidP="007B058C">
      <w:pPr>
        <w:pStyle w:val="Texto"/>
        <w:numPr>
          <w:ilvl w:val="0"/>
          <w:numId w:val="4"/>
        </w:numPr>
        <w:spacing w:after="0" w:line="360" w:lineRule="auto"/>
        <w:ind w:left="1068" w:right="567"/>
        <w:rPr>
          <w:i/>
          <w:sz w:val="20"/>
          <w:szCs w:val="22"/>
        </w:rPr>
      </w:pPr>
      <w:r w:rsidRPr="001865C4">
        <w:rPr>
          <w:i/>
          <w:sz w:val="20"/>
          <w:szCs w:val="22"/>
        </w:rPr>
        <w:t>La denuncia se refiera al ejercicio del derecho de acceso a la información;</w:t>
      </w:r>
    </w:p>
    <w:p w:rsidR="00C33556" w:rsidRPr="001865C4" w:rsidRDefault="00C33556" w:rsidP="007B058C">
      <w:pPr>
        <w:pStyle w:val="Texto"/>
        <w:spacing w:after="0" w:line="360" w:lineRule="auto"/>
        <w:ind w:left="1068" w:right="567" w:firstLine="0"/>
        <w:rPr>
          <w:i/>
          <w:sz w:val="20"/>
          <w:szCs w:val="22"/>
        </w:rPr>
      </w:pPr>
    </w:p>
    <w:p w:rsidR="00C33556" w:rsidRPr="001865C4" w:rsidRDefault="00C33556" w:rsidP="007B058C">
      <w:pPr>
        <w:pStyle w:val="Texto"/>
        <w:numPr>
          <w:ilvl w:val="0"/>
          <w:numId w:val="4"/>
        </w:numPr>
        <w:spacing w:after="0" w:line="360" w:lineRule="auto"/>
        <w:ind w:left="1068" w:right="567"/>
        <w:rPr>
          <w:i/>
          <w:sz w:val="20"/>
          <w:szCs w:val="22"/>
        </w:rPr>
      </w:pPr>
      <w:r w:rsidRPr="001865C4">
        <w:rPr>
          <w:i/>
          <w:sz w:val="20"/>
          <w:szCs w:val="22"/>
        </w:rPr>
        <w:t>La denuncia verse sobre el trámite de algún medio de impugnación; o,</w:t>
      </w:r>
    </w:p>
    <w:p w:rsidR="00C33556" w:rsidRPr="001865C4" w:rsidRDefault="00C33556" w:rsidP="007B058C">
      <w:pPr>
        <w:pStyle w:val="Texto"/>
        <w:spacing w:after="0" w:line="360" w:lineRule="auto"/>
        <w:ind w:left="1068" w:right="567" w:firstLine="0"/>
        <w:rPr>
          <w:i/>
          <w:sz w:val="20"/>
          <w:szCs w:val="22"/>
        </w:rPr>
      </w:pPr>
    </w:p>
    <w:p w:rsidR="00C33556" w:rsidRPr="001865C4" w:rsidRDefault="00C33556" w:rsidP="007B058C">
      <w:pPr>
        <w:pStyle w:val="Texto"/>
        <w:numPr>
          <w:ilvl w:val="0"/>
          <w:numId w:val="4"/>
        </w:numPr>
        <w:spacing w:after="0" w:line="360" w:lineRule="auto"/>
        <w:ind w:left="1068" w:right="567"/>
        <w:rPr>
          <w:i/>
          <w:sz w:val="20"/>
          <w:szCs w:val="22"/>
        </w:rPr>
      </w:pPr>
      <w:r w:rsidRPr="001865C4">
        <w:rPr>
          <w:i/>
          <w:sz w:val="20"/>
          <w:szCs w:val="22"/>
        </w:rPr>
        <w:t xml:space="preserve">Sea presentada por un medio distinto a los previstos en el numeral décimo segundo. </w:t>
      </w:r>
    </w:p>
    <w:p w:rsidR="002F6F41" w:rsidRDefault="002F6F41" w:rsidP="007B058C">
      <w:pPr>
        <w:spacing w:after="0" w:line="360" w:lineRule="auto"/>
        <w:jc w:val="both"/>
        <w:rPr>
          <w:rFonts w:ascii="Arial" w:hAnsi="Arial"/>
        </w:rPr>
      </w:pPr>
    </w:p>
    <w:p w:rsidR="004E71B9" w:rsidRPr="004E71B9" w:rsidRDefault="004E71B9" w:rsidP="007B058C">
      <w:pPr>
        <w:spacing w:after="0" w:line="360" w:lineRule="auto"/>
        <w:jc w:val="both"/>
        <w:rPr>
          <w:rFonts w:ascii="Arial" w:hAnsi="Arial"/>
        </w:rPr>
      </w:pPr>
      <w:r>
        <w:rPr>
          <w:rFonts w:ascii="Arial" w:hAnsi="Arial"/>
        </w:rPr>
        <w:t xml:space="preserve">Por acuerdo CONAIP/SNT/ACUERDO/ORD01-15/12/2017-08, aprobado por el Pleno del Sistema Nacional de Transparencia, Acceso a la Información Pública y Protección de Datos Personales, en adelante Sistema Nacional, en sesión celebrada el quince de diciembre de dos mil diecisiete, y publicado en el Diario Oficial de la Federación el veintiocho del propio mes y año, </w:t>
      </w:r>
      <w:r w:rsidRPr="004E71B9">
        <w:rPr>
          <w:rFonts w:ascii="Arial" w:hAnsi="Arial" w:cs="Arial"/>
          <w:szCs w:val="24"/>
        </w:rPr>
        <w:t xml:space="preserve">mediante el cual se modifican los </w:t>
      </w:r>
      <w:r w:rsidR="003F7693">
        <w:rPr>
          <w:rFonts w:ascii="Arial" w:hAnsi="Arial" w:cs="Arial"/>
          <w:szCs w:val="24"/>
        </w:rPr>
        <w:t>L</w:t>
      </w:r>
      <w:r w:rsidRPr="004E71B9">
        <w:rPr>
          <w:rFonts w:ascii="Arial" w:hAnsi="Arial" w:cs="Arial"/>
          <w:szCs w:val="24"/>
        </w:rPr>
        <w:t xml:space="preserve">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así como los criterios y formatos contenidos en los anexos de los propios </w:t>
      </w:r>
      <w:r w:rsidR="003F7693">
        <w:rPr>
          <w:rFonts w:ascii="Arial" w:hAnsi="Arial" w:cs="Arial"/>
          <w:szCs w:val="24"/>
        </w:rPr>
        <w:t>L</w:t>
      </w:r>
      <w:r w:rsidRPr="004E71B9">
        <w:rPr>
          <w:rFonts w:ascii="Arial" w:hAnsi="Arial" w:cs="Arial"/>
          <w:szCs w:val="24"/>
        </w:rPr>
        <w:t>ineamientos, derivado de la verificación diagnóstica</w:t>
      </w:r>
      <w:r>
        <w:rPr>
          <w:rFonts w:ascii="Arial" w:hAnsi="Arial" w:cs="Arial"/>
          <w:szCs w:val="24"/>
        </w:rPr>
        <w:t xml:space="preserve"> </w:t>
      </w:r>
      <w:r w:rsidRPr="004E71B9">
        <w:rPr>
          <w:rFonts w:ascii="Arial" w:hAnsi="Arial" w:cs="Arial"/>
          <w:szCs w:val="24"/>
        </w:rPr>
        <w:t>realizada por los organismos garantes de la federación y de las entidades federativas;</w:t>
      </w:r>
      <w:r>
        <w:rPr>
          <w:rFonts w:ascii="Arial" w:hAnsi="Arial" w:cs="Arial"/>
          <w:szCs w:val="24"/>
        </w:rPr>
        <w:t xml:space="preserve"> </w:t>
      </w:r>
      <w:r w:rsidRPr="004E71B9">
        <w:rPr>
          <w:rFonts w:ascii="Arial" w:hAnsi="Arial" w:cs="Arial"/>
          <w:szCs w:val="24"/>
        </w:rPr>
        <w:t>asimismo se modifican las Directrices del Pleno del Consejo Nacional del Sistema Nacional de Transparencia, Acceso a la Información Pública y Protección de Datos Personales en materia de Verificación Diagnóstica de las obligaciones de transparencia y atención a la Denuncia por incumplimiento a las obligaciones de transparencia</w:t>
      </w:r>
      <w:r>
        <w:rPr>
          <w:rFonts w:ascii="Arial" w:hAnsi="Arial" w:cs="Arial"/>
          <w:szCs w:val="24"/>
        </w:rPr>
        <w:t xml:space="preserve">, </w:t>
      </w:r>
      <w:r>
        <w:rPr>
          <w:rFonts w:ascii="Arial" w:hAnsi="Arial"/>
        </w:rPr>
        <w:t xml:space="preserve">se determinó que </w:t>
      </w:r>
      <w:r w:rsidRPr="004E71B9">
        <w:rPr>
          <w:rFonts w:ascii="Arial" w:hAnsi="Arial" w:cs="Arial"/>
          <w:szCs w:val="24"/>
        </w:rPr>
        <w:t xml:space="preserve">los sujetos obligados del país deberán cargar la información correspondiente a sus obligaciones de transparencia, en los nuevos formatos alojados en el Sistema de Portales de Obligaciones de Transparencia de la Plataforma Nacional de Transparencia y sus respectivos portales institucionales, entre el </w:t>
      </w:r>
      <w:r>
        <w:rPr>
          <w:rFonts w:ascii="Arial" w:hAnsi="Arial" w:cs="Arial"/>
          <w:szCs w:val="24"/>
        </w:rPr>
        <w:t>primero</w:t>
      </w:r>
      <w:r w:rsidRPr="004E71B9">
        <w:rPr>
          <w:rFonts w:ascii="Arial" w:hAnsi="Arial" w:cs="Arial"/>
          <w:szCs w:val="24"/>
        </w:rPr>
        <w:t xml:space="preserve"> y el</w:t>
      </w:r>
      <w:r>
        <w:rPr>
          <w:rFonts w:ascii="Arial" w:hAnsi="Arial" w:cs="Arial"/>
          <w:szCs w:val="24"/>
        </w:rPr>
        <w:t xml:space="preserve"> treinta</w:t>
      </w:r>
      <w:r w:rsidRPr="004E71B9">
        <w:rPr>
          <w:rFonts w:ascii="Arial" w:hAnsi="Arial" w:cs="Arial"/>
          <w:szCs w:val="24"/>
        </w:rPr>
        <w:t xml:space="preserve"> de abril de </w:t>
      </w:r>
      <w:r>
        <w:rPr>
          <w:rFonts w:ascii="Arial" w:hAnsi="Arial" w:cs="Arial"/>
          <w:szCs w:val="24"/>
        </w:rPr>
        <w:t xml:space="preserve">dos mil </w:t>
      </w:r>
      <w:r>
        <w:rPr>
          <w:rFonts w:ascii="Arial" w:hAnsi="Arial" w:cs="Arial"/>
          <w:szCs w:val="24"/>
        </w:rPr>
        <w:lastRenderedPageBreak/>
        <w:t>dieciocho</w:t>
      </w:r>
      <w:r w:rsidRPr="004E71B9">
        <w:rPr>
          <w:rFonts w:ascii="Arial" w:hAnsi="Arial" w:cs="Arial"/>
          <w:szCs w:val="24"/>
        </w:rPr>
        <w:t>, de conformidad con la fracción II del numeral Octavo del Capítulo II de los Lineamientos Técnicos Generales</w:t>
      </w:r>
      <w:r>
        <w:rPr>
          <w:rFonts w:ascii="Arial" w:hAnsi="Arial" w:cs="Arial"/>
          <w:szCs w:val="24"/>
        </w:rPr>
        <w:t>.</w:t>
      </w:r>
    </w:p>
    <w:p w:rsidR="004E71B9" w:rsidRDefault="004E71B9" w:rsidP="007B058C">
      <w:pPr>
        <w:spacing w:after="0" w:line="360" w:lineRule="auto"/>
        <w:jc w:val="both"/>
        <w:rPr>
          <w:rFonts w:ascii="Arial" w:hAnsi="Arial"/>
        </w:rPr>
      </w:pPr>
    </w:p>
    <w:p w:rsidR="00762881" w:rsidRDefault="00762881" w:rsidP="007B058C">
      <w:pPr>
        <w:spacing w:after="0" w:line="360" w:lineRule="auto"/>
        <w:jc w:val="both"/>
        <w:rPr>
          <w:rFonts w:ascii="Arial" w:hAnsi="Arial"/>
        </w:rPr>
      </w:pPr>
      <w:r>
        <w:rPr>
          <w:rFonts w:ascii="Arial" w:hAnsi="Arial"/>
        </w:rPr>
        <w:t xml:space="preserve">Asimismo, el numeral 9 del Apartado A) de las </w:t>
      </w:r>
      <w:r w:rsidRPr="001E418B">
        <w:rPr>
          <w:rFonts w:ascii="Arial" w:hAnsi="Arial"/>
          <w:i/>
        </w:rPr>
        <w:t>Directrices para llevar a cabo la verificación diagnóstica establecida en el Artículo Tercero Transitorio de los Lineamientos Técnicos Generales para la publicación y homologación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así como la atención a la denuncia por incumplimiento a las obligaciones de transparencia</w:t>
      </w:r>
      <w:r>
        <w:rPr>
          <w:rFonts w:ascii="Arial" w:hAnsi="Arial"/>
          <w:i/>
        </w:rPr>
        <w:t xml:space="preserve">, </w:t>
      </w:r>
      <w:r>
        <w:rPr>
          <w:rFonts w:ascii="Arial" w:hAnsi="Arial"/>
        </w:rPr>
        <w:t xml:space="preserve">modificadas a través del acuerdo CONAIP/SNT/ACUERDO/ORD01-15/12/2017-08, señala lo siguiente:  </w:t>
      </w:r>
    </w:p>
    <w:p w:rsidR="00762881" w:rsidRDefault="00762881" w:rsidP="007B058C">
      <w:pPr>
        <w:spacing w:after="0" w:line="360" w:lineRule="auto"/>
        <w:jc w:val="both"/>
        <w:rPr>
          <w:rFonts w:ascii="Arial" w:hAnsi="Arial"/>
        </w:rPr>
      </w:pPr>
    </w:p>
    <w:p w:rsidR="00762881" w:rsidRDefault="00762881" w:rsidP="007B058C">
      <w:pPr>
        <w:autoSpaceDE w:val="0"/>
        <w:autoSpaceDN w:val="0"/>
        <w:adjustRightInd w:val="0"/>
        <w:spacing w:after="0" w:line="360" w:lineRule="auto"/>
        <w:ind w:left="567" w:right="567"/>
        <w:jc w:val="both"/>
        <w:rPr>
          <w:rFonts w:ascii="Arial" w:hAnsi="Arial" w:cs="Arial"/>
          <w:i/>
          <w:iCs/>
          <w:sz w:val="20"/>
          <w:szCs w:val="20"/>
        </w:rPr>
      </w:pPr>
      <w:r>
        <w:rPr>
          <w:rFonts w:ascii="Arial" w:hAnsi="Arial" w:cs="Arial"/>
          <w:b/>
          <w:bCs/>
          <w:i/>
          <w:iCs/>
          <w:sz w:val="20"/>
          <w:szCs w:val="20"/>
        </w:rPr>
        <w:t xml:space="preserve">9. </w:t>
      </w:r>
      <w:r>
        <w:rPr>
          <w:rFonts w:ascii="Arial" w:hAnsi="Arial" w:cs="Arial"/>
          <w:i/>
          <w:iCs/>
          <w:sz w:val="20"/>
          <w:szCs w:val="20"/>
        </w:rPr>
        <w:t>A partir del día hábil siguiente de acuerdo al calendario de cada organismo garante, al que concluya la verificación diagnóstica, las verificaciones que se realicen a las obligaciones de transparencia serán vinculantes, conforme a la Ley General.</w:t>
      </w:r>
    </w:p>
    <w:p w:rsidR="004E71B9" w:rsidRDefault="004E71B9" w:rsidP="007B058C">
      <w:pPr>
        <w:autoSpaceDE w:val="0"/>
        <w:autoSpaceDN w:val="0"/>
        <w:adjustRightInd w:val="0"/>
        <w:spacing w:after="0" w:line="360" w:lineRule="auto"/>
        <w:ind w:left="567" w:right="567"/>
        <w:jc w:val="both"/>
        <w:rPr>
          <w:rFonts w:ascii="Arial" w:hAnsi="Arial" w:cs="Arial"/>
          <w:bCs/>
          <w:i/>
          <w:iCs/>
          <w:sz w:val="20"/>
          <w:szCs w:val="20"/>
        </w:rPr>
      </w:pPr>
    </w:p>
    <w:p w:rsidR="00762881" w:rsidRPr="00596A71" w:rsidRDefault="00762881" w:rsidP="007B058C">
      <w:pPr>
        <w:autoSpaceDE w:val="0"/>
        <w:autoSpaceDN w:val="0"/>
        <w:adjustRightInd w:val="0"/>
        <w:spacing w:after="0" w:line="360" w:lineRule="auto"/>
        <w:ind w:left="567" w:right="567"/>
        <w:jc w:val="both"/>
        <w:rPr>
          <w:rFonts w:ascii="Arial" w:hAnsi="Arial" w:cs="Arial"/>
          <w:bCs/>
          <w:i/>
          <w:iCs/>
          <w:sz w:val="20"/>
          <w:szCs w:val="20"/>
        </w:rPr>
      </w:pPr>
      <w:r w:rsidRPr="00596A71">
        <w:rPr>
          <w:rFonts w:ascii="Arial" w:hAnsi="Arial" w:cs="Arial"/>
          <w:bCs/>
          <w:i/>
          <w:iCs/>
          <w:sz w:val="20"/>
          <w:szCs w:val="20"/>
        </w:rPr>
        <w:t>La implementación de los Lineamientos Técnicos Generales reformados, así como los nuevos formatos de captura de la información en el Sistema de Portales de Obligaciones de Transparencia, no implica que no pueda presentarse la denuncia ciudadana con todos sus efectos vinculantes, ya que a partir del primer día hábil del año 2018, de acuerdo con el calendario de cada organismo garante, los sujetos obligados deberán iniciar la carga de la información correspondiente al último trimestre de 2017, en los formatos del Sistema de Portales de Obligaciones de Transparencia que actualmente se encuentran vigentes. Por lo que las denuncias en contra de la falta de publicación y actualización de las obligaciones de transparencia de 2017 serán procedentes a partir del primer día hábil del año 2018, precisando que la falta de publicación y actualización de las obligaciones de transparencia correspondientes al último trimestre de 2017, es decir, octubre, noviembre y diciembre, podrá ser denunciada a partir del primero de febrero de 2018, tomando en cuenta que los sujetos obligados deberán tener publicada la información correspondiente a dicho periodo dentro de los treinta días naturales posteriores al cierre del mismo.</w:t>
      </w:r>
    </w:p>
    <w:p w:rsidR="00762881" w:rsidRPr="00596A71" w:rsidRDefault="00762881" w:rsidP="007B058C">
      <w:pPr>
        <w:autoSpaceDE w:val="0"/>
        <w:autoSpaceDN w:val="0"/>
        <w:adjustRightInd w:val="0"/>
        <w:spacing w:after="0" w:line="360" w:lineRule="auto"/>
        <w:ind w:left="567" w:right="567"/>
        <w:jc w:val="both"/>
        <w:rPr>
          <w:rFonts w:ascii="Arial" w:hAnsi="Arial" w:cs="Arial"/>
          <w:bCs/>
          <w:i/>
          <w:iCs/>
          <w:sz w:val="20"/>
          <w:szCs w:val="20"/>
        </w:rPr>
      </w:pPr>
    </w:p>
    <w:p w:rsidR="00762881" w:rsidRPr="00596A71" w:rsidRDefault="00762881" w:rsidP="007B058C">
      <w:pPr>
        <w:autoSpaceDE w:val="0"/>
        <w:autoSpaceDN w:val="0"/>
        <w:adjustRightInd w:val="0"/>
        <w:spacing w:after="0" w:line="360" w:lineRule="auto"/>
        <w:ind w:left="567" w:right="567"/>
        <w:jc w:val="both"/>
        <w:rPr>
          <w:rFonts w:ascii="Arial" w:hAnsi="Arial"/>
        </w:rPr>
      </w:pPr>
      <w:r w:rsidRPr="00596A71">
        <w:rPr>
          <w:rFonts w:ascii="Arial" w:hAnsi="Arial" w:cs="Arial"/>
          <w:bCs/>
          <w:i/>
          <w:iCs/>
          <w:sz w:val="20"/>
          <w:szCs w:val="20"/>
        </w:rPr>
        <w:t xml:space="preserve">Por lo que corresponde </w:t>
      </w:r>
      <w:r w:rsidRPr="00596A71">
        <w:rPr>
          <w:rFonts w:ascii="Arial" w:hAnsi="Arial" w:cs="Arial"/>
          <w:bCs/>
          <w:i/>
          <w:iCs/>
          <w:sz w:val="20"/>
          <w:szCs w:val="20"/>
          <w:u w:val="single"/>
        </w:rPr>
        <w:t>a la falta de publicación y actualización de las obligaciones de transparencia correspondientes a la información cargada de 2018, con los nuevos formatos, podrá ser denunciada una vez que haya finalizado el plazo que tendrán los sujetos obligados para cargar la información de sus obligaciones de transparencia, es decir, a partir del 1° de mayo de 2018</w:t>
      </w:r>
      <w:r w:rsidRPr="00596A71">
        <w:rPr>
          <w:rFonts w:ascii="Arial" w:hAnsi="Arial" w:cs="Arial"/>
          <w:bCs/>
          <w:i/>
          <w:iCs/>
          <w:sz w:val="20"/>
          <w:szCs w:val="20"/>
        </w:rPr>
        <w:t>. En el caso de las obligaciones comunes y específicas adicionales a la Ley General emanadas de las leyes locales, la denuncia podrá ser presentada en función del tiempo de carga que cada organismo garante determine.</w:t>
      </w:r>
    </w:p>
    <w:p w:rsidR="007376F8" w:rsidRDefault="007376F8" w:rsidP="007B058C">
      <w:pPr>
        <w:spacing w:after="0" w:line="360" w:lineRule="auto"/>
        <w:jc w:val="both"/>
        <w:rPr>
          <w:rFonts w:ascii="Arial" w:hAnsi="Arial"/>
        </w:rPr>
      </w:pPr>
    </w:p>
    <w:p w:rsidR="00ED1C08" w:rsidRDefault="00ED1C08" w:rsidP="007B058C">
      <w:pPr>
        <w:spacing w:after="0" w:line="360" w:lineRule="auto"/>
        <w:jc w:val="both"/>
        <w:rPr>
          <w:rFonts w:ascii="Arial" w:hAnsi="Arial"/>
        </w:rPr>
      </w:pPr>
      <w:r>
        <w:rPr>
          <w:rFonts w:ascii="Arial" w:hAnsi="Arial"/>
        </w:rPr>
        <w:t>De la interpretación armónica efectuada a los preceptos legales antes transcritos, se colige lo siguiente:</w:t>
      </w:r>
    </w:p>
    <w:p w:rsidR="00ED1C08" w:rsidRDefault="00ED1C08" w:rsidP="007B058C">
      <w:pPr>
        <w:spacing w:after="0" w:line="360" w:lineRule="auto"/>
        <w:jc w:val="both"/>
        <w:rPr>
          <w:rFonts w:ascii="Arial" w:hAnsi="Arial"/>
        </w:rPr>
      </w:pPr>
    </w:p>
    <w:p w:rsidR="00C33556" w:rsidRDefault="00C33556" w:rsidP="007B058C">
      <w:pPr>
        <w:pStyle w:val="Prrafodelista"/>
        <w:numPr>
          <w:ilvl w:val="0"/>
          <w:numId w:val="5"/>
        </w:numPr>
        <w:spacing w:after="0" w:line="360" w:lineRule="auto"/>
        <w:jc w:val="both"/>
        <w:rPr>
          <w:rFonts w:ascii="Arial" w:hAnsi="Arial"/>
        </w:rPr>
      </w:pPr>
      <w:r>
        <w:rPr>
          <w:rFonts w:ascii="Arial" w:hAnsi="Arial"/>
        </w:rPr>
        <w:t>Que es atribución del Instituto Estatal de Transparencia, Acceso a la Información Pública y Protección de Datos Personales verificar, a petición de los p</w:t>
      </w:r>
      <w:r w:rsidRPr="00C33556">
        <w:rPr>
          <w:rFonts w:ascii="Arial" w:hAnsi="Arial"/>
        </w:rPr>
        <w:t xml:space="preserve">articulares el cumplimiento que los sujetos obligados den a </w:t>
      </w:r>
      <w:r w:rsidRPr="00C33556">
        <w:rPr>
          <w:rFonts w:ascii="Arial" w:hAnsi="Arial"/>
        </w:rPr>
        <w:lastRenderedPageBreak/>
        <w:t>obligaciones de transparencia que deben publicar en los portales de Internet y en la Plataforma Nacional de Transparencia</w:t>
      </w:r>
      <w:r>
        <w:rPr>
          <w:rFonts w:ascii="Arial" w:hAnsi="Arial"/>
        </w:rPr>
        <w:t>, a través del procedimiento de denuncia.</w:t>
      </w:r>
    </w:p>
    <w:p w:rsidR="00C33556" w:rsidRDefault="00C33556" w:rsidP="007B058C">
      <w:pPr>
        <w:pStyle w:val="Prrafodelista"/>
        <w:spacing w:after="0" w:line="360" w:lineRule="auto"/>
        <w:ind w:left="360"/>
        <w:jc w:val="both"/>
        <w:rPr>
          <w:rFonts w:ascii="Arial" w:hAnsi="Arial"/>
        </w:rPr>
      </w:pPr>
    </w:p>
    <w:p w:rsidR="004E71B9" w:rsidRPr="004E71B9" w:rsidRDefault="00C33556" w:rsidP="007B058C">
      <w:pPr>
        <w:pStyle w:val="Prrafodelista"/>
        <w:numPr>
          <w:ilvl w:val="0"/>
          <w:numId w:val="5"/>
        </w:numPr>
        <w:spacing w:after="0" w:line="360" w:lineRule="auto"/>
        <w:jc w:val="both"/>
        <w:rPr>
          <w:rFonts w:ascii="Arial" w:hAnsi="Arial"/>
        </w:rPr>
      </w:pPr>
      <w:r>
        <w:rPr>
          <w:rFonts w:ascii="Arial" w:hAnsi="Arial"/>
        </w:rPr>
        <w:t xml:space="preserve">En concordancia con lo dicho en el punto que antecede, sólo podrán ser procedentes </w:t>
      </w:r>
      <w:r w:rsidR="00C91959">
        <w:rPr>
          <w:rFonts w:ascii="Arial" w:hAnsi="Arial"/>
        </w:rPr>
        <w:t>para efectos del procedimiento de denuncia, aquellas manifestaciones que refie</w:t>
      </w:r>
      <w:r w:rsidR="009134B3">
        <w:rPr>
          <w:rFonts w:ascii="Arial" w:hAnsi="Arial"/>
        </w:rPr>
        <w:t xml:space="preserve">ran a la falta de publicación </w:t>
      </w:r>
      <w:r w:rsidR="00C91959">
        <w:rPr>
          <w:rFonts w:ascii="Arial" w:hAnsi="Arial"/>
        </w:rPr>
        <w:t xml:space="preserve">o actualización por parte de los sujetos obligados a las obligaciones de transparencia </w:t>
      </w:r>
      <w:r w:rsidR="001865C4">
        <w:rPr>
          <w:rFonts w:ascii="Arial" w:hAnsi="Arial"/>
        </w:rPr>
        <w:t xml:space="preserve">previstas en los artículos 70 a 82 de la Ley General, </w:t>
      </w:r>
      <w:r w:rsidR="00C91959">
        <w:rPr>
          <w:rFonts w:ascii="Arial" w:hAnsi="Arial"/>
        </w:rPr>
        <w:t>que deben publicar en los portales de Internet y en la Plataforma Nacional de Transparencia.</w:t>
      </w:r>
    </w:p>
    <w:p w:rsidR="004E71B9" w:rsidRPr="004E71B9" w:rsidRDefault="004E71B9" w:rsidP="007B058C">
      <w:pPr>
        <w:pStyle w:val="Prrafodelista"/>
        <w:spacing w:after="0" w:line="360" w:lineRule="auto"/>
        <w:rPr>
          <w:rFonts w:ascii="Arial" w:hAnsi="Arial"/>
        </w:rPr>
      </w:pPr>
    </w:p>
    <w:p w:rsidR="000668F0" w:rsidRDefault="000668F0" w:rsidP="007B058C">
      <w:pPr>
        <w:pStyle w:val="Prrafodelista"/>
        <w:numPr>
          <w:ilvl w:val="0"/>
          <w:numId w:val="5"/>
        </w:numPr>
        <w:spacing w:after="0" w:line="360" w:lineRule="auto"/>
        <w:jc w:val="both"/>
        <w:rPr>
          <w:rFonts w:ascii="Arial" w:hAnsi="Arial"/>
        </w:rPr>
      </w:pPr>
      <w:r>
        <w:rPr>
          <w:rFonts w:ascii="Arial" w:hAnsi="Arial"/>
        </w:rPr>
        <w:t>Los sujetos obligados deben actualizar la información de sus obligaciones de transparencia, en su portal de Internet y en la Plataforma Nacional de Transparencia, dentro de los treinta días siguientes al cierre del periodo de actualización que corresponda, salvo las excepciones establecidas en los Lineamientos Técnicos Generales.</w:t>
      </w:r>
    </w:p>
    <w:p w:rsidR="000668F0" w:rsidRPr="000668F0" w:rsidRDefault="000668F0" w:rsidP="007B058C">
      <w:pPr>
        <w:pStyle w:val="Prrafodelista"/>
        <w:spacing w:after="0" w:line="360" w:lineRule="auto"/>
        <w:rPr>
          <w:rFonts w:ascii="Arial" w:hAnsi="Arial"/>
        </w:rPr>
      </w:pPr>
    </w:p>
    <w:p w:rsidR="004E71B9" w:rsidRDefault="004E71B9" w:rsidP="007B058C">
      <w:pPr>
        <w:pStyle w:val="Prrafodelista"/>
        <w:numPr>
          <w:ilvl w:val="0"/>
          <w:numId w:val="5"/>
        </w:numPr>
        <w:spacing w:after="0" w:line="360" w:lineRule="auto"/>
        <w:jc w:val="both"/>
        <w:rPr>
          <w:rFonts w:ascii="Arial" w:hAnsi="Arial"/>
        </w:rPr>
      </w:pPr>
      <w:r>
        <w:rPr>
          <w:rFonts w:ascii="Arial" w:hAnsi="Arial"/>
        </w:rPr>
        <w:t xml:space="preserve">Que los sujetos obligados </w:t>
      </w:r>
      <w:r w:rsidR="000668F0">
        <w:rPr>
          <w:rFonts w:ascii="Arial" w:hAnsi="Arial"/>
        </w:rPr>
        <w:t>deben cargar la información</w:t>
      </w:r>
      <w:r w:rsidR="000668F0" w:rsidRPr="000668F0">
        <w:rPr>
          <w:rFonts w:ascii="Arial" w:hAnsi="Arial"/>
        </w:rPr>
        <w:t xml:space="preserve"> </w:t>
      </w:r>
      <w:r w:rsidR="000668F0">
        <w:rPr>
          <w:rFonts w:ascii="Arial" w:hAnsi="Arial"/>
        </w:rPr>
        <w:t>correspondiente al ejercicio dos mil dieciocho, inherente a sus obligaciones de transparencia, cuando así proceda según su periodo de actualización señalado en los Lineamientos Técnicos Generales, del primero al treinta de abril del presente año</w:t>
      </w:r>
      <w:r w:rsidR="00485AD9">
        <w:rPr>
          <w:rFonts w:ascii="Arial" w:hAnsi="Arial"/>
        </w:rPr>
        <w:t>. En este sentido, la falta de publicación de la información referida, no es sancionable hasta en tanto no concluya el periodo señalado.</w:t>
      </w:r>
    </w:p>
    <w:p w:rsidR="004E71B9" w:rsidRPr="004E71B9" w:rsidRDefault="004E71B9" w:rsidP="007B058C">
      <w:pPr>
        <w:pStyle w:val="Prrafodelista"/>
        <w:spacing w:after="0" w:line="360" w:lineRule="auto"/>
        <w:rPr>
          <w:rFonts w:ascii="Arial" w:hAnsi="Arial"/>
        </w:rPr>
      </w:pPr>
    </w:p>
    <w:p w:rsidR="0000176F" w:rsidRPr="00C91959" w:rsidRDefault="00FA3CBD" w:rsidP="007B058C">
      <w:pPr>
        <w:pStyle w:val="Prrafodelista"/>
        <w:numPr>
          <w:ilvl w:val="0"/>
          <w:numId w:val="5"/>
        </w:numPr>
        <w:spacing w:after="0" w:line="360" w:lineRule="auto"/>
        <w:jc w:val="both"/>
        <w:rPr>
          <w:rFonts w:ascii="Arial" w:hAnsi="Arial"/>
        </w:rPr>
      </w:pPr>
      <w:r>
        <w:rPr>
          <w:rFonts w:ascii="Arial" w:hAnsi="Arial"/>
        </w:rPr>
        <w:t xml:space="preserve">Como consecuencia de </w:t>
      </w:r>
      <w:r w:rsidR="000668F0">
        <w:rPr>
          <w:rFonts w:ascii="Arial" w:hAnsi="Arial"/>
        </w:rPr>
        <w:t xml:space="preserve">lo dicho en el punto </w:t>
      </w:r>
      <w:r w:rsidR="00485AD9">
        <w:rPr>
          <w:rFonts w:ascii="Arial" w:hAnsi="Arial"/>
        </w:rPr>
        <w:t>que precede</w:t>
      </w:r>
      <w:r w:rsidR="000668F0">
        <w:rPr>
          <w:rFonts w:ascii="Arial" w:hAnsi="Arial"/>
        </w:rPr>
        <w:t>, l</w:t>
      </w:r>
      <w:r w:rsidR="00FA694B">
        <w:rPr>
          <w:rFonts w:ascii="Arial" w:hAnsi="Arial"/>
        </w:rPr>
        <w:t>a denuncia por la falta de publicación de las obligaciones de transparencia correspondientes al ejercicio dos mil dieciocho, únicamente será procedente a partir del primero de mayo del presente año</w:t>
      </w:r>
      <w:r w:rsidR="00485AD9">
        <w:rPr>
          <w:rFonts w:ascii="Arial" w:hAnsi="Arial"/>
        </w:rPr>
        <w:t>.</w:t>
      </w:r>
    </w:p>
    <w:p w:rsidR="00C91959" w:rsidRPr="00C91959" w:rsidRDefault="00C91959" w:rsidP="007B058C">
      <w:pPr>
        <w:pStyle w:val="Prrafodelista"/>
        <w:spacing w:after="0" w:line="360" w:lineRule="auto"/>
        <w:rPr>
          <w:rFonts w:ascii="Arial" w:hAnsi="Arial"/>
        </w:rPr>
      </w:pPr>
    </w:p>
    <w:p w:rsidR="007B4EA6" w:rsidRDefault="007B058C" w:rsidP="007B058C">
      <w:pPr>
        <w:spacing w:after="0" w:line="360" w:lineRule="auto"/>
        <w:jc w:val="both"/>
        <w:rPr>
          <w:rFonts w:ascii="Arial" w:hAnsi="Arial"/>
        </w:rPr>
      </w:pPr>
      <w:bookmarkStart w:id="1" w:name="_Hlk512238436"/>
      <w:r>
        <w:rPr>
          <w:rFonts w:ascii="Arial" w:hAnsi="Arial"/>
        </w:rPr>
        <w:t xml:space="preserve">En mérito de lo anterior, y no obstante que la denuncia motivo del presente procedimiento </w:t>
      </w:r>
      <w:r w:rsidR="00E10DD4">
        <w:rPr>
          <w:rFonts w:ascii="Arial" w:hAnsi="Arial"/>
        </w:rPr>
        <w:t>refiere</w:t>
      </w:r>
      <w:r>
        <w:rPr>
          <w:rFonts w:ascii="Arial" w:hAnsi="Arial"/>
        </w:rPr>
        <w:t xml:space="preserve"> </w:t>
      </w:r>
      <w:r w:rsidR="00E10DD4">
        <w:rPr>
          <w:rFonts w:ascii="Arial" w:hAnsi="Arial"/>
        </w:rPr>
        <w:t xml:space="preserve">a </w:t>
      </w:r>
      <w:r>
        <w:rPr>
          <w:rFonts w:ascii="Arial" w:hAnsi="Arial"/>
        </w:rPr>
        <w:t xml:space="preserve">la falta de </w:t>
      </w:r>
      <w:r w:rsidR="007B4EA6">
        <w:rPr>
          <w:rFonts w:ascii="Arial" w:hAnsi="Arial"/>
        </w:rPr>
        <w:t>actualización</w:t>
      </w:r>
      <w:r>
        <w:rPr>
          <w:rFonts w:ascii="Arial" w:hAnsi="Arial"/>
        </w:rPr>
        <w:t xml:space="preserve"> de información</w:t>
      </w:r>
      <w:r w:rsidR="007B4EA6">
        <w:rPr>
          <w:rFonts w:ascii="Arial" w:hAnsi="Arial"/>
        </w:rPr>
        <w:t xml:space="preserve"> por parte de la Secretaría de Seguridad Pública</w:t>
      </w:r>
      <w:r>
        <w:rPr>
          <w:rFonts w:ascii="Arial" w:hAnsi="Arial"/>
        </w:rPr>
        <w:t xml:space="preserve">, se actualiza la causal de improcedencia prevista en la fracción III del numeral décimo séptimo de los Lineamientos que establecen el procedimiento de denuncia, </w:t>
      </w:r>
      <w:r w:rsidR="00FA3CBD">
        <w:rPr>
          <w:rFonts w:ascii="Arial" w:hAnsi="Arial"/>
        </w:rPr>
        <w:t>en razón</w:t>
      </w:r>
      <w:r>
        <w:rPr>
          <w:rFonts w:ascii="Arial" w:hAnsi="Arial"/>
        </w:rPr>
        <w:t xml:space="preserve"> que </w:t>
      </w:r>
      <w:r w:rsidR="00FA3CBD">
        <w:rPr>
          <w:rFonts w:ascii="Arial" w:hAnsi="Arial"/>
        </w:rPr>
        <w:t xml:space="preserve">la </w:t>
      </w:r>
      <w:r w:rsidR="003F7693">
        <w:rPr>
          <w:rFonts w:ascii="Arial" w:hAnsi="Arial"/>
        </w:rPr>
        <w:t>denuncia no versa sobre un incumplimiento por parte de</w:t>
      </w:r>
      <w:r w:rsidR="00E10DD4">
        <w:rPr>
          <w:rFonts w:ascii="Arial" w:hAnsi="Arial"/>
        </w:rPr>
        <w:t xml:space="preserve"> dicho</w:t>
      </w:r>
      <w:r w:rsidR="003F7693">
        <w:rPr>
          <w:rFonts w:ascii="Arial" w:hAnsi="Arial"/>
        </w:rPr>
        <w:t xml:space="preserve"> Sujeto Obligado, ya que </w:t>
      </w:r>
      <w:r w:rsidR="00E10DD4">
        <w:rPr>
          <w:rFonts w:ascii="Arial" w:hAnsi="Arial"/>
        </w:rPr>
        <w:t xml:space="preserve">la </w:t>
      </w:r>
      <w:r w:rsidR="00FA3CBD">
        <w:rPr>
          <w:rFonts w:ascii="Arial" w:hAnsi="Arial"/>
        </w:rPr>
        <w:t xml:space="preserve">información </w:t>
      </w:r>
      <w:r w:rsidR="00E10DD4">
        <w:rPr>
          <w:rFonts w:ascii="Arial" w:hAnsi="Arial"/>
        </w:rPr>
        <w:t xml:space="preserve">a la que alude </w:t>
      </w:r>
      <w:r w:rsidR="00FA3CBD">
        <w:rPr>
          <w:rFonts w:ascii="Arial" w:hAnsi="Arial"/>
        </w:rPr>
        <w:t>corresponde al ejercicio dos mil dieciocho, la cual se encuentra en proceso de actualización y/o publicación, y no es sancionable hasta el primero de mayo de dos mil dieciocho</w:t>
      </w:r>
      <w:r w:rsidR="003F7693">
        <w:rPr>
          <w:rFonts w:ascii="Arial" w:hAnsi="Arial"/>
        </w:rPr>
        <w:t>.</w:t>
      </w:r>
    </w:p>
    <w:bookmarkEnd w:id="1"/>
    <w:p w:rsidR="00276BEA" w:rsidRDefault="00276BEA" w:rsidP="007B058C">
      <w:pPr>
        <w:spacing w:after="0" w:line="360" w:lineRule="auto"/>
        <w:jc w:val="both"/>
        <w:rPr>
          <w:rFonts w:ascii="Arial" w:hAnsi="Arial"/>
        </w:rPr>
      </w:pPr>
    </w:p>
    <w:p w:rsidR="00C33556" w:rsidRDefault="001865C4" w:rsidP="007B058C">
      <w:pPr>
        <w:spacing w:after="0" w:line="360" w:lineRule="auto"/>
        <w:jc w:val="both"/>
        <w:rPr>
          <w:rFonts w:ascii="Arial" w:hAnsi="Arial"/>
        </w:rPr>
      </w:pPr>
      <w:r>
        <w:rPr>
          <w:rFonts w:ascii="Arial" w:hAnsi="Arial"/>
        </w:rPr>
        <w:t>Por lo expuesto y fundado se:</w:t>
      </w:r>
    </w:p>
    <w:p w:rsidR="001865C4" w:rsidRDefault="001865C4" w:rsidP="007B058C">
      <w:pPr>
        <w:spacing w:after="0" w:line="360" w:lineRule="auto"/>
        <w:jc w:val="both"/>
        <w:rPr>
          <w:rFonts w:ascii="Arial" w:hAnsi="Arial"/>
        </w:rPr>
      </w:pPr>
    </w:p>
    <w:p w:rsidR="001865C4" w:rsidRDefault="001865C4" w:rsidP="007B058C">
      <w:pPr>
        <w:spacing w:after="0" w:line="360" w:lineRule="auto"/>
        <w:jc w:val="center"/>
        <w:rPr>
          <w:rFonts w:ascii="Arial" w:hAnsi="Arial"/>
          <w:b/>
        </w:rPr>
      </w:pPr>
      <w:r>
        <w:rPr>
          <w:rFonts w:ascii="Arial" w:hAnsi="Arial"/>
          <w:b/>
        </w:rPr>
        <w:t>ACUERDA</w:t>
      </w:r>
    </w:p>
    <w:p w:rsidR="001865C4" w:rsidRDefault="001865C4" w:rsidP="007B058C">
      <w:pPr>
        <w:spacing w:after="0" w:line="360" w:lineRule="auto"/>
        <w:jc w:val="center"/>
        <w:rPr>
          <w:rFonts w:ascii="Arial" w:hAnsi="Arial"/>
          <w:b/>
        </w:rPr>
      </w:pPr>
    </w:p>
    <w:p w:rsidR="001865C4" w:rsidRDefault="001865C4" w:rsidP="007B058C">
      <w:pPr>
        <w:spacing w:after="0" w:line="360" w:lineRule="auto"/>
        <w:jc w:val="both"/>
        <w:rPr>
          <w:rFonts w:ascii="Arial" w:hAnsi="Arial"/>
        </w:rPr>
      </w:pPr>
      <w:r>
        <w:rPr>
          <w:rFonts w:ascii="Arial" w:hAnsi="Arial"/>
          <w:b/>
        </w:rPr>
        <w:t xml:space="preserve">PRIMERO. </w:t>
      </w:r>
      <w:r>
        <w:rPr>
          <w:rFonts w:ascii="Arial" w:hAnsi="Arial"/>
        </w:rPr>
        <w:t xml:space="preserve">El Pleno del Instituto Estatal de Transparencia, Acceso a la Información Pública y Protección de Datos Personales, es competente para conocer de las denuncias interpuestas </w:t>
      </w:r>
      <w:r w:rsidR="009134B3">
        <w:rPr>
          <w:rFonts w:ascii="Arial" w:hAnsi="Arial"/>
        </w:rPr>
        <w:t xml:space="preserve">por los particulares por la falta </w:t>
      </w:r>
      <w:r w:rsidR="009134B3">
        <w:rPr>
          <w:rFonts w:ascii="Arial" w:hAnsi="Arial"/>
        </w:rPr>
        <w:lastRenderedPageBreak/>
        <w:t>de publicación o actualización</w:t>
      </w:r>
      <w:r w:rsidR="0016249F">
        <w:rPr>
          <w:rFonts w:ascii="Arial" w:hAnsi="Arial"/>
        </w:rPr>
        <w:t>,</w:t>
      </w:r>
      <w:r w:rsidR="009134B3">
        <w:rPr>
          <w:rFonts w:ascii="Arial" w:hAnsi="Arial"/>
        </w:rPr>
        <w:t xml:space="preserve"> por parte de los sujetos obligados en sus sitios de Internet y en la Plataforma Nacional de Transparencia, de la información inherente a sus obligaciones de transparencia previstas en los artículos 70 a 82 de la Ley General de Transparencia y Acceso a la Información Pública, según lo dispuesto en los artículos 68 y 77 de la Ley de Transparencia y Acceso a la Información Pública del Estado de Yucatán.</w:t>
      </w:r>
    </w:p>
    <w:p w:rsidR="00485AD9" w:rsidRDefault="009134B3" w:rsidP="007B058C">
      <w:pPr>
        <w:spacing w:after="0" w:line="360" w:lineRule="auto"/>
        <w:jc w:val="both"/>
        <w:rPr>
          <w:rFonts w:ascii="Arial" w:hAnsi="Arial"/>
        </w:rPr>
      </w:pPr>
      <w:r>
        <w:rPr>
          <w:rFonts w:ascii="Arial" w:hAnsi="Arial"/>
          <w:b/>
        </w:rPr>
        <w:t xml:space="preserve">SEGUNDO. </w:t>
      </w:r>
      <w:r>
        <w:rPr>
          <w:rFonts w:ascii="Arial" w:hAnsi="Arial"/>
        </w:rPr>
        <w:t>Con fundamento en el numeral décimo séptimo fracción III de los Lineamientos que establecen el procedimiento de denuncia por incumplimiento a la</w:t>
      </w:r>
      <w:r w:rsidR="00E10DD4">
        <w:rPr>
          <w:rFonts w:ascii="Arial" w:hAnsi="Arial"/>
        </w:rPr>
        <w:t>s</w:t>
      </w:r>
      <w:r>
        <w:rPr>
          <w:rFonts w:ascii="Arial" w:hAnsi="Arial"/>
        </w:rPr>
        <w:t xml:space="preserve"> obligaciones de transparencia que deben publicar los sujetos obligados en el Estado de Yucatán, se desecha la denuncia intentada </w:t>
      </w:r>
      <w:r w:rsidR="00485AD9">
        <w:rPr>
          <w:rFonts w:ascii="Arial" w:hAnsi="Arial"/>
        </w:rPr>
        <w:t>contra la Secretaría de Seguridad Pública</w:t>
      </w:r>
      <w:r w:rsidR="005B58D7">
        <w:rPr>
          <w:rFonts w:ascii="Arial" w:hAnsi="Arial"/>
        </w:rPr>
        <w:t>, toda vez que los hechos consi</w:t>
      </w:r>
      <w:r w:rsidR="0000740F">
        <w:rPr>
          <w:rFonts w:ascii="Arial" w:hAnsi="Arial"/>
        </w:rPr>
        <w:t xml:space="preserve">gnados por </w:t>
      </w:r>
      <w:r w:rsidR="00485AD9">
        <w:rPr>
          <w:rFonts w:ascii="Arial" w:hAnsi="Arial"/>
        </w:rPr>
        <w:t>el denunciante</w:t>
      </w:r>
      <w:r w:rsidR="0000740F">
        <w:rPr>
          <w:rFonts w:ascii="Arial" w:hAnsi="Arial"/>
        </w:rPr>
        <w:t xml:space="preserve"> versan</w:t>
      </w:r>
      <w:r w:rsidR="00485AD9">
        <w:rPr>
          <w:rFonts w:ascii="Arial" w:hAnsi="Arial"/>
        </w:rPr>
        <w:t xml:space="preserve"> sobre la falta de publicación de información correspondiente</w:t>
      </w:r>
      <w:r w:rsidR="00E10DD4">
        <w:rPr>
          <w:rFonts w:ascii="Arial" w:hAnsi="Arial"/>
        </w:rPr>
        <w:t xml:space="preserve"> al ejercicio dos mil dieciocho,</w:t>
      </w:r>
      <w:r w:rsidR="00485AD9">
        <w:rPr>
          <w:rFonts w:ascii="Arial" w:hAnsi="Arial"/>
        </w:rPr>
        <w:t xml:space="preserve"> </w:t>
      </w:r>
      <w:r w:rsidR="00E10DD4">
        <w:rPr>
          <w:rFonts w:ascii="Arial" w:hAnsi="Arial"/>
        </w:rPr>
        <w:t xml:space="preserve">la cual que </w:t>
      </w:r>
      <w:r w:rsidR="00485AD9">
        <w:rPr>
          <w:rFonts w:ascii="Arial" w:hAnsi="Arial"/>
        </w:rPr>
        <w:t xml:space="preserve">es sancionable hasta el primero de mayo de dos mil </w:t>
      </w:r>
      <w:r w:rsidR="003F7693">
        <w:rPr>
          <w:rFonts w:ascii="Arial" w:hAnsi="Arial"/>
        </w:rPr>
        <w:t>dieci</w:t>
      </w:r>
      <w:r w:rsidR="00485AD9">
        <w:rPr>
          <w:rFonts w:ascii="Arial" w:hAnsi="Arial"/>
        </w:rPr>
        <w:t xml:space="preserve">ocho.  </w:t>
      </w:r>
    </w:p>
    <w:p w:rsidR="003B1163" w:rsidRDefault="003B1163" w:rsidP="007B058C">
      <w:pPr>
        <w:spacing w:after="0" w:line="360" w:lineRule="auto"/>
        <w:jc w:val="both"/>
        <w:rPr>
          <w:rFonts w:ascii="Arial" w:hAnsi="Arial"/>
          <w:b/>
        </w:rPr>
      </w:pPr>
    </w:p>
    <w:p w:rsidR="0000740F" w:rsidRPr="0000740F" w:rsidRDefault="0000740F" w:rsidP="007B058C">
      <w:pPr>
        <w:spacing w:after="0" w:line="360" w:lineRule="auto"/>
        <w:jc w:val="both"/>
        <w:rPr>
          <w:rFonts w:ascii="Arial" w:hAnsi="Arial"/>
        </w:rPr>
      </w:pPr>
      <w:r>
        <w:rPr>
          <w:rFonts w:ascii="Arial" w:hAnsi="Arial"/>
          <w:b/>
        </w:rPr>
        <w:t xml:space="preserve">TERCERO. </w:t>
      </w:r>
      <w:r w:rsidR="00D91810">
        <w:rPr>
          <w:rFonts w:ascii="Arial" w:hAnsi="Arial"/>
        </w:rPr>
        <w:t>En términos de lo establecido en los numerales 91 fracción IV de la Ley General y décimo cuarto fracción IV de los</w:t>
      </w:r>
      <w:r w:rsidR="00A170D7">
        <w:rPr>
          <w:rFonts w:ascii="Arial" w:hAnsi="Arial"/>
        </w:rPr>
        <w:t xml:space="preserve"> Lineamientos que establecen el procedimiento</w:t>
      </w:r>
      <w:r w:rsidR="00D91810">
        <w:rPr>
          <w:rFonts w:ascii="Arial" w:hAnsi="Arial"/>
        </w:rPr>
        <w:t xml:space="preserve"> de denuncia, se ordena que la notificación del presente acuerdo se realice </w:t>
      </w:r>
      <w:r w:rsidR="003F7693">
        <w:rPr>
          <w:rFonts w:ascii="Arial" w:hAnsi="Arial"/>
        </w:rPr>
        <w:t xml:space="preserve">al denunciante través del </w:t>
      </w:r>
      <w:r w:rsidR="00D91810">
        <w:rPr>
          <w:rFonts w:ascii="Arial" w:hAnsi="Arial"/>
        </w:rPr>
        <w:t xml:space="preserve">correo electrónico </w:t>
      </w:r>
      <w:r w:rsidR="003F7693">
        <w:rPr>
          <w:rFonts w:ascii="Arial" w:hAnsi="Arial"/>
        </w:rPr>
        <w:t>informado para tales efectos.</w:t>
      </w:r>
    </w:p>
    <w:p w:rsidR="0000740F" w:rsidRDefault="0000740F" w:rsidP="007B058C">
      <w:pPr>
        <w:spacing w:after="0" w:line="360" w:lineRule="auto"/>
        <w:jc w:val="both"/>
        <w:rPr>
          <w:rFonts w:ascii="Arial" w:hAnsi="Arial"/>
        </w:rPr>
      </w:pPr>
    </w:p>
    <w:p w:rsidR="00D91810" w:rsidRDefault="00D91810" w:rsidP="007B058C">
      <w:pPr>
        <w:spacing w:after="0" w:line="360" w:lineRule="auto"/>
        <w:jc w:val="both"/>
        <w:rPr>
          <w:rFonts w:ascii="Arial" w:hAnsi="Arial"/>
        </w:rPr>
      </w:pPr>
      <w:r>
        <w:rPr>
          <w:rFonts w:ascii="Arial" w:hAnsi="Arial"/>
          <w:b/>
        </w:rPr>
        <w:t xml:space="preserve">CUARTO. </w:t>
      </w:r>
      <w:r>
        <w:rPr>
          <w:rFonts w:ascii="Arial" w:hAnsi="Arial"/>
        </w:rPr>
        <w:t>En virtud de lo anterior, se da por concluido el presente expediente</w:t>
      </w:r>
      <w:r w:rsidR="00AE54E7">
        <w:rPr>
          <w:rFonts w:ascii="Arial" w:hAnsi="Arial"/>
        </w:rPr>
        <w:t>.</w:t>
      </w:r>
    </w:p>
    <w:p w:rsidR="00D91810" w:rsidRDefault="00D91810" w:rsidP="007B058C">
      <w:pPr>
        <w:spacing w:after="0" w:line="360" w:lineRule="auto"/>
        <w:jc w:val="both"/>
        <w:rPr>
          <w:rFonts w:ascii="Arial" w:hAnsi="Arial"/>
        </w:rPr>
      </w:pPr>
    </w:p>
    <w:p w:rsidR="00D91810" w:rsidRDefault="00D91810" w:rsidP="007B058C">
      <w:pPr>
        <w:spacing w:after="0" w:line="360" w:lineRule="auto"/>
        <w:jc w:val="both"/>
        <w:rPr>
          <w:rFonts w:ascii="Arial" w:hAnsi="Arial"/>
        </w:rPr>
      </w:pPr>
      <w:r>
        <w:rPr>
          <w:rFonts w:ascii="Arial" w:hAnsi="Arial"/>
          <w:b/>
        </w:rPr>
        <w:t xml:space="preserve">QUINTO. </w:t>
      </w:r>
      <w:r>
        <w:rPr>
          <w:rFonts w:ascii="Arial" w:hAnsi="Arial"/>
        </w:rPr>
        <w:t xml:space="preserve">Cúmplase. </w:t>
      </w:r>
    </w:p>
    <w:p w:rsidR="00D91810" w:rsidRDefault="00D91810" w:rsidP="007B058C">
      <w:pPr>
        <w:spacing w:after="0" w:line="360" w:lineRule="auto"/>
        <w:jc w:val="both"/>
        <w:rPr>
          <w:rFonts w:ascii="Arial" w:hAnsi="Arial"/>
        </w:rPr>
      </w:pPr>
    </w:p>
    <w:p w:rsidR="00AD77F7" w:rsidRDefault="00D91810" w:rsidP="007B058C">
      <w:pPr>
        <w:spacing w:after="0" w:line="360" w:lineRule="auto"/>
        <w:jc w:val="both"/>
        <w:rPr>
          <w:rFonts w:ascii="Arial" w:hAnsi="Arial"/>
        </w:rPr>
      </w:pPr>
      <w:r>
        <w:rPr>
          <w:rFonts w:ascii="Arial" w:hAnsi="Arial"/>
        </w:rPr>
        <w:t xml:space="preserve">Así lo acordaron y firman </w:t>
      </w:r>
      <w:r w:rsidRPr="00A86A5D">
        <w:rPr>
          <w:rFonts w:ascii="Arial" w:hAnsi="Arial" w:cs="Arial"/>
        </w:rPr>
        <w:t xml:space="preserve">la Licenciada en Derecho, Susana Aguilar Covarrubias, la Licenciada en Derecho, María Eugenia Sansores Ruz, y el </w:t>
      </w:r>
      <w:r w:rsidR="00FA3CBD">
        <w:rPr>
          <w:rFonts w:ascii="Arial" w:hAnsi="Arial" w:cs="Arial"/>
        </w:rPr>
        <w:t xml:space="preserve">Maestro </w:t>
      </w:r>
      <w:r w:rsidRPr="00A86A5D">
        <w:rPr>
          <w:rFonts w:ascii="Arial" w:hAnsi="Arial" w:cs="Arial"/>
        </w:rPr>
        <w:t>en Derecho, Aldrin Martín Briceño</w:t>
      </w:r>
      <w:r>
        <w:rPr>
          <w:rFonts w:ascii="Arial" w:hAnsi="Arial" w:cs="Arial"/>
        </w:rPr>
        <w:t xml:space="preserve"> Conrado, Comisionada Presidente</w:t>
      </w:r>
      <w:r w:rsidRPr="00A86A5D">
        <w:rPr>
          <w:rFonts w:ascii="Arial" w:hAnsi="Arial" w:cs="Arial"/>
        </w:rPr>
        <w:t xml:space="preserve"> y Comisionados, respectivamente, del Instituto Estatal de Transparencia, Acceso a la Información Pública y Protección de Datos Personales</w:t>
      </w:r>
      <w:r>
        <w:rPr>
          <w:rFonts w:ascii="Arial" w:hAnsi="Arial" w:cs="Arial"/>
        </w:rPr>
        <w:t>, conforme al artículo 94 de la Ley General de Transparencia y Acceso a la Información Pública</w:t>
      </w:r>
      <w:r w:rsidR="00AA48FD">
        <w:rPr>
          <w:rFonts w:ascii="Arial" w:hAnsi="Arial" w:cs="Arial"/>
        </w:rPr>
        <w:t>, al ordinal 9 fracciones XVIII y XIX del Reglamento Interior del Instituto Estatal de Transparencia, Acceso a la Información Pública y protección de Datos Personales,</w:t>
      </w:r>
      <w:r>
        <w:rPr>
          <w:rFonts w:ascii="Arial" w:hAnsi="Arial" w:cs="Arial"/>
        </w:rPr>
        <w:t xml:space="preserve"> y al numeral décimo quinto de los </w:t>
      </w:r>
      <w:r>
        <w:rPr>
          <w:rFonts w:ascii="Arial" w:hAnsi="Arial"/>
        </w:rPr>
        <w:t xml:space="preserve">Lineamientos que establecen el procedimiento de denuncia por incumplimiento a las obligaciones de transparencia que deben publicar los sujetos obligados del Estado de Yucatán, en los portales de Internet y en la Plataforma Nacional de Transparencia. - - </w:t>
      </w:r>
      <w:r w:rsidR="006D32BB">
        <w:rPr>
          <w:rFonts w:ascii="Arial" w:hAnsi="Arial"/>
        </w:rPr>
        <w:t xml:space="preserve">- - - - - - - - - - - - - - - </w:t>
      </w:r>
      <w:r w:rsidR="00E10DD4">
        <w:rPr>
          <w:rFonts w:ascii="Arial" w:hAnsi="Arial"/>
        </w:rPr>
        <w:t>- - - - - - - - - - -</w:t>
      </w:r>
      <w:r w:rsidR="00B51301">
        <w:rPr>
          <w:rFonts w:ascii="Arial" w:hAnsi="Arial"/>
        </w:rPr>
        <w:t xml:space="preserve"> - - - </w:t>
      </w:r>
    </w:p>
    <w:p w:rsidR="00485AD9" w:rsidRDefault="00485AD9" w:rsidP="006D32BB">
      <w:pPr>
        <w:spacing w:after="0" w:line="360" w:lineRule="auto"/>
        <w:jc w:val="both"/>
        <w:rPr>
          <w:rFonts w:ascii="Arial" w:hAnsi="Arial"/>
        </w:rPr>
      </w:pPr>
    </w:p>
    <w:p w:rsidR="00AE54E7" w:rsidRDefault="00AE54E7" w:rsidP="006D32BB">
      <w:pPr>
        <w:spacing w:after="0" w:line="360" w:lineRule="auto"/>
        <w:jc w:val="both"/>
        <w:rPr>
          <w:rFonts w:ascii="Arial" w:hAnsi="Arial"/>
        </w:rPr>
      </w:pPr>
    </w:p>
    <w:p w:rsidR="00D03039" w:rsidRPr="0084066B" w:rsidRDefault="0084066B" w:rsidP="006D32BB">
      <w:pPr>
        <w:spacing w:after="0" w:line="360" w:lineRule="auto"/>
        <w:jc w:val="both"/>
        <w:rPr>
          <w:rFonts w:ascii="Arial" w:hAnsi="Arial"/>
        </w:rPr>
      </w:pPr>
      <w:r>
        <w:t xml:space="preserve"> </w:t>
      </w:r>
    </w:p>
    <w:tbl>
      <w:tblPr>
        <w:tblW w:w="9668" w:type="dxa"/>
        <w:jc w:val="center"/>
        <w:tblLook w:val="04A0" w:firstRow="1" w:lastRow="0" w:firstColumn="1" w:lastColumn="0" w:noHBand="0" w:noVBand="1"/>
      </w:tblPr>
      <w:tblGrid>
        <w:gridCol w:w="4834"/>
        <w:gridCol w:w="4834"/>
      </w:tblGrid>
      <w:tr w:rsidR="00D03039" w:rsidRPr="006E2FD9" w:rsidTr="00A835D2">
        <w:trPr>
          <w:trHeight w:val="1075"/>
          <w:jc w:val="center"/>
        </w:trPr>
        <w:tc>
          <w:tcPr>
            <w:tcW w:w="9668" w:type="dxa"/>
            <w:gridSpan w:val="2"/>
          </w:tcPr>
          <w:p w:rsidR="00D03039" w:rsidRPr="006E2FD9" w:rsidRDefault="00D03039" w:rsidP="006D32BB">
            <w:pPr>
              <w:spacing w:after="0" w:line="240" w:lineRule="auto"/>
              <w:jc w:val="center"/>
              <w:rPr>
                <w:rFonts w:ascii="Arial" w:hAnsi="Arial" w:cs="Arial"/>
                <w:b/>
                <w:lang w:val="es-ES"/>
              </w:rPr>
            </w:pPr>
          </w:p>
          <w:p w:rsidR="00D03039" w:rsidRDefault="003128CE" w:rsidP="006D32BB">
            <w:pPr>
              <w:spacing w:after="0" w:line="240" w:lineRule="auto"/>
              <w:jc w:val="center"/>
              <w:rPr>
                <w:rFonts w:ascii="Arial" w:hAnsi="Arial" w:cs="Arial"/>
                <w:b/>
              </w:rPr>
            </w:pPr>
            <w:r>
              <w:rPr>
                <w:rFonts w:ascii="Arial" w:hAnsi="Arial" w:cs="Arial"/>
                <w:b/>
              </w:rPr>
              <w:t>(RÚBRICA)</w:t>
            </w:r>
          </w:p>
          <w:p w:rsidR="00D03039" w:rsidRPr="006E2FD9" w:rsidRDefault="00D03039" w:rsidP="006D32BB">
            <w:pPr>
              <w:spacing w:after="0" w:line="240" w:lineRule="auto"/>
              <w:jc w:val="center"/>
              <w:rPr>
                <w:rFonts w:ascii="Arial" w:hAnsi="Arial" w:cs="Arial"/>
                <w:b/>
              </w:rPr>
            </w:pPr>
            <w:r w:rsidRPr="006E2FD9">
              <w:rPr>
                <w:rFonts w:ascii="Arial" w:hAnsi="Arial" w:cs="Arial"/>
                <w:b/>
                <w:bCs/>
              </w:rPr>
              <w:t>LICDA. SUSANA AGUILAR COVARRUBIAS</w:t>
            </w:r>
          </w:p>
          <w:p w:rsidR="00D03039" w:rsidRPr="006E2FD9" w:rsidRDefault="00D03039" w:rsidP="006D32BB">
            <w:pPr>
              <w:spacing w:after="0" w:line="240" w:lineRule="auto"/>
              <w:jc w:val="center"/>
              <w:rPr>
                <w:rFonts w:ascii="Arial" w:hAnsi="Arial" w:cs="Arial"/>
                <w:b/>
                <w:lang w:val="es-ES"/>
              </w:rPr>
            </w:pPr>
            <w:r w:rsidRPr="006E2FD9">
              <w:rPr>
                <w:rFonts w:ascii="Arial" w:hAnsi="Arial" w:cs="Arial"/>
                <w:b/>
              </w:rPr>
              <w:t>COMISIONADA PRESIDENTE</w:t>
            </w:r>
          </w:p>
        </w:tc>
      </w:tr>
      <w:tr w:rsidR="00D03039" w:rsidRPr="006E2FD9" w:rsidTr="00A835D2">
        <w:trPr>
          <w:trHeight w:val="1895"/>
          <w:jc w:val="center"/>
        </w:trPr>
        <w:tc>
          <w:tcPr>
            <w:tcW w:w="4834" w:type="dxa"/>
          </w:tcPr>
          <w:p w:rsidR="00D03039" w:rsidRPr="006E2FD9" w:rsidRDefault="00D03039" w:rsidP="006D32BB">
            <w:pPr>
              <w:spacing w:after="0" w:line="240" w:lineRule="auto"/>
              <w:jc w:val="center"/>
              <w:rPr>
                <w:rFonts w:ascii="Arial" w:hAnsi="Arial" w:cs="Arial"/>
                <w:b/>
                <w:bCs/>
                <w:lang w:val="es-ES"/>
              </w:rPr>
            </w:pPr>
          </w:p>
          <w:p w:rsidR="00D03039" w:rsidRDefault="00D03039" w:rsidP="006D32BB">
            <w:pPr>
              <w:spacing w:after="0" w:line="240" w:lineRule="auto"/>
              <w:jc w:val="center"/>
              <w:rPr>
                <w:rFonts w:ascii="Arial" w:hAnsi="Arial" w:cs="Arial"/>
                <w:b/>
                <w:bCs/>
                <w:lang w:val="es-ES"/>
              </w:rPr>
            </w:pPr>
          </w:p>
          <w:p w:rsidR="00AD77F7" w:rsidRDefault="00AD77F7" w:rsidP="006D32BB">
            <w:pPr>
              <w:spacing w:after="0" w:line="240" w:lineRule="auto"/>
              <w:jc w:val="center"/>
              <w:rPr>
                <w:rFonts w:ascii="Arial" w:hAnsi="Arial" w:cs="Arial"/>
                <w:b/>
                <w:bCs/>
                <w:lang w:val="es-ES"/>
              </w:rPr>
            </w:pPr>
          </w:p>
          <w:p w:rsidR="00AD77F7" w:rsidRDefault="00AD77F7" w:rsidP="006D32BB">
            <w:pPr>
              <w:spacing w:after="0" w:line="240" w:lineRule="auto"/>
              <w:jc w:val="center"/>
              <w:rPr>
                <w:rFonts w:ascii="Arial" w:hAnsi="Arial" w:cs="Arial"/>
                <w:b/>
                <w:bCs/>
                <w:lang w:val="es-ES"/>
              </w:rPr>
            </w:pPr>
          </w:p>
          <w:p w:rsidR="00485AD9" w:rsidRPr="006E2FD9" w:rsidRDefault="003128CE" w:rsidP="006D32BB">
            <w:pPr>
              <w:spacing w:after="0" w:line="240" w:lineRule="auto"/>
              <w:jc w:val="center"/>
              <w:rPr>
                <w:rFonts w:ascii="Arial" w:hAnsi="Arial" w:cs="Arial"/>
                <w:b/>
                <w:bCs/>
                <w:lang w:val="es-ES"/>
              </w:rPr>
            </w:pPr>
            <w:r>
              <w:rPr>
                <w:rFonts w:ascii="Arial" w:hAnsi="Arial" w:cs="Arial"/>
                <w:b/>
                <w:bCs/>
                <w:lang w:val="es-ES"/>
              </w:rPr>
              <w:t>(RÚBRICA)</w:t>
            </w:r>
          </w:p>
          <w:p w:rsidR="00AD77F7" w:rsidRPr="006E2FD9" w:rsidRDefault="00AD77F7" w:rsidP="006D32BB">
            <w:pPr>
              <w:spacing w:after="0" w:line="240" w:lineRule="auto"/>
              <w:jc w:val="center"/>
              <w:rPr>
                <w:rFonts w:ascii="Arial" w:hAnsi="Arial" w:cs="Arial"/>
                <w:b/>
                <w:bCs/>
              </w:rPr>
            </w:pPr>
            <w:r w:rsidRPr="006E2FD9">
              <w:rPr>
                <w:rFonts w:ascii="Arial" w:hAnsi="Arial" w:cs="Arial"/>
                <w:b/>
                <w:bCs/>
              </w:rPr>
              <w:t>LICDA. MARÍA EUGENIA SANSORES RUZ</w:t>
            </w:r>
          </w:p>
          <w:p w:rsidR="00D03039" w:rsidRPr="006E2FD9" w:rsidRDefault="00AD77F7" w:rsidP="006D32BB">
            <w:pPr>
              <w:spacing w:after="0" w:line="240" w:lineRule="auto"/>
              <w:jc w:val="center"/>
              <w:rPr>
                <w:rFonts w:ascii="Arial" w:hAnsi="Arial" w:cs="Arial"/>
                <w:b/>
              </w:rPr>
            </w:pPr>
            <w:r w:rsidRPr="006E2FD9">
              <w:rPr>
                <w:rFonts w:ascii="Arial" w:hAnsi="Arial" w:cs="Arial"/>
                <w:b/>
                <w:bCs/>
              </w:rPr>
              <w:t>COMISIONADA</w:t>
            </w:r>
          </w:p>
          <w:p w:rsidR="00D03039" w:rsidRPr="006E2FD9" w:rsidRDefault="00D03039" w:rsidP="006D32BB">
            <w:pPr>
              <w:spacing w:after="0" w:line="240" w:lineRule="auto"/>
              <w:jc w:val="center"/>
              <w:rPr>
                <w:rFonts w:ascii="Arial" w:hAnsi="Arial" w:cs="Arial"/>
                <w:b/>
                <w:lang w:val="es-ES"/>
              </w:rPr>
            </w:pPr>
          </w:p>
        </w:tc>
        <w:tc>
          <w:tcPr>
            <w:tcW w:w="4834" w:type="dxa"/>
          </w:tcPr>
          <w:p w:rsidR="00D03039" w:rsidRDefault="00D03039" w:rsidP="006D32BB">
            <w:pPr>
              <w:spacing w:after="0" w:line="240" w:lineRule="auto"/>
              <w:jc w:val="center"/>
              <w:rPr>
                <w:rFonts w:ascii="Arial" w:hAnsi="Arial" w:cs="Arial"/>
                <w:b/>
                <w:bCs/>
                <w:lang w:val="es-ES"/>
              </w:rPr>
            </w:pPr>
          </w:p>
          <w:p w:rsidR="00AD77F7" w:rsidRDefault="00AD77F7" w:rsidP="006D32BB">
            <w:pPr>
              <w:spacing w:after="0" w:line="240" w:lineRule="auto"/>
              <w:jc w:val="center"/>
              <w:rPr>
                <w:rFonts w:ascii="Arial" w:hAnsi="Arial" w:cs="Arial"/>
                <w:b/>
                <w:bCs/>
                <w:lang w:val="es-ES"/>
              </w:rPr>
            </w:pPr>
          </w:p>
          <w:p w:rsidR="00AD77F7" w:rsidRPr="006E2FD9" w:rsidRDefault="00AD77F7" w:rsidP="006D32BB">
            <w:pPr>
              <w:spacing w:after="0" w:line="240" w:lineRule="auto"/>
              <w:jc w:val="center"/>
              <w:rPr>
                <w:rFonts w:ascii="Arial" w:hAnsi="Arial" w:cs="Arial"/>
                <w:b/>
                <w:bCs/>
                <w:lang w:val="es-ES"/>
              </w:rPr>
            </w:pPr>
          </w:p>
          <w:p w:rsidR="00D03039" w:rsidRDefault="00D03039" w:rsidP="006D32BB">
            <w:pPr>
              <w:spacing w:after="0" w:line="240" w:lineRule="auto"/>
              <w:jc w:val="center"/>
              <w:rPr>
                <w:rFonts w:ascii="Arial" w:hAnsi="Arial" w:cs="Arial"/>
                <w:b/>
                <w:bCs/>
              </w:rPr>
            </w:pPr>
          </w:p>
          <w:p w:rsidR="00485AD9" w:rsidRPr="006E2FD9" w:rsidRDefault="003128CE" w:rsidP="006D32BB">
            <w:pPr>
              <w:spacing w:after="0" w:line="240" w:lineRule="auto"/>
              <w:jc w:val="center"/>
              <w:rPr>
                <w:rFonts w:ascii="Arial" w:hAnsi="Arial" w:cs="Arial"/>
                <w:b/>
                <w:bCs/>
              </w:rPr>
            </w:pPr>
            <w:r>
              <w:rPr>
                <w:rFonts w:ascii="Arial" w:hAnsi="Arial" w:cs="Arial"/>
                <w:b/>
                <w:bCs/>
              </w:rPr>
              <w:t>(RÚBRICA)</w:t>
            </w:r>
          </w:p>
          <w:p w:rsidR="00AD77F7" w:rsidRPr="006E2FD9" w:rsidRDefault="00485AD9" w:rsidP="006D32BB">
            <w:pPr>
              <w:spacing w:after="0" w:line="240" w:lineRule="auto"/>
              <w:jc w:val="center"/>
              <w:rPr>
                <w:rFonts w:ascii="Arial" w:hAnsi="Arial" w:cs="Arial"/>
                <w:b/>
              </w:rPr>
            </w:pPr>
            <w:r>
              <w:rPr>
                <w:rFonts w:ascii="Arial" w:hAnsi="Arial" w:cs="Arial"/>
                <w:b/>
              </w:rPr>
              <w:t>M</w:t>
            </w:r>
            <w:r w:rsidR="00AD77F7" w:rsidRPr="006E2FD9">
              <w:rPr>
                <w:rFonts w:ascii="Arial" w:hAnsi="Arial" w:cs="Arial"/>
                <w:b/>
              </w:rPr>
              <w:t>.</w:t>
            </w:r>
            <w:r>
              <w:rPr>
                <w:rFonts w:ascii="Arial" w:hAnsi="Arial" w:cs="Arial"/>
                <w:b/>
              </w:rPr>
              <w:t>D.</w:t>
            </w:r>
            <w:r w:rsidR="00AD77F7" w:rsidRPr="006E2FD9">
              <w:rPr>
                <w:rFonts w:ascii="Arial" w:hAnsi="Arial" w:cs="Arial"/>
                <w:b/>
              </w:rPr>
              <w:t xml:space="preserve"> ALDRIN MARTÍN BRICEÑO CONRADO</w:t>
            </w:r>
          </w:p>
          <w:p w:rsidR="00D03039" w:rsidRPr="006E2FD9" w:rsidRDefault="00AD77F7" w:rsidP="006D32BB">
            <w:pPr>
              <w:spacing w:after="0" w:line="240" w:lineRule="auto"/>
              <w:jc w:val="center"/>
              <w:rPr>
                <w:rFonts w:ascii="Arial" w:hAnsi="Arial" w:cs="Arial"/>
                <w:b/>
              </w:rPr>
            </w:pPr>
            <w:r w:rsidRPr="006E2FD9">
              <w:rPr>
                <w:rFonts w:ascii="Arial" w:hAnsi="Arial" w:cs="Arial"/>
                <w:b/>
                <w:bCs/>
              </w:rPr>
              <w:t>COMISIONADO</w:t>
            </w:r>
          </w:p>
          <w:p w:rsidR="00D03039" w:rsidRPr="006E2FD9" w:rsidRDefault="00D03039" w:rsidP="006D32BB">
            <w:pPr>
              <w:spacing w:after="0" w:line="240" w:lineRule="auto"/>
              <w:jc w:val="center"/>
              <w:rPr>
                <w:rFonts w:ascii="Arial" w:hAnsi="Arial" w:cs="Arial"/>
                <w:b/>
                <w:lang w:val="es-ES"/>
              </w:rPr>
            </w:pPr>
          </w:p>
        </w:tc>
      </w:tr>
    </w:tbl>
    <w:p w:rsidR="00A64F41" w:rsidRDefault="00A64F41" w:rsidP="006D32BB">
      <w:pPr>
        <w:spacing w:after="0" w:line="360" w:lineRule="auto"/>
        <w:jc w:val="both"/>
        <w:rPr>
          <w:rFonts w:ascii="Arial" w:hAnsi="Arial"/>
        </w:rPr>
      </w:pPr>
    </w:p>
    <w:p w:rsidR="00A64F41" w:rsidRPr="00A64F41" w:rsidRDefault="00A64F41" w:rsidP="00A64F41">
      <w:pPr>
        <w:rPr>
          <w:rFonts w:ascii="Arial" w:hAnsi="Arial"/>
        </w:rPr>
      </w:pPr>
    </w:p>
    <w:p w:rsidR="00F72139" w:rsidRPr="00BE0D08" w:rsidRDefault="00BE0D08" w:rsidP="00A64F41">
      <w:pPr>
        <w:jc w:val="right"/>
        <w:rPr>
          <w:rFonts w:ascii="Arial" w:hAnsi="Arial"/>
          <w:sz w:val="20"/>
          <w:szCs w:val="20"/>
        </w:rPr>
      </w:pPr>
      <w:r>
        <w:rPr>
          <w:rFonts w:ascii="Arial" w:hAnsi="Arial"/>
          <w:sz w:val="20"/>
          <w:szCs w:val="20"/>
        </w:rPr>
        <w:t>DGE-</w:t>
      </w:r>
      <w:r w:rsidR="00A64F41" w:rsidRPr="00BE0D08">
        <w:rPr>
          <w:rFonts w:ascii="Arial" w:hAnsi="Arial"/>
          <w:sz w:val="20"/>
          <w:szCs w:val="20"/>
        </w:rPr>
        <w:t>EEA/LYTC</w:t>
      </w:r>
    </w:p>
    <w:sectPr w:rsidR="00F72139" w:rsidRPr="00BE0D08" w:rsidSect="00B51301">
      <w:headerReference w:type="default" r:id="rId8"/>
      <w:footerReference w:type="default" r:id="rId9"/>
      <w:pgSz w:w="12240" w:h="20160" w:code="5"/>
      <w:pgMar w:top="1985" w:right="737" w:bottom="1134" w:left="737" w:header="1418" w:footer="9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163" w:rsidRDefault="003B1163" w:rsidP="00F72139">
      <w:pPr>
        <w:spacing w:after="0" w:line="240" w:lineRule="auto"/>
      </w:pPr>
      <w:r>
        <w:separator/>
      </w:r>
    </w:p>
  </w:endnote>
  <w:endnote w:type="continuationSeparator" w:id="0">
    <w:p w:rsidR="003B1163" w:rsidRDefault="003B1163" w:rsidP="00F7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47"/>
      <w:docPartObj>
        <w:docPartGallery w:val="Page Numbers (Bottom of Page)"/>
        <w:docPartUnique/>
      </w:docPartObj>
    </w:sdtPr>
    <w:sdtEndPr>
      <w:rPr>
        <w:rFonts w:ascii="Arial" w:hAnsi="Arial"/>
        <w:sz w:val="20"/>
      </w:rPr>
    </w:sdtEndPr>
    <w:sdtContent>
      <w:p w:rsidR="003B1163" w:rsidRPr="004A4AE8" w:rsidRDefault="003B1163">
        <w:pPr>
          <w:pStyle w:val="Piedepgina"/>
          <w:jc w:val="center"/>
          <w:rPr>
            <w:rFonts w:ascii="Arial" w:hAnsi="Arial"/>
            <w:sz w:val="20"/>
          </w:rPr>
        </w:pPr>
        <w:r w:rsidRPr="0075791D">
          <w:rPr>
            <w:rFonts w:ascii="Arial" w:hAnsi="Arial"/>
          </w:rPr>
          <w:fldChar w:fldCharType="begin"/>
        </w:r>
        <w:r w:rsidRPr="0075791D">
          <w:rPr>
            <w:rFonts w:ascii="Arial" w:hAnsi="Arial"/>
          </w:rPr>
          <w:instrText>PAGE   \* MERGEFORMAT</w:instrText>
        </w:r>
        <w:r w:rsidRPr="0075791D">
          <w:rPr>
            <w:rFonts w:ascii="Arial" w:hAnsi="Arial"/>
          </w:rPr>
          <w:fldChar w:fldCharType="separate"/>
        </w:r>
        <w:r w:rsidR="00FF5856" w:rsidRPr="00FF5856">
          <w:rPr>
            <w:rFonts w:ascii="Arial" w:hAnsi="Arial"/>
            <w:noProof/>
            <w:lang w:val="es-ES"/>
          </w:rPr>
          <w:t>7</w:t>
        </w:r>
        <w:r w:rsidRPr="0075791D">
          <w:rPr>
            <w:rFonts w:ascii="Arial" w:hAnsi="Arial"/>
          </w:rPr>
          <w:fldChar w:fldCharType="end"/>
        </w:r>
      </w:p>
    </w:sdtContent>
  </w:sdt>
  <w:p w:rsidR="003B1163" w:rsidRDefault="003B11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163" w:rsidRDefault="003B1163" w:rsidP="00F72139">
      <w:pPr>
        <w:spacing w:after="0" w:line="240" w:lineRule="auto"/>
      </w:pPr>
      <w:r>
        <w:separator/>
      </w:r>
    </w:p>
  </w:footnote>
  <w:footnote w:type="continuationSeparator" w:id="0">
    <w:p w:rsidR="003B1163" w:rsidRDefault="003B1163" w:rsidP="00F72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163" w:rsidRDefault="003B1163" w:rsidP="00604C4D">
    <w:pPr>
      <w:pStyle w:val="Encabezado"/>
    </w:pPr>
    <w:r>
      <w:rPr>
        <w:noProof/>
        <w:lang w:eastAsia="es-MX"/>
      </w:rPr>
      <w:drawing>
        <wp:inline distT="0" distB="0" distL="0" distR="0">
          <wp:extent cx="5590939" cy="800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uevo.jpg"/>
                  <pic:cNvPicPr/>
                </pic:nvPicPr>
                <pic:blipFill rotWithShape="1">
                  <a:blip r:embed="rId1" cstate="print">
                    <a:extLst>
                      <a:ext uri="{28A0092B-C50C-407E-A947-70E740481C1C}">
                        <a14:useLocalDpi xmlns:a14="http://schemas.microsoft.com/office/drawing/2010/main" val="0"/>
                      </a:ext>
                    </a:extLst>
                  </a:blip>
                  <a:srcRect l="1358" t="8070" r="1393" b="9213"/>
                  <a:stretch/>
                </pic:blipFill>
                <pic:spPr bwMode="auto">
                  <a:xfrm>
                    <a:off x="0" y="0"/>
                    <a:ext cx="5652655" cy="808932"/>
                  </a:xfrm>
                  <a:prstGeom prst="rect">
                    <a:avLst/>
                  </a:prstGeom>
                  <a:ln>
                    <a:noFill/>
                  </a:ln>
                  <a:extLst>
                    <a:ext uri="{53640926-AAD7-44D8-BBD7-CCE9431645EC}">
                      <a14:shadowObscured xmlns:a14="http://schemas.microsoft.com/office/drawing/2010/main"/>
                    </a:ext>
                  </a:extLst>
                </pic:spPr>
              </pic:pic>
            </a:graphicData>
          </a:graphic>
        </wp:inline>
      </w:drawing>
    </w:r>
  </w:p>
  <w:p w:rsidR="003B1163" w:rsidRDefault="003B1163" w:rsidP="00F72139">
    <w:pPr>
      <w:pStyle w:val="Encabezado"/>
      <w:jc w:val="cente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9"/>
    </w:tblGrid>
    <w:tr w:rsidR="003B1163" w:rsidRPr="00604C4D" w:rsidTr="005722A5">
      <w:trPr>
        <w:trHeight w:val="20"/>
        <w:jc w:val="center"/>
      </w:trPr>
      <w:tc>
        <w:tcPr>
          <w:tcW w:w="7649" w:type="dxa"/>
          <w:vAlign w:val="center"/>
        </w:tcPr>
        <w:p w:rsidR="003B1163" w:rsidRPr="005722A5" w:rsidRDefault="003B1163" w:rsidP="007C6D91">
          <w:pPr>
            <w:pStyle w:val="Encabezado"/>
            <w:jc w:val="both"/>
            <w:rPr>
              <w:rFonts w:ascii="Arial" w:hAnsi="Arial" w:cs="Arial"/>
              <w:b/>
              <w:sz w:val="20"/>
              <w:szCs w:val="20"/>
            </w:rPr>
          </w:pPr>
          <w:r w:rsidRPr="005722A5">
            <w:rPr>
              <w:rFonts w:ascii="Arial" w:hAnsi="Arial" w:cs="Arial"/>
              <w:b/>
              <w:sz w:val="20"/>
              <w:szCs w:val="20"/>
            </w:rPr>
            <w:t>PROCEDIMIENTO DE DENUNCIA POR INCUMPLIMIENTO A LAS OBLIGACIONES DE TRANSPARENCIA</w:t>
          </w:r>
        </w:p>
      </w:tc>
    </w:tr>
    <w:tr w:rsidR="003B1163" w:rsidRPr="00604C4D" w:rsidTr="005722A5">
      <w:trPr>
        <w:trHeight w:val="20"/>
        <w:jc w:val="center"/>
      </w:trPr>
      <w:tc>
        <w:tcPr>
          <w:tcW w:w="7649" w:type="dxa"/>
          <w:vAlign w:val="center"/>
        </w:tcPr>
        <w:p w:rsidR="003B1163" w:rsidRPr="00604C4D" w:rsidRDefault="003B1163" w:rsidP="007C6D91">
          <w:pPr>
            <w:pStyle w:val="Encabezado"/>
            <w:jc w:val="both"/>
            <w:rPr>
              <w:rFonts w:ascii="Arial" w:hAnsi="Arial" w:cs="Arial"/>
              <w:sz w:val="20"/>
              <w:szCs w:val="20"/>
            </w:rPr>
          </w:pPr>
          <w:r w:rsidRPr="00604C4D">
            <w:rPr>
              <w:rFonts w:ascii="Arial" w:hAnsi="Arial" w:cs="Arial"/>
              <w:sz w:val="20"/>
              <w:szCs w:val="20"/>
            </w:rPr>
            <w:t xml:space="preserve">SUJETO OBLIGADO: </w:t>
          </w:r>
          <w:r w:rsidR="00B0500C">
            <w:rPr>
              <w:rFonts w:ascii="Arial" w:eastAsia="Times New Roman" w:hAnsi="Arial" w:cs="Arial"/>
              <w:color w:val="000000"/>
              <w:sz w:val="20"/>
              <w:szCs w:val="20"/>
              <w:lang w:eastAsia="es-MX"/>
            </w:rPr>
            <w:t>31-01-02-009 SECRETARÍA DE SEGURIDAD PÚBLICA</w:t>
          </w:r>
        </w:p>
      </w:tc>
    </w:tr>
    <w:tr w:rsidR="003B1163" w:rsidRPr="00604C4D" w:rsidTr="005722A5">
      <w:trPr>
        <w:trHeight w:val="20"/>
        <w:jc w:val="center"/>
      </w:trPr>
      <w:tc>
        <w:tcPr>
          <w:tcW w:w="7649" w:type="dxa"/>
          <w:vAlign w:val="center"/>
        </w:tcPr>
        <w:p w:rsidR="003B1163" w:rsidRPr="00604C4D" w:rsidRDefault="003B1163" w:rsidP="007C6D91">
          <w:pPr>
            <w:pStyle w:val="Encabezado"/>
            <w:jc w:val="both"/>
            <w:rPr>
              <w:rFonts w:ascii="Arial" w:hAnsi="Arial" w:cs="Arial"/>
              <w:sz w:val="20"/>
              <w:szCs w:val="20"/>
            </w:rPr>
          </w:pPr>
          <w:r>
            <w:rPr>
              <w:rFonts w:ascii="Arial" w:hAnsi="Arial" w:cs="Arial"/>
              <w:sz w:val="20"/>
              <w:szCs w:val="20"/>
            </w:rPr>
            <w:t xml:space="preserve">EXPEDIENTE: </w:t>
          </w:r>
          <w:r w:rsidR="00B0500C">
            <w:rPr>
              <w:rFonts w:ascii="Arial" w:hAnsi="Arial" w:cs="Arial"/>
              <w:sz w:val="20"/>
              <w:szCs w:val="20"/>
            </w:rPr>
            <w:t>0</w:t>
          </w:r>
          <w:r w:rsidR="00276BEA">
            <w:rPr>
              <w:rFonts w:ascii="Arial" w:hAnsi="Arial" w:cs="Arial"/>
              <w:sz w:val="20"/>
              <w:szCs w:val="20"/>
            </w:rPr>
            <w:t>7</w:t>
          </w:r>
          <w:r>
            <w:rPr>
              <w:rFonts w:ascii="Arial" w:hAnsi="Arial" w:cs="Arial"/>
              <w:sz w:val="20"/>
              <w:szCs w:val="20"/>
            </w:rPr>
            <w:t>/</w:t>
          </w:r>
          <w:r w:rsidRPr="00604C4D">
            <w:rPr>
              <w:rFonts w:ascii="Arial" w:hAnsi="Arial" w:cs="Arial"/>
              <w:sz w:val="20"/>
              <w:szCs w:val="20"/>
            </w:rPr>
            <w:t>201</w:t>
          </w:r>
          <w:r w:rsidR="00B0500C">
            <w:rPr>
              <w:rFonts w:ascii="Arial" w:hAnsi="Arial" w:cs="Arial"/>
              <w:sz w:val="20"/>
              <w:szCs w:val="20"/>
            </w:rPr>
            <w:t>8</w:t>
          </w:r>
        </w:p>
      </w:tc>
    </w:tr>
  </w:tbl>
  <w:p w:rsidR="003B1163" w:rsidRDefault="003B1163" w:rsidP="00F7213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B0D"/>
    <w:multiLevelType w:val="hybridMultilevel"/>
    <w:tmpl w:val="06F42CD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nsid w:val="116A443E"/>
    <w:multiLevelType w:val="hybridMultilevel"/>
    <w:tmpl w:val="9036E8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20BE6138"/>
    <w:multiLevelType w:val="hybridMultilevel"/>
    <w:tmpl w:val="B9C8B610"/>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2C283503"/>
    <w:multiLevelType w:val="hybridMultilevel"/>
    <w:tmpl w:val="C6961A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A2A1F20"/>
    <w:multiLevelType w:val="hybridMultilevel"/>
    <w:tmpl w:val="9D74E2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489666E3"/>
    <w:multiLevelType w:val="hybridMultilevel"/>
    <w:tmpl w:val="C67880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94E79D3"/>
    <w:multiLevelType w:val="hybridMultilevel"/>
    <w:tmpl w:val="E0C6A5B4"/>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62B87502"/>
    <w:multiLevelType w:val="hybridMultilevel"/>
    <w:tmpl w:val="A55C3F30"/>
    <w:lvl w:ilvl="0" w:tplc="22F0D5D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748A191E"/>
    <w:multiLevelType w:val="hybridMultilevel"/>
    <w:tmpl w:val="8E90992E"/>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7F9B365D"/>
    <w:multiLevelType w:val="hybridMultilevel"/>
    <w:tmpl w:val="0BB44FCA"/>
    <w:lvl w:ilvl="0" w:tplc="75F00FB4">
      <w:start w:val="1"/>
      <w:numFmt w:val="upperRoman"/>
      <w:lvlText w:val="%1."/>
      <w:lvlJc w:val="right"/>
      <w:pPr>
        <w:ind w:left="720" w:hanging="360"/>
      </w:pPr>
      <w:rPr>
        <w:b w:val="0"/>
      </w:rPr>
    </w:lvl>
    <w:lvl w:ilvl="1" w:tplc="7EC84A40">
      <w:start w:val="1"/>
      <w:numFmt w:val="decimal"/>
      <w:lvlText w:val="%2."/>
      <w:lvlJc w:val="left"/>
      <w:pPr>
        <w:ind w:left="1560" w:hanging="48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9"/>
  </w:num>
  <w:num w:numId="5">
    <w:abstractNumId w:val="2"/>
  </w:num>
  <w:num w:numId="6">
    <w:abstractNumId w:val="5"/>
  </w:num>
  <w:num w:numId="7">
    <w:abstractNumId w:val="3"/>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39"/>
    <w:rsid w:val="0000176F"/>
    <w:rsid w:val="0000740F"/>
    <w:rsid w:val="000112D5"/>
    <w:rsid w:val="000668F0"/>
    <w:rsid w:val="000B4C5B"/>
    <w:rsid w:val="00132FB6"/>
    <w:rsid w:val="001565C2"/>
    <w:rsid w:val="0016249F"/>
    <w:rsid w:val="001865C4"/>
    <w:rsid w:val="001A1427"/>
    <w:rsid w:val="001A2B6D"/>
    <w:rsid w:val="001E418B"/>
    <w:rsid w:val="00206E2C"/>
    <w:rsid w:val="00233543"/>
    <w:rsid w:val="00276BEA"/>
    <w:rsid w:val="00281A96"/>
    <w:rsid w:val="0029087E"/>
    <w:rsid w:val="002A58F7"/>
    <w:rsid w:val="002D4DE2"/>
    <w:rsid w:val="002F6F41"/>
    <w:rsid w:val="00304965"/>
    <w:rsid w:val="003128CE"/>
    <w:rsid w:val="0037256A"/>
    <w:rsid w:val="00381DE0"/>
    <w:rsid w:val="003B1163"/>
    <w:rsid w:val="003C06DE"/>
    <w:rsid w:val="003C2A6E"/>
    <w:rsid w:val="003F7693"/>
    <w:rsid w:val="00421B90"/>
    <w:rsid w:val="00423977"/>
    <w:rsid w:val="00452E7C"/>
    <w:rsid w:val="00460604"/>
    <w:rsid w:val="00485AD9"/>
    <w:rsid w:val="004A4AE8"/>
    <w:rsid w:val="004E71B9"/>
    <w:rsid w:val="005339BD"/>
    <w:rsid w:val="005344F0"/>
    <w:rsid w:val="00545D56"/>
    <w:rsid w:val="00551B0B"/>
    <w:rsid w:val="005722A5"/>
    <w:rsid w:val="0059009D"/>
    <w:rsid w:val="00596A71"/>
    <w:rsid w:val="005B58D7"/>
    <w:rsid w:val="005F2C5A"/>
    <w:rsid w:val="00604C4D"/>
    <w:rsid w:val="0067794C"/>
    <w:rsid w:val="006D2571"/>
    <w:rsid w:val="006D32BB"/>
    <w:rsid w:val="00732CF0"/>
    <w:rsid w:val="007376F8"/>
    <w:rsid w:val="0075791D"/>
    <w:rsid w:val="00762881"/>
    <w:rsid w:val="00774AAB"/>
    <w:rsid w:val="00792E74"/>
    <w:rsid w:val="007B058C"/>
    <w:rsid w:val="007B08B3"/>
    <w:rsid w:val="007B4EA6"/>
    <w:rsid w:val="007C06E2"/>
    <w:rsid w:val="007C0839"/>
    <w:rsid w:val="007C6D91"/>
    <w:rsid w:val="007D3A56"/>
    <w:rsid w:val="00807640"/>
    <w:rsid w:val="00814421"/>
    <w:rsid w:val="00817DA5"/>
    <w:rsid w:val="00820BCD"/>
    <w:rsid w:val="0084066B"/>
    <w:rsid w:val="00877187"/>
    <w:rsid w:val="0088446B"/>
    <w:rsid w:val="008D3D84"/>
    <w:rsid w:val="009134B3"/>
    <w:rsid w:val="009420FE"/>
    <w:rsid w:val="00951663"/>
    <w:rsid w:val="00984F03"/>
    <w:rsid w:val="009920C1"/>
    <w:rsid w:val="009B0F14"/>
    <w:rsid w:val="009C5676"/>
    <w:rsid w:val="009E4E5C"/>
    <w:rsid w:val="00A02830"/>
    <w:rsid w:val="00A03FEC"/>
    <w:rsid w:val="00A170D7"/>
    <w:rsid w:val="00A64F41"/>
    <w:rsid w:val="00A83273"/>
    <w:rsid w:val="00A835D2"/>
    <w:rsid w:val="00A86A5D"/>
    <w:rsid w:val="00AA48FD"/>
    <w:rsid w:val="00AB0182"/>
    <w:rsid w:val="00AD3952"/>
    <w:rsid w:val="00AD77F7"/>
    <w:rsid w:val="00AE54E7"/>
    <w:rsid w:val="00B0500C"/>
    <w:rsid w:val="00B15F5B"/>
    <w:rsid w:val="00B25D29"/>
    <w:rsid w:val="00B26AFE"/>
    <w:rsid w:val="00B51301"/>
    <w:rsid w:val="00B80802"/>
    <w:rsid w:val="00B85F2C"/>
    <w:rsid w:val="00BB6369"/>
    <w:rsid w:val="00BC6C05"/>
    <w:rsid w:val="00BE0D08"/>
    <w:rsid w:val="00C16566"/>
    <w:rsid w:val="00C170BB"/>
    <w:rsid w:val="00C27B3D"/>
    <w:rsid w:val="00C33556"/>
    <w:rsid w:val="00C43E58"/>
    <w:rsid w:val="00C91959"/>
    <w:rsid w:val="00CD1EBB"/>
    <w:rsid w:val="00D03039"/>
    <w:rsid w:val="00D16C82"/>
    <w:rsid w:val="00D61B10"/>
    <w:rsid w:val="00D91810"/>
    <w:rsid w:val="00D9697F"/>
    <w:rsid w:val="00DE7C2B"/>
    <w:rsid w:val="00E0325C"/>
    <w:rsid w:val="00E076B3"/>
    <w:rsid w:val="00E10DD4"/>
    <w:rsid w:val="00E170CD"/>
    <w:rsid w:val="00E447BA"/>
    <w:rsid w:val="00E53235"/>
    <w:rsid w:val="00E5753A"/>
    <w:rsid w:val="00E67495"/>
    <w:rsid w:val="00EA53F6"/>
    <w:rsid w:val="00ED1C08"/>
    <w:rsid w:val="00F41305"/>
    <w:rsid w:val="00F65DD2"/>
    <w:rsid w:val="00F72139"/>
    <w:rsid w:val="00F85E30"/>
    <w:rsid w:val="00F90546"/>
    <w:rsid w:val="00F93392"/>
    <w:rsid w:val="00FA3CBD"/>
    <w:rsid w:val="00FA694B"/>
    <w:rsid w:val="00FF58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21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139"/>
  </w:style>
  <w:style w:type="paragraph" w:styleId="Piedepgina">
    <w:name w:val="footer"/>
    <w:basedOn w:val="Normal"/>
    <w:link w:val="PiedepginaCar"/>
    <w:uiPriority w:val="99"/>
    <w:unhideWhenUsed/>
    <w:rsid w:val="00F721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139"/>
  </w:style>
  <w:style w:type="table" w:styleId="Tablaconcuadrcula">
    <w:name w:val="Table Grid"/>
    <w:basedOn w:val="Tablanormal"/>
    <w:uiPriority w:val="39"/>
    <w:rsid w:val="00F7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066B"/>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D61B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1B10"/>
    <w:rPr>
      <w:rFonts w:ascii="Segoe UI" w:hAnsi="Segoe UI" w:cs="Segoe UI"/>
      <w:sz w:val="18"/>
      <w:szCs w:val="18"/>
    </w:rPr>
  </w:style>
  <w:style w:type="paragraph" w:styleId="Prrafodelista">
    <w:name w:val="List Paragraph"/>
    <w:basedOn w:val="Normal"/>
    <w:uiPriority w:val="34"/>
    <w:qFormat/>
    <w:rsid w:val="00A835D2"/>
    <w:pPr>
      <w:ind w:left="720"/>
      <w:contextualSpacing/>
    </w:pPr>
  </w:style>
  <w:style w:type="paragraph" w:customStyle="1" w:styleId="Texto">
    <w:name w:val="Texto"/>
    <w:basedOn w:val="Normal"/>
    <w:link w:val="TextoCar"/>
    <w:rsid w:val="00C3355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C33556"/>
    <w:rPr>
      <w:rFonts w:ascii="Arial" w:eastAsia="Times New Roman" w:hAnsi="Arial" w:cs="Arial"/>
      <w:sz w:val="18"/>
      <w:szCs w:val="20"/>
      <w:lang w:val="es-ES" w:eastAsia="es-ES"/>
    </w:rPr>
  </w:style>
  <w:style w:type="paragraph" w:styleId="NormalWeb">
    <w:name w:val="Normal (Web)"/>
    <w:basedOn w:val="Normal"/>
    <w:uiPriority w:val="99"/>
    <w:semiHidden/>
    <w:unhideWhenUsed/>
    <w:rsid w:val="003B116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3B1163"/>
    <w:rPr>
      <w:color w:val="0000FF"/>
      <w:u w:val="single"/>
    </w:rPr>
  </w:style>
  <w:style w:type="character" w:customStyle="1" w:styleId="UnresolvedMention">
    <w:name w:val="Unresolved Mention"/>
    <w:basedOn w:val="Fuentedeprrafopredeter"/>
    <w:uiPriority w:val="99"/>
    <w:semiHidden/>
    <w:unhideWhenUsed/>
    <w:rsid w:val="003B116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21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139"/>
  </w:style>
  <w:style w:type="paragraph" w:styleId="Piedepgina">
    <w:name w:val="footer"/>
    <w:basedOn w:val="Normal"/>
    <w:link w:val="PiedepginaCar"/>
    <w:uiPriority w:val="99"/>
    <w:unhideWhenUsed/>
    <w:rsid w:val="00F721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139"/>
  </w:style>
  <w:style w:type="table" w:styleId="Tablaconcuadrcula">
    <w:name w:val="Table Grid"/>
    <w:basedOn w:val="Tablanormal"/>
    <w:uiPriority w:val="39"/>
    <w:rsid w:val="00F7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066B"/>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D61B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1B10"/>
    <w:rPr>
      <w:rFonts w:ascii="Segoe UI" w:hAnsi="Segoe UI" w:cs="Segoe UI"/>
      <w:sz w:val="18"/>
      <w:szCs w:val="18"/>
    </w:rPr>
  </w:style>
  <w:style w:type="paragraph" w:styleId="Prrafodelista">
    <w:name w:val="List Paragraph"/>
    <w:basedOn w:val="Normal"/>
    <w:uiPriority w:val="34"/>
    <w:qFormat/>
    <w:rsid w:val="00A835D2"/>
    <w:pPr>
      <w:ind w:left="720"/>
      <w:contextualSpacing/>
    </w:pPr>
  </w:style>
  <w:style w:type="paragraph" w:customStyle="1" w:styleId="Texto">
    <w:name w:val="Texto"/>
    <w:basedOn w:val="Normal"/>
    <w:link w:val="TextoCar"/>
    <w:rsid w:val="00C3355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C33556"/>
    <w:rPr>
      <w:rFonts w:ascii="Arial" w:eastAsia="Times New Roman" w:hAnsi="Arial" w:cs="Arial"/>
      <w:sz w:val="18"/>
      <w:szCs w:val="20"/>
      <w:lang w:val="es-ES" w:eastAsia="es-ES"/>
    </w:rPr>
  </w:style>
  <w:style w:type="paragraph" w:styleId="NormalWeb">
    <w:name w:val="Normal (Web)"/>
    <w:basedOn w:val="Normal"/>
    <w:uiPriority w:val="99"/>
    <w:semiHidden/>
    <w:unhideWhenUsed/>
    <w:rsid w:val="003B116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3B1163"/>
    <w:rPr>
      <w:color w:val="0000FF"/>
      <w:u w:val="single"/>
    </w:rPr>
  </w:style>
  <w:style w:type="character" w:customStyle="1" w:styleId="UnresolvedMention">
    <w:name w:val="Unresolved Mention"/>
    <w:basedOn w:val="Fuentedeprrafopredeter"/>
    <w:uiPriority w:val="99"/>
    <w:semiHidden/>
    <w:unhideWhenUsed/>
    <w:rsid w:val="003B11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957533">
      <w:bodyDiv w:val="1"/>
      <w:marLeft w:val="0"/>
      <w:marRight w:val="0"/>
      <w:marTop w:val="0"/>
      <w:marBottom w:val="0"/>
      <w:divBdr>
        <w:top w:val="none" w:sz="0" w:space="0" w:color="auto"/>
        <w:left w:val="none" w:sz="0" w:space="0" w:color="auto"/>
        <w:bottom w:val="none" w:sz="0" w:space="0" w:color="auto"/>
        <w:right w:val="none" w:sz="0" w:space="0" w:color="auto"/>
      </w:divBdr>
    </w:div>
    <w:div w:id="1264804029">
      <w:bodyDiv w:val="1"/>
      <w:marLeft w:val="0"/>
      <w:marRight w:val="0"/>
      <w:marTop w:val="0"/>
      <w:marBottom w:val="0"/>
      <w:divBdr>
        <w:top w:val="none" w:sz="0" w:space="0" w:color="auto"/>
        <w:left w:val="none" w:sz="0" w:space="0" w:color="auto"/>
        <w:bottom w:val="none" w:sz="0" w:space="0" w:color="auto"/>
        <w:right w:val="none" w:sz="0" w:space="0" w:color="auto"/>
      </w:divBdr>
    </w:div>
    <w:div w:id="1274678573">
      <w:bodyDiv w:val="1"/>
      <w:marLeft w:val="0"/>
      <w:marRight w:val="0"/>
      <w:marTop w:val="0"/>
      <w:marBottom w:val="0"/>
      <w:divBdr>
        <w:top w:val="none" w:sz="0" w:space="0" w:color="auto"/>
        <w:left w:val="none" w:sz="0" w:space="0" w:color="auto"/>
        <w:bottom w:val="none" w:sz="0" w:space="0" w:color="auto"/>
        <w:right w:val="none" w:sz="0" w:space="0" w:color="auto"/>
      </w:divBdr>
    </w:div>
    <w:div w:id="1512597694">
      <w:bodyDiv w:val="1"/>
      <w:marLeft w:val="0"/>
      <w:marRight w:val="0"/>
      <w:marTop w:val="0"/>
      <w:marBottom w:val="0"/>
      <w:divBdr>
        <w:top w:val="none" w:sz="0" w:space="0" w:color="auto"/>
        <w:left w:val="none" w:sz="0" w:space="0" w:color="auto"/>
        <w:bottom w:val="none" w:sz="0" w:space="0" w:color="auto"/>
        <w:right w:val="none" w:sz="0" w:space="0" w:color="auto"/>
      </w:divBdr>
      <w:divsChild>
        <w:div w:id="787044324">
          <w:marLeft w:val="0"/>
          <w:marRight w:val="0"/>
          <w:marTop w:val="0"/>
          <w:marBottom w:val="0"/>
          <w:divBdr>
            <w:top w:val="none" w:sz="0" w:space="0" w:color="auto"/>
            <w:left w:val="none" w:sz="0" w:space="0" w:color="auto"/>
            <w:bottom w:val="none" w:sz="0" w:space="0" w:color="auto"/>
            <w:right w:val="none" w:sz="0" w:space="0" w:color="auto"/>
          </w:divBdr>
        </w:div>
        <w:div w:id="1418288617">
          <w:marLeft w:val="0"/>
          <w:marRight w:val="0"/>
          <w:marTop w:val="30"/>
          <w:marBottom w:val="0"/>
          <w:divBdr>
            <w:top w:val="none" w:sz="0" w:space="0" w:color="auto"/>
            <w:left w:val="none" w:sz="0" w:space="0" w:color="auto"/>
            <w:bottom w:val="none" w:sz="0" w:space="0" w:color="auto"/>
            <w:right w:val="none" w:sz="0" w:space="0" w:color="auto"/>
          </w:divBdr>
          <w:divsChild>
            <w:div w:id="14697129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7</Pages>
  <Words>2464</Words>
  <Characters>13553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Evaluacion</dc:creator>
  <cp:keywords/>
  <dc:description/>
  <cp:lastModifiedBy>Auxiliar UA</cp:lastModifiedBy>
  <cp:revision>10</cp:revision>
  <cp:lastPrinted>2018-04-25T00:55:00Z</cp:lastPrinted>
  <dcterms:created xsi:type="dcterms:W3CDTF">2018-04-19T17:22:00Z</dcterms:created>
  <dcterms:modified xsi:type="dcterms:W3CDTF">2018-04-26T17:50:00Z</dcterms:modified>
</cp:coreProperties>
</file>