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C9" w:rsidRPr="00880CF4" w:rsidRDefault="00C512CF" w:rsidP="003209F0">
      <w:pPr>
        <w:spacing w:after="0" w:line="240" w:lineRule="auto"/>
        <w:jc w:val="both"/>
        <w:rPr>
          <w:rFonts w:asciiTheme="majorHAnsi" w:hAnsiTheme="majorHAnsi"/>
          <w:b/>
          <w:sz w:val="25"/>
          <w:szCs w:val="25"/>
        </w:rPr>
      </w:pPr>
      <w:bookmarkStart w:id="0" w:name="_GoBack"/>
      <w:bookmarkEnd w:id="0"/>
      <w:r w:rsidRPr="00880CF4">
        <w:rPr>
          <w:rFonts w:asciiTheme="majorHAnsi" w:eastAsia="Arial" w:hAnsiTheme="majorHAnsi" w:cs="Arial"/>
          <w:b/>
          <w:sz w:val="25"/>
          <w:szCs w:val="25"/>
        </w:rPr>
        <w:t>ACUERDO DEL PLENO, A TRAVÉS DEL CUAL SE ESTABLECE EL CRITERIO ORIENTADOR RESPECTO DE CÓMO SE DEBEN INTEGRAR LOS COMITÉS DE TRANSPARENCIA DE LOS SUJETOS OBLIGADOS.</w:t>
      </w:r>
    </w:p>
    <w:p w:rsidR="002A74C9" w:rsidRPr="00880CF4" w:rsidRDefault="002A74C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367B19" w:rsidRPr="00880CF4" w:rsidRDefault="00367B19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En la ciudad de Mérida, Yucatán, siendo las </w:t>
      </w:r>
      <w:r w:rsidR="00DC70A8">
        <w:rPr>
          <w:rFonts w:asciiTheme="majorHAnsi" w:eastAsia="Arial" w:hAnsiTheme="majorHAnsi" w:cs="Arial"/>
          <w:sz w:val="25"/>
          <w:szCs w:val="25"/>
        </w:rPr>
        <w:t>trece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horas con </w:t>
      </w:r>
      <w:r w:rsidR="00DC70A8">
        <w:rPr>
          <w:rFonts w:asciiTheme="majorHAnsi" w:eastAsia="Arial" w:hAnsiTheme="majorHAnsi" w:cs="Arial"/>
          <w:sz w:val="25"/>
          <w:szCs w:val="25"/>
        </w:rPr>
        <w:t>veinte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minutos, del día </w:t>
      </w:r>
      <w:r w:rsidR="003A6BA5">
        <w:rPr>
          <w:rFonts w:asciiTheme="majorHAnsi" w:eastAsia="Arial" w:hAnsiTheme="majorHAnsi" w:cs="Arial"/>
          <w:sz w:val="25"/>
          <w:szCs w:val="25"/>
        </w:rPr>
        <w:t>tres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de </w:t>
      </w:r>
      <w:r w:rsidR="003A6BA5">
        <w:rPr>
          <w:rFonts w:asciiTheme="majorHAnsi" w:eastAsia="Arial" w:hAnsiTheme="majorHAnsi" w:cs="Arial"/>
          <w:sz w:val="25"/>
          <w:szCs w:val="25"/>
        </w:rPr>
        <w:t>septiembre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>del año 201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8</w:t>
      </w:r>
      <w:r w:rsidRPr="00880CF4">
        <w:rPr>
          <w:rFonts w:asciiTheme="majorHAnsi" w:eastAsia="Arial" w:hAnsiTheme="majorHAnsi" w:cs="Arial"/>
          <w:sz w:val="25"/>
          <w:szCs w:val="25"/>
        </w:rPr>
        <w:t>, encontrándose reunidos los integrantes del Pleno del Instituto Estatal de Transparencia, Acceso a la Información Pública y Protección de Datos Personales, l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a</w:t>
      </w:r>
      <w:r w:rsidRPr="00880CF4">
        <w:rPr>
          <w:rFonts w:asciiTheme="majorHAnsi" w:eastAsia="Arial" w:hAnsiTheme="majorHAnsi" w:cs="Arial"/>
          <w:sz w:val="25"/>
          <w:szCs w:val="25"/>
        </w:rPr>
        <w:t>s Licenciad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a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s en Derecho, María Eugenia Sansores Ruz y 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 xml:space="preserve">Susana Aguilar Covarrubias, y el Maestro en Derecho </w:t>
      </w:r>
      <w:r w:rsidRPr="00880CF4">
        <w:rPr>
          <w:rFonts w:asciiTheme="majorHAnsi" w:eastAsia="Arial" w:hAnsiTheme="majorHAnsi" w:cs="Arial"/>
          <w:sz w:val="25"/>
          <w:szCs w:val="25"/>
        </w:rPr>
        <w:t>Aldrin Martín Briceño Conrado, Comisionada Presidenta y Comisionados, respectivamente, emiten el presente acuerdo de conformidad con los siguientes:</w:t>
      </w:r>
    </w:p>
    <w:p w:rsidR="00367B19" w:rsidRPr="00880CF4" w:rsidRDefault="00367B1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866BBD" w:rsidRPr="00880CF4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hAnsiTheme="majorHAnsi"/>
          <w:b/>
          <w:sz w:val="25"/>
          <w:szCs w:val="25"/>
        </w:rPr>
        <w:t>ANTECEDENTES</w:t>
      </w:r>
    </w:p>
    <w:p w:rsidR="00866BBD" w:rsidRPr="00880CF4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574205" w:rsidRPr="00880CF4" w:rsidRDefault="00866BBD" w:rsidP="003209F0">
      <w:pPr>
        <w:spacing w:after="0" w:line="240" w:lineRule="auto"/>
        <w:jc w:val="both"/>
        <w:rPr>
          <w:rFonts w:asciiTheme="majorHAnsi" w:hAnsiTheme="majorHAnsi"/>
          <w:i/>
          <w:sz w:val="25"/>
          <w:szCs w:val="25"/>
        </w:rPr>
      </w:pPr>
      <w:proofErr w:type="gramStart"/>
      <w:r w:rsidRPr="00880CF4">
        <w:rPr>
          <w:rFonts w:asciiTheme="majorHAnsi" w:hAnsiTheme="majorHAnsi"/>
          <w:b/>
          <w:sz w:val="25"/>
          <w:szCs w:val="25"/>
        </w:rPr>
        <w:t>PRIMERO.-</w:t>
      </w:r>
      <w:proofErr w:type="gramEnd"/>
      <w:r w:rsidRPr="00880CF4">
        <w:rPr>
          <w:rFonts w:asciiTheme="majorHAnsi" w:hAnsiTheme="majorHAnsi"/>
          <w:sz w:val="25"/>
          <w:szCs w:val="25"/>
        </w:rPr>
        <w:t xml:space="preserve"> </w:t>
      </w:r>
      <w:r w:rsidRPr="00880CF4">
        <w:rPr>
          <w:rFonts w:asciiTheme="majorHAnsi" w:eastAsia="Arial" w:hAnsiTheme="majorHAnsi" w:cs="Arial"/>
          <w:sz w:val="25"/>
          <w:szCs w:val="25"/>
        </w:rPr>
        <w:t>El 7 de febrero de 2014, se publicó en el Diario Oficial de la Federación el Decreto por el que se reforman y adicionan diversas disposiciones de la Constitución Política de los Estados Unidos Mexicanos, en materia de Transparencia.</w:t>
      </w:r>
    </w:p>
    <w:p w:rsidR="00574205" w:rsidRPr="00880CF4" w:rsidRDefault="00574205" w:rsidP="003209F0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p w:rsidR="007B1E58" w:rsidRPr="00880CF4" w:rsidRDefault="00866BB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SEGUNDO.-</w:t>
      </w:r>
      <w:proofErr w:type="gramEnd"/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 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El 4 de mayo de 2015, se publicó en el Diario Oficial de la Federación el Decreto por el que se expide la Ley General de Transparencia y Acceso a la Información Pública, Ley reglamentaria del artículo 6 constitucional. Dicha Ley, en </w:t>
      </w:r>
      <w:r w:rsidR="007B4EEA" w:rsidRPr="00880CF4">
        <w:rPr>
          <w:rFonts w:asciiTheme="majorHAnsi" w:eastAsia="Arial" w:hAnsiTheme="majorHAnsi" w:cs="Arial"/>
          <w:sz w:val="25"/>
          <w:szCs w:val="25"/>
        </w:rPr>
        <w:t xml:space="preserve">la fracción I </w:t>
      </w:r>
      <w:r w:rsidR="0045325F" w:rsidRPr="00880CF4">
        <w:rPr>
          <w:rFonts w:asciiTheme="majorHAnsi" w:eastAsia="Arial" w:hAnsiTheme="majorHAnsi" w:cs="Arial"/>
          <w:sz w:val="25"/>
          <w:szCs w:val="25"/>
        </w:rPr>
        <w:t>del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7B1E58" w:rsidRPr="00880CF4">
        <w:rPr>
          <w:rFonts w:asciiTheme="majorHAnsi" w:eastAsia="Arial" w:hAnsiTheme="majorHAnsi" w:cs="Arial"/>
          <w:sz w:val="25"/>
          <w:szCs w:val="25"/>
        </w:rPr>
        <w:t xml:space="preserve">artículo </w:t>
      </w:r>
      <w:r w:rsidR="007B4EEA" w:rsidRPr="00880CF4">
        <w:rPr>
          <w:rFonts w:asciiTheme="majorHAnsi" w:eastAsia="Arial" w:hAnsiTheme="majorHAnsi" w:cs="Arial"/>
          <w:sz w:val="25"/>
          <w:szCs w:val="25"/>
        </w:rPr>
        <w:t>42</w:t>
      </w:r>
      <w:r w:rsidR="007B1E58" w:rsidRPr="00880CF4">
        <w:rPr>
          <w:rFonts w:asciiTheme="majorHAnsi" w:eastAsia="Arial" w:hAnsiTheme="majorHAnsi" w:cs="Arial"/>
          <w:sz w:val="25"/>
          <w:szCs w:val="25"/>
        </w:rPr>
        <w:t xml:space="preserve"> dispone que</w:t>
      </w:r>
      <w:r w:rsidR="007B4EEA" w:rsidRPr="00880CF4">
        <w:rPr>
          <w:rFonts w:asciiTheme="majorHAnsi" w:eastAsia="Arial" w:hAnsiTheme="majorHAnsi" w:cs="Arial"/>
          <w:sz w:val="25"/>
          <w:szCs w:val="25"/>
        </w:rPr>
        <w:t xml:space="preserve"> será atribución de los organismos garantes estatales</w:t>
      </w:r>
      <w:r w:rsidR="007B1E58" w:rsidRPr="00880CF4">
        <w:rPr>
          <w:rFonts w:asciiTheme="majorHAnsi" w:eastAsia="Arial" w:hAnsiTheme="majorHAnsi" w:cs="Arial"/>
          <w:sz w:val="25"/>
          <w:szCs w:val="25"/>
        </w:rPr>
        <w:t>:</w:t>
      </w:r>
    </w:p>
    <w:p w:rsidR="007B1E58" w:rsidRPr="00880CF4" w:rsidRDefault="007B1E58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866BBD" w:rsidRPr="00880CF4" w:rsidRDefault="007B1E58" w:rsidP="003209F0">
      <w:pPr>
        <w:spacing w:after="0" w:line="240" w:lineRule="auto"/>
        <w:ind w:left="851" w:right="616"/>
        <w:jc w:val="both"/>
        <w:rPr>
          <w:rFonts w:asciiTheme="majorHAnsi" w:eastAsia="Arial" w:hAnsiTheme="majorHAnsi" w:cs="Arial"/>
          <w:i/>
          <w:sz w:val="25"/>
          <w:szCs w:val="25"/>
        </w:rPr>
      </w:pPr>
      <w:r w:rsidRPr="00880CF4">
        <w:rPr>
          <w:rFonts w:asciiTheme="majorHAnsi" w:eastAsia="Arial" w:hAnsiTheme="majorHAnsi" w:cs="Arial"/>
          <w:i/>
          <w:sz w:val="25"/>
          <w:szCs w:val="25"/>
        </w:rPr>
        <w:t>“..</w:t>
      </w:r>
      <w:r w:rsidR="00866BBD" w:rsidRPr="00880CF4">
        <w:rPr>
          <w:rFonts w:asciiTheme="majorHAnsi" w:eastAsia="Arial" w:hAnsiTheme="majorHAnsi" w:cs="Arial"/>
          <w:i/>
          <w:sz w:val="25"/>
          <w:szCs w:val="25"/>
        </w:rPr>
        <w:t>.</w:t>
      </w:r>
      <w:r w:rsidR="007B4EEA" w:rsidRPr="00880CF4">
        <w:rPr>
          <w:rFonts w:asciiTheme="majorHAnsi" w:eastAsia="Arial" w:hAnsiTheme="majorHAnsi" w:cs="Arial"/>
          <w:i/>
          <w:sz w:val="25"/>
          <w:szCs w:val="25"/>
        </w:rPr>
        <w:t xml:space="preserve">Interpretar los ordenamientos que les resulten aplicables y que deriven de esta Ley y de la Constitución Política de los Estados Unidos </w:t>
      </w:r>
      <w:proofErr w:type="gramStart"/>
      <w:r w:rsidR="007B4EEA" w:rsidRPr="00880CF4">
        <w:rPr>
          <w:rFonts w:asciiTheme="majorHAnsi" w:eastAsia="Arial" w:hAnsiTheme="majorHAnsi" w:cs="Arial"/>
          <w:i/>
          <w:sz w:val="25"/>
          <w:szCs w:val="25"/>
        </w:rPr>
        <w:t>Mexicanos</w:t>
      </w:r>
      <w:r w:rsidR="0045325F" w:rsidRPr="00880CF4">
        <w:rPr>
          <w:rFonts w:asciiTheme="majorHAnsi" w:eastAsia="Arial" w:hAnsiTheme="majorHAnsi" w:cs="Arial"/>
          <w:i/>
          <w:sz w:val="25"/>
          <w:szCs w:val="25"/>
        </w:rPr>
        <w:t>.</w:t>
      </w:r>
      <w:r w:rsidRPr="00880CF4">
        <w:rPr>
          <w:rFonts w:asciiTheme="majorHAnsi" w:eastAsia="Arial" w:hAnsiTheme="majorHAnsi" w:cs="Arial"/>
          <w:i/>
          <w:sz w:val="25"/>
          <w:szCs w:val="25"/>
        </w:rPr>
        <w:t>…</w:t>
      </w:r>
      <w:proofErr w:type="gramEnd"/>
      <w:r w:rsidRPr="00880CF4">
        <w:rPr>
          <w:rFonts w:asciiTheme="majorHAnsi" w:eastAsia="Arial" w:hAnsiTheme="majorHAnsi" w:cs="Arial"/>
          <w:i/>
          <w:sz w:val="25"/>
          <w:szCs w:val="25"/>
        </w:rPr>
        <w:t>”</w:t>
      </w:r>
    </w:p>
    <w:p w:rsidR="007B4EEA" w:rsidRPr="00880CF4" w:rsidRDefault="007B4EEA" w:rsidP="007B4EEA">
      <w:pPr>
        <w:spacing w:after="0" w:line="240" w:lineRule="auto"/>
        <w:ind w:right="616"/>
        <w:jc w:val="both"/>
        <w:rPr>
          <w:rFonts w:asciiTheme="majorHAnsi" w:eastAsia="Arial" w:hAnsiTheme="majorHAnsi" w:cs="Arial"/>
          <w:i/>
          <w:sz w:val="25"/>
          <w:szCs w:val="25"/>
        </w:rPr>
      </w:pPr>
    </w:p>
    <w:p w:rsidR="007B4EEA" w:rsidRPr="00880CF4" w:rsidRDefault="007B4EEA" w:rsidP="00B6417B">
      <w:pPr>
        <w:spacing w:after="0" w:line="240" w:lineRule="auto"/>
        <w:ind w:right="49"/>
        <w:jc w:val="both"/>
        <w:rPr>
          <w:rFonts w:asciiTheme="majorHAnsi" w:eastAsia="Arial" w:hAnsiTheme="majorHAnsi" w:cs="Arial"/>
          <w:i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Y en su artículo 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43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, 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 xml:space="preserve">se le impuso la obligación a cada sujeto obligado de integrar un Comité de Transparencia </w:t>
      </w:r>
      <w:r w:rsidR="00467C17" w:rsidRPr="00880CF4">
        <w:rPr>
          <w:rFonts w:asciiTheme="majorHAnsi" w:eastAsia="Arial" w:hAnsiTheme="majorHAnsi" w:cs="Arial"/>
          <w:sz w:val="25"/>
          <w:szCs w:val="25"/>
        </w:rPr>
        <w:t>c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olegiado e integrado por un número impar.</w:t>
      </w:r>
    </w:p>
    <w:p w:rsidR="00866BBD" w:rsidRPr="00880CF4" w:rsidRDefault="00866BBD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i/>
          <w:sz w:val="25"/>
          <w:szCs w:val="25"/>
        </w:rPr>
      </w:pPr>
    </w:p>
    <w:p w:rsidR="00866BBD" w:rsidRPr="00880CF4" w:rsidRDefault="00866BB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TERCERO.-</w:t>
      </w:r>
      <w:proofErr w:type="gramEnd"/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 </w:t>
      </w:r>
      <w:r w:rsidRPr="00880CF4">
        <w:rPr>
          <w:rFonts w:asciiTheme="majorHAnsi" w:eastAsia="Arial" w:hAnsiTheme="majorHAnsi" w:cs="Arial"/>
          <w:sz w:val="25"/>
          <w:szCs w:val="25"/>
        </w:rPr>
        <w:t>El 20 de abril de 2016, se publicó en el Diario Oficial del Gobierno del Estado de Yucatán el Decreto 380/2016, por el que se modifica la Constitución Política del Estado de Yucatán, en materia de anticorrupción y transparencia. A través de dicha modificación, se sientan las bases de la homologación de la legislación estatal, acorde a lo dispuesto en la Ley general, Ley reglamentaria del artículo 6 constitucional.</w:t>
      </w:r>
    </w:p>
    <w:p w:rsidR="00866BBD" w:rsidRPr="00880CF4" w:rsidRDefault="00866BBD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866BBD" w:rsidRPr="00880CF4" w:rsidRDefault="00866BB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CUARTO.-</w:t>
      </w:r>
      <w:proofErr w:type="gramEnd"/>
      <w:r w:rsidRPr="00880CF4">
        <w:rPr>
          <w:rFonts w:asciiTheme="majorHAnsi" w:eastAsia="Arial" w:hAnsiTheme="majorHAnsi" w:cs="Arial"/>
          <w:sz w:val="25"/>
          <w:szCs w:val="25"/>
        </w:rPr>
        <w:t xml:space="preserve"> El 2 de mayo de 2016, se publicó en el Diario Oficial del Gobierno del Estado, el Decreto 388/2016, por el que se expide la Ley de Transparencia y Acceso a la Información Pública del Estado de Yucatán, a través de dicha publicación se dio </w:t>
      </w:r>
      <w:r w:rsidRPr="00880CF4">
        <w:rPr>
          <w:rFonts w:asciiTheme="majorHAnsi" w:eastAsia="Arial" w:hAnsiTheme="majorHAnsi" w:cs="Arial"/>
          <w:sz w:val="25"/>
          <w:szCs w:val="25"/>
        </w:rPr>
        <w:lastRenderedPageBreak/>
        <w:t>cumplimiento a lo establecido en el transitorio quinto de la Ley General de Transparencia y Acceso a la Información Pública, la homologación de la Ley estatal conforme a lo dispuesto en la citada Ley general.</w:t>
      </w:r>
    </w:p>
    <w:p w:rsidR="00AF3343" w:rsidRPr="00880CF4" w:rsidRDefault="00AF334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AF3343" w:rsidRPr="00880CF4" w:rsidRDefault="00AF334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La referida Ley estatal, indica en su artículo </w:t>
      </w:r>
      <w:r w:rsidR="00C273B0" w:rsidRPr="00880CF4">
        <w:rPr>
          <w:rFonts w:asciiTheme="majorHAnsi" w:eastAsia="Arial" w:hAnsiTheme="majorHAnsi" w:cs="Arial"/>
          <w:sz w:val="25"/>
          <w:szCs w:val="25"/>
        </w:rPr>
        <w:t>12 fracción I</w:t>
      </w:r>
      <w:r w:rsidRPr="00880CF4">
        <w:rPr>
          <w:rFonts w:asciiTheme="majorHAnsi" w:eastAsia="Arial" w:hAnsiTheme="majorHAnsi" w:cs="Arial"/>
          <w:sz w:val="25"/>
          <w:szCs w:val="25"/>
        </w:rPr>
        <w:t>, que</w:t>
      </w:r>
      <w:r w:rsidR="00C273B0" w:rsidRPr="00880CF4">
        <w:rPr>
          <w:rFonts w:asciiTheme="majorHAnsi" w:eastAsia="Arial" w:hAnsiTheme="majorHAnsi" w:cs="Arial"/>
          <w:sz w:val="25"/>
          <w:szCs w:val="25"/>
        </w:rPr>
        <w:t xml:space="preserve"> el Instituto Estatal de Transparencia, Acceso a la Información Pública y Protección de Datos Personales, además de las atribuciones establecidas en el artículo 42 de la Ley general, deberá</w:t>
      </w:r>
      <w:r w:rsidRPr="00880CF4">
        <w:rPr>
          <w:rFonts w:asciiTheme="majorHAnsi" w:eastAsia="Arial" w:hAnsiTheme="majorHAnsi" w:cs="Arial"/>
          <w:sz w:val="25"/>
          <w:szCs w:val="25"/>
        </w:rPr>
        <w:t>:</w:t>
      </w:r>
    </w:p>
    <w:p w:rsidR="00AF3343" w:rsidRPr="00880CF4" w:rsidRDefault="00AF334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AF3343" w:rsidRPr="00880CF4" w:rsidRDefault="00AF3343" w:rsidP="003209F0">
      <w:pPr>
        <w:spacing w:after="0" w:line="240" w:lineRule="auto"/>
        <w:ind w:left="851" w:right="616"/>
        <w:jc w:val="both"/>
        <w:rPr>
          <w:rFonts w:asciiTheme="majorHAnsi" w:eastAsia="Arial" w:hAnsiTheme="majorHAnsi" w:cs="Arial"/>
          <w:i/>
          <w:sz w:val="25"/>
          <w:szCs w:val="25"/>
        </w:rPr>
      </w:pPr>
      <w:r w:rsidRPr="00880CF4">
        <w:rPr>
          <w:rFonts w:asciiTheme="majorHAnsi" w:eastAsia="Arial" w:hAnsiTheme="majorHAnsi" w:cs="Arial"/>
          <w:i/>
          <w:sz w:val="25"/>
          <w:szCs w:val="25"/>
        </w:rPr>
        <w:t>“…</w:t>
      </w:r>
      <w:r w:rsidR="00C273B0" w:rsidRPr="00880CF4">
        <w:rPr>
          <w:rFonts w:asciiTheme="majorHAnsi" w:eastAsia="Arial" w:hAnsiTheme="majorHAnsi" w:cs="Arial"/>
          <w:i/>
          <w:sz w:val="25"/>
          <w:szCs w:val="25"/>
        </w:rPr>
        <w:t>Suplir cualquier deficiencia para garantizar el ejercicio del derecho de acceso a la información</w:t>
      </w:r>
      <w:r w:rsidRPr="00880CF4">
        <w:rPr>
          <w:rFonts w:asciiTheme="majorHAnsi" w:eastAsia="Arial" w:hAnsiTheme="majorHAnsi" w:cs="Arial"/>
          <w:i/>
          <w:sz w:val="25"/>
          <w:szCs w:val="25"/>
        </w:rPr>
        <w:t>…”</w:t>
      </w:r>
    </w:p>
    <w:p w:rsidR="00AF3343" w:rsidRPr="00880CF4" w:rsidRDefault="00AF3343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6710A8" w:rsidRPr="00880CF4" w:rsidRDefault="00C273B0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Y en su artículo 9, se señala, </w:t>
      </w:r>
      <w:proofErr w:type="gramStart"/>
      <w:r w:rsidRPr="00880CF4">
        <w:rPr>
          <w:rFonts w:asciiTheme="majorHAnsi" w:eastAsia="Arial" w:hAnsiTheme="majorHAnsi" w:cs="Arial"/>
          <w:sz w:val="25"/>
          <w:szCs w:val="25"/>
        </w:rPr>
        <w:t>que</w:t>
      </w:r>
      <w:proofErr w:type="gramEnd"/>
      <w:r w:rsidRPr="00880CF4">
        <w:rPr>
          <w:rFonts w:asciiTheme="majorHAnsi" w:eastAsia="Arial" w:hAnsiTheme="majorHAnsi" w:cs="Arial"/>
          <w:sz w:val="25"/>
          <w:szCs w:val="25"/>
        </w:rPr>
        <w:t xml:space="preserve"> en la interpretación de la referida Ley estatal de la materia, se podrán tomar en consideración los criterios</w:t>
      </w:r>
      <w:r w:rsidR="00A96F50" w:rsidRPr="00880CF4">
        <w:rPr>
          <w:rFonts w:asciiTheme="majorHAnsi" w:eastAsia="Arial" w:hAnsiTheme="majorHAnsi" w:cs="Arial"/>
          <w:sz w:val="25"/>
          <w:szCs w:val="25"/>
        </w:rPr>
        <w:t>, determinaciones y opiniones de los organismos nacionales e internacionales en materia de transparencia</w:t>
      </w:r>
      <w:r w:rsidR="00D67D49" w:rsidRPr="00880CF4">
        <w:rPr>
          <w:rFonts w:asciiTheme="majorHAnsi" w:eastAsia="Arial" w:hAnsiTheme="majorHAnsi" w:cs="Arial"/>
          <w:sz w:val="25"/>
          <w:szCs w:val="25"/>
        </w:rPr>
        <w:t>.</w:t>
      </w:r>
    </w:p>
    <w:p w:rsidR="005A684A" w:rsidRPr="00880CF4" w:rsidRDefault="005A684A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A16D01" w:rsidRPr="00880CF4" w:rsidRDefault="00A16D01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hAnsiTheme="majorHAnsi"/>
          <w:b/>
          <w:sz w:val="25"/>
          <w:szCs w:val="25"/>
        </w:rPr>
        <w:t>CONSIDERANDOS</w:t>
      </w:r>
    </w:p>
    <w:p w:rsidR="00807346" w:rsidRPr="00880CF4" w:rsidRDefault="00807346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807346" w:rsidRPr="00880CF4" w:rsidRDefault="00A16D0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Yucatán, la Ley general, 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>la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>L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>ey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 xml:space="preserve"> estatal de la materia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 y demás disposiciones normativas aplicables.</w:t>
      </w:r>
    </w:p>
    <w:p w:rsidR="008D79B5" w:rsidRPr="00880CF4" w:rsidRDefault="008D79B5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512CF" w:rsidRPr="00880CF4" w:rsidRDefault="009B7C56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SEGUNDO</w:t>
      </w:r>
      <w:r w:rsidR="00085008" w:rsidRPr="00880CF4">
        <w:rPr>
          <w:rFonts w:asciiTheme="majorHAnsi" w:eastAsia="Arial" w:hAnsiTheme="majorHAnsi" w:cs="Arial"/>
          <w:b/>
          <w:sz w:val="25"/>
          <w:szCs w:val="25"/>
        </w:rPr>
        <w:t>.-</w:t>
      </w:r>
      <w:proofErr w:type="gramEnd"/>
      <w:r w:rsidR="00DE6186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1D7F93" w:rsidRPr="00880CF4">
        <w:rPr>
          <w:rFonts w:asciiTheme="majorHAnsi" w:eastAsia="Arial" w:hAnsiTheme="majorHAnsi" w:cs="Arial"/>
          <w:sz w:val="25"/>
          <w:szCs w:val="25"/>
        </w:rPr>
        <w:t>Tal y como se referenció en el antecedente SEGUNDO</w:t>
      </w:r>
      <w:r w:rsidR="006A62EA" w:rsidRPr="00880CF4">
        <w:rPr>
          <w:rFonts w:asciiTheme="majorHAnsi" w:eastAsia="Arial" w:hAnsiTheme="majorHAnsi" w:cs="Arial"/>
          <w:sz w:val="25"/>
          <w:szCs w:val="25"/>
        </w:rPr>
        <w:t>, la Ley General de Transparencia y Acceso a la Información Pública, impuso la obligación a cada sujeto obligado de constituir e integrar un Comité de Transparencia, previendo como únicas restricciones y/o limitaciones en la conformación</w:t>
      </w:r>
      <w:r w:rsidR="00F30ADF" w:rsidRPr="00880CF4">
        <w:rPr>
          <w:rFonts w:asciiTheme="majorHAnsi" w:eastAsia="Arial" w:hAnsiTheme="majorHAnsi" w:cs="Arial"/>
          <w:sz w:val="25"/>
          <w:szCs w:val="25"/>
        </w:rPr>
        <w:t>:</w:t>
      </w:r>
      <w:r w:rsidR="006A62EA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t xml:space="preserve">1) </w:t>
      </w:r>
      <w:r w:rsidR="006A62EA" w:rsidRPr="00880CF4">
        <w:rPr>
          <w:rFonts w:asciiTheme="majorHAnsi" w:eastAsia="Arial" w:hAnsiTheme="majorHAnsi" w:cs="Arial"/>
          <w:sz w:val="25"/>
          <w:szCs w:val="25"/>
        </w:rPr>
        <w:t xml:space="preserve">que 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t xml:space="preserve">éste </w:t>
      </w:r>
      <w:r w:rsidR="006A62EA" w:rsidRPr="00880CF4">
        <w:rPr>
          <w:rFonts w:asciiTheme="majorHAnsi" w:eastAsia="Arial" w:hAnsiTheme="majorHAnsi" w:cs="Arial"/>
          <w:sz w:val="25"/>
          <w:szCs w:val="25"/>
        </w:rPr>
        <w:t>sea integrado por un número impar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t>;</w:t>
      </w:r>
      <w:r w:rsidR="006A62EA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t>2)</w:t>
      </w:r>
      <w:r w:rsidR="006A62EA" w:rsidRPr="00880CF4">
        <w:rPr>
          <w:rFonts w:asciiTheme="majorHAnsi" w:eastAsia="Arial" w:hAnsiTheme="majorHAnsi" w:cs="Arial"/>
          <w:sz w:val="25"/>
          <w:szCs w:val="25"/>
        </w:rPr>
        <w:t xml:space="preserve"> que los integrantes de ésta figura no dependan jerárquicamente entre sí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t>; y 3)</w:t>
      </w:r>
      <w:r w:rsidR="006A62EA" w:rsidRPr="00880CF4">
        <w:rPr>
          <w:rFonts w:asciiTheme="majorHAnsi" w:eastAsia="Arial" w:hAnsiTheme="majorHAnsi" w:cs="Arial"/>
          <w:sz w:val="25"/>
          <w:szCs w:val="25"/>
        </w:rPr>
        <w:t xml:space="preserve"> no pu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t>eden reunirse</w:t>
      </w:r>
      <w:r w:rsidR="006A62EA" w:rsidRPr="00880CF4">
        <w:rPr>
          <w:rFonts w:asciiTheme="majorHAnsi" w:eastAsia="Arial" w:hAnsiTheme="majorHAnsi" w:cs="Arial"/>
          <w:sz w:val="25"/>
          <w:szCs w:val="25"/>
        </w:rPr>
        <w:t xml:space="preserve"> 2 o más de estos integrantes en u</w:t>
      </w:r>
      <w:r w:rsidR="00F50EA0" w:rsidRPr="00880CF4">
        <w:rPr>
          <w:rFonts w:asciiTheme="majorHAnsi" w:eastAsia="Arial" w:hAnsiTheme="majorHAnsi" w:cs="Arial"/>
          <w:sz w:val="25"/>
          <w:szCs w:val="25"/>
        </w:rPr>
        <w:t>na sola persona.</w:t>
      </w:r>
    </w:p>
    <w:p w:rsidR="00F50EA0" w:rsidRPr="00880CF4" w:rsidRDefault="00F50EA0" w:rsidP="00C512CF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F50EA0" w:rsidRPr="00880CF4" w:rsidRDefault="003263D2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>La consideración de los Comités de Transparencia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t xml:space="preserve"> dentro de la Ley general de transparencia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, 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t xml:space="preserve">surge de la necesidad de contar con estructuras institucionales dentro de los entes públicos, responsables de posibilitar el ejercicio pleno y efectivo del derecho humano a la información, a través del ejercicio de las atribuciones establecidas en el </w:t>
      </w:r>
      <w:r w:rsidR="00D17CB4" w:rsidRPr="00880CF4">
        <w:rPr>
          <w:rFonts w:asciiTheme="majorHAnsi" w:eastAsia="Arial" w:hAnsiTheme="majorHAnsi" w:cs="Arial"/>
          <w:sz w:val="25"/>
          <w:szCs w:val="25"/>
        </w:rPr>
        <w:lastRenderedPageBreak/>
        <w:t>artículo 44 de la Ley general de transparenci</w:t>
      </w:r>
      <w:r w:rsidR="00F30ADF" w:rsidRPr="00880CF4">
        <w:rPr>
          <w:rFonts w:asciiTheme="majorHAnsi" w:eastAsia="Arial" w:hAnsiTheme="majorHAnsi" w:cs="Arial"/>
          <w:sz w:val="25"/>
          <w:szCs w:val="25"/>
        </w:rPr>
        <w:t>a; y que las determinaciones en materia de ampliación de plazo, inexistencia de información y clasificación de información no sean determinadas por las áreas de los sujetos obligados.</w:t>
      </w:r>
    </w:p>
    <w:p w:rsidR="00F30ADF" w:rsidRPr="00880CF4" w:rsidRDefault="00F30ADF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F30ADF" w:rsidRPr="00880CF4" w:rsidRDefault="00F30ADF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Los Comités de Transparencia tienen 2 objetivos fundamentales: 1) </w:t>
      </w:r>
      <w:r w:rsidR="00E355E0" w:rsidRPr="00880CF4">
        <w:rPr>
          <w:rFonts w:asciiTheme="majorHAnsi" w:eastAsia="Arial" w:hAnsiTheme="majorHAnsi" w:cs="Arial"/>
          <w:sz w:val="25"/>
          <w:szCs w:val="25"/>
        </w:rPr>
        <w:t>brindar confianza y certeza a los solicitantes de la información</w:t>
      </w:r>
      <w:r w:rsidR="00CA156D" w:rsidRPr="00880CF4">
        <w:rPr>
          <w:rFonts w:asciiTheme="majorHAnsi" w:eastAsia="Arial" w:hAnsiTheme="majorHAnsi" w:cs="Arial"/>
          <w:sz w:val="25"/>
          <w:szCs w:val="25"/>
        </w:rPr>
        <w:t>,</w:t>
      </w:r>
      <w:r w:rsidR="00E355E0" w:rsidRPr="00880CF4">
        <w:rPr>
          <w:rFonts w:asciiTheme="majorHAnsi" w:eastAsia="Arial" w:hAnsiTheme="majorHAnsi" w:cs="Arial"/>
          <w:sz w:val="25"/>
          <w:szCs w:val="25"/>
        </w:rPr>
        <w:t xml:space="preserve"> de que la información solicitada se les proveerá de manera pronta y completa, en los casos en los que así proceda; y 2) establecer medios de control dentro de los propios sujetos obligados, toda vez que la supervisión y evaluación que el Comité de Transparencia ejerza</w:t>
      </w:r>
      <w:r w:rsidR="00CA156D" w:rsidRPr="00880CF4">
        <w:rPr>
          <w:rFonts w:asciiTheme="majorHAnsi" w:eastAsia="Arial" w:hAnsiTheme="majorHAnsi" w:cs="Arial"/>
          <w:sz w:val="25"/>
          <w:szCs w:val="25"/>
        </w:rPr>
        <w:t>,</w:t>
      </w:r>
      <w:r w:rsidR="00E355E0" w:rsidRPr="00880CF4">
        <w:rPr>
          <w:rFonts w:asciiTheme="majorHAnsi" w:eastAsia="Arial" w:hAnsiTheme="majorHAnsi" w:cs="Arial"/>
          <w:sz w:val="25"/>
          <w:szCs w:val="25"/>
        </w:rPr>
        <w:t xml:space="preserve"> evitará riesgos y disminuirá las limitaciones injustificadas o desproporcionadas de acceso a la información, </w:t>
      </w:r>
      <w:r w:rsidR="00CA156D" w:rsidRPr="00880CF4">
        <w:rPr>
          <w:rFonts w:asciiTheme="majorHAnsi" w:eastAsia="Arial" w:hAnsiTheme="majorHAnsi" w:cs="Arial"/>
          <w:sz w:val="25"/>
          <w:szCs w:val="25"/>
        </w:rPr>
        <w:t>permitiendo</w:t>
      </w:r>
      <w:r w:rsidR="00E355E0" w:rsidRPr="00880CF4">
        <w:rPr>
          <w:rFonts w:asciiTheme="majorHAnsi" w:eastAsia="Arial" w:hAnsiTheme="majorHAnsi" w:cs="Arial"/>
          <w:sz w:val="25"/>
          <w:szCs w:val="25"/>
        </w:rPr>
        <w:t xml:space="preserve"> que los procedimientos y las gestiones </w:t>
      </w:r>
      <w:r w:rsidR="00CA156D" w:rsidRPr="00880CF4">
        <w:rPr>
          <w:rFonts w:asciiTheme="majorHAnsi" w:eastAsia="Arial" w:hAnsiTheme="majorHAnsi" w:cs="Arial"/>
          <w:sz w:val="25"/>
          <w:szCs w:val="25"/>
        </w:rPr>
        <w:t>que se realicen</w:t>
      </w:r>
      <w:r w:rsidR="00E355E0" w:rsidRPr="00880CF4">
        <w:rPr>
          <w:rFonts w:asciiTheme="majorHAnsi" w:eastAsia="Arial" w:hAnsiTheme="majorHAnsi" w:cs="Arial"/>
          <w:sz w:val="25"/>
          <w:szCs w:val="25"/>
        </w:rPr>
        <w:t xml:space="preserve"> sigan un patrón de homologación conocido, confiable y transparente</w:t>
      </w:r>
      <w:r w:rsidR="00CA156D" w:rsidRPr="00880CF4">
        <w:rPr>
          <w:rFonts w:asciiTheme="majorHAnsi" w:eastAsia="Arial" w:hAnsiTheme="majorHAnsi" w:cs="Arial"/>
          <w:sz w:val="25"/>
          <w:szCs w:val="25"/>
        </w:rPr>
        <w:t>.</w:t>
      </w:r>
    </w:p>
    <w:p w:rsidR="00CA156D" w:rsidRPr="00880CF4" w:rsidRDefault="00CA156D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A156D" w:rsidRPr="00880CF4" w:rsidRDefault="0043447C" w:rsidP="00C512CF">
      <w:pPr>
        <w:spacing w:after="0" w:line="240" w:lineRule="auto"/>
        <w:jc w:val="both"/>
        <w:rPr>
          <w:rFonts w:asciiTheme="majorHAnsi" w:eastAsia="Arial" w:hAnsiTheme="majorHAnsi" w:cs="Arial"/>
          <w:iCs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Dentro de las funciones dispuestas para el Comité de Transparencia, </w:t>
      </w:r>
      <w:r w:rsidR="004F24A3" w:rsidRPr="00880CF4">
        <w:rPr>
          <w:rFonts w:asciiTheme="majorHAnsi" w:eastAsia="Arial" w:hAnsiTheme="majorHAnsi" w:cs="Arial"/>
          <w:sz w:val="25"/>
          <w:szCs w:val="25"/>
        </w:rPr>
        <w:t xml:space="preserve">en el artículo 44 fracción II de la citada Ley general, se les otorgó las de confirmar, modificar o revocar las determinaciones que en materia </w:t>
      </w:r>
      <w:r w:rsidR="004F24A3" w:rsidRPr="00880CF4">
        <w:rPr>
          <w:rFonts w:asciiTheme="majorHAnsi" w:eastAsia="Arial" w:hAnsiTheme="majorHAnsi" w:cs="Arial"/>
          <w:iCs/>
          <w:sz w:val="25"/>
          <w:szCs w:val="25"/>
        </w:rPr>
        <w:t>de ampliación del plazo de respuesta, clasificación de la información y declaración de inexistencia o de incompetencia realicen los titulares de las Áreas de los sujetos obligados; tratándose de las declaraciones de inexistencia, el Comité deberá observar lo dispuesto en el artículo 138 de la multicitada Ley general.</w:t>
      </w:r>
    </w:p>
    <w:p w:rsidR="004F24A3" w:rsidRPr="00880CF4" w:rsidRDefault="004F24A3" w:rsidP="00C512CF">
      <w:pPr>
        <w:spacing w:after="0" w:line="240" w:lineRule="auto"/>
        <w:jc w:val="both"/>
        <w:rPr>
          <w:rFonts w:asciiTheme="majorHAnsi" w:eastAsia="Arial" w:hAnsiTheme="majorHAnsi" w:cs="Arial"/>
          <w:iCs/>
          <w:sz w:val="25"/>
          <w:szCs w:val="25"/>
        </w:rPr>
      </w:pPr>
    </w:p>
    <w:p w:rsidR="004F24A3" w:rsidRPr="00880CF4" w:rsidRDefault="00820CC9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>En caso de que la información solicitada no exista en los archivos del sujeto obligado, el Comité de Transparencia debe: a) Analizar el caso y tomar las medidas necesarias para localizar la información; b) Expedir una resolución que confirme la inexistencia del documento requerido; c) Ordenará que se genere o se reponga la información en caso de que ésta debiera haber existido por ser parte de las funciones, facultades o competencias del sujeto obligado o que en caso de que sea fehacientemente imposible generarla, exponga de forma fundada y motivada, las razones por las cuales no ejerció dichas facultades, competencias o funciones; y d) Notificará al órgano interno de control o a la unidad administrativa que ejerza las funciones correspondientes, para que inicie el procedimiento de responsabilidad si fuere el caso.</w:t>
      </w:r>
    </w:p>
    <w:p w:rsidR="004F24A3" w:rsidRPr="00880CF4" w:rsidRDefault="004F24A3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4F24A3" w:rsidRPr="00880CF4" w:rsidRDefault="00820CC9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>Lo anteriormente referido, adquiere relevancia toda vez que a partir de la entrada en vigor de la Ley general de transparencia y la diversa estatal</w:t>
      </w:r>
      <w:r w:rsidR="0045279F" w:rsidRPr="00880CF4">
        <w:rPr>
          <w:rFonts w:asciiTheme="majorHAnsi" w:eastAsia="Arial" w:hAnsiTheme="majorHAnsi" w:cs="Arial"/>
          <w:sz w:val="25"/>
          <w:szCs w:val="25"/>
        </w:rPr>
        <w:t xml:space="preserve">, 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Ley de Transparencia y Acceso a la Información Pública </w:t>
      </w:r>
      <w:r w:rsidR="0045279F" w:rsidRPr="00880CF4">
        <w:rPr>
          <w:rFonts w:asciiTheme="majorHAnsi" w:eastAsia="Arial" w:hAnsiTheme="majorHAnsi" w:cs="Arial"/>
          <w:sz w:val="25"/>
          <w:szCs w:val="25"/>
        </w:rPr>
        <w:t>del Estado de Yucatán; el Comité de Transparencia p</w:t>
      </w:r>
      <w:r w:rsidR="00F04502" w:rsidRPr="00880CF4">
        <w:rPr>
          <w:rFonts w:asciiTheme="majorHAnsi" w:eastAsia="Arial" w:hAnsiTheme="majorHAnsi" w:cs="Arial"/>
          <w:sz w:val="25"/>
          <w:szCs w:val="25"/>
        </w:rPr>
        <w:t>uede</w:t>
      </w:r>
      <w:r w:rsidR="0045279F" w:rsidRPr="00880CF4">
        <w:rPr>
          <w:rFonts w:asciiTheme="majorHAnsi" w:eastAsia="Arial" w:hAnsiTheme="majorHAnsi" w:cs="Arial"/>
          <w:sz w:val="25"/>
          <w:szCs w:val="25"/>
        </w:rPr>
        <w:t xml:space="preserve"> obligar a generar la información, a la unidad que declar</w:t>
      </w:r>
      <w:r w:rsidR="00F04502" w:rsidRPr="00880CF4">
        <w:rPr>
          <w:rFonts w:asciiTheme="majorHAnsi" w:eastAsia="Arial" w:hAnsiTheme="majorHAnsi" w:cs="Arial"/>
          <w:sz w:val="25"/>
          <w:szCs w:val="25"/>
        </w:rPr>
        <w:t>e</w:t>
      </w:r>
      <w:r w:rsidR="0045279F" w:rsidRPr="00880CF4">
        <w:rPr>
          <w:rFonts w:asciiTheme="majorHAnsi" w:eastAsia="Arial" w:hAnsiTheme="majorHAnsi" w:cs="Arial"/>
          <w:sz w:val="25"/>
          <w:szCs w:val="25"/>
        </w:rPr>
        <w:t xml:space="preserve"> su inexistencia</w:t>
      </w:r>
      <w:r w:rsidR="00F04502" w:rsidRPr="00880CF4">
        <w:rPr>
          <w:rFonts w:asciiTheme="majorHAnsi" w:eastAsia="Arial" w:hAnsiTheme="majorHAnsi" w:cs="Arial"/>
          <w:sz w:val="25"/>
          <w:szCs w:val="25"/>
        </w:rPr>
        <w:t>, en este mismo sentido</w:t>
      </w:r>
      <w:r w:rsidR="0045279F" w:rsidRPr="00880CF4">
        <w:rPr>
          <w:rFonts w:asciiTheme="majorHAnsi" w:eastAsia="Arial" w:hAnsiTheme="majorHAnsi" w:cs="Arial"/>
          <w:sz w:val="25"/>
          <w:szCs w:val="25"/>
        </w:rPr>
        <w:t xml:space="preserve"> podrá dar vista al órgano interno de control o su equivalente</w:t>
      </w:r>
      <w:r w:rsidR="00F04502" w:rsidRPr="00880CF4">
        <w:rPr>
          <w:rFonts w:asciiTheme="majorHAnsi" w:eastAsia="Arial" w:hAnsiTheme="majorHAnsi" w:cs="Arial"/>
          <w:sz w:val="25"/>
          <w:szCs w:val="25"/>
        </w:rPr>
        <w:t>, para que éste inicie el procedimiento disciplinario</w:t>
      </w:r>
      <w:r w:rsidR="00282944" w:rsidRPr="00880CF4">
        <w:rPr>
          <w:rFonts w:asciiTheme="majorHAnsi" w:eastAsia="Arial" w:hAnsiTheme="majorHAnsi" w:cs="Arial"/>
          <w:sz w:val="25"/>
          <w:szCs w:val="25"/>
        </w:rPr>
        <w:t>.</w:t>
      </w:r>
    </w:p>
    <w:p w:rsidR="00282944" w:rsidRPr="00880CF4" w:rsidRDefault="00282944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282944" w:rsidRPr="00880CF4" w:rsidRDefault="00282944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lastRenderedPageBreak/>
        <w:t xml:space="preserve">En atención a lo anterior resulta pertinente, que este Instituto Estatal de </w:t>
      </w:r>
      <w:r w:rsidR="00EE2723">
        <w:rPr>
          <w:rFonts w:asciiTheme="majorHAnsi" w:eastAsia="Arial" w:hAnsiTheme="majorHAnsi" w:cs="Arial"/>
          <w:sz w:val="25"/>
          <w:szCs w:val="25"/>
        </w:rPr>
        <w:t xml:space="preserve">Transparencia, </w:t>
      </w:r>
      <w:r w:rsidRPr="00880CF4">
        <w:rPr>
          <w:rFonts w:asciiTheme="majorHAnsi" w:eastAsia="Arial" w:hAnsiTheme="majorHAnsi" w:cs="Arial"/>
          <w:sz w:val="25"/>
          <w:szCs w:val="25"/>
        </w:rPr>
        <w:t>Acceso a la Información Pública</w:t>
      </w:r>
      <w:r w:rsidR="00EE2723">
        <w:rPr>
          <w:rFonts w:asciiTheme="majorHAnsi" w:eastAsia="Arial" w:hAnsiTheme="majorHAnsi" w:cs="Arial"/>
          <w:sz w:val="25"/>
          <w:szCs w:val="25"/>
        </w:rPr>
        <w:t xml:space="preserve"> y Protección de Datos Personales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, fije postura respecto a la forma idónea de cómo se deben integrar los Comités de Transparencia, para efecto de que éstos se encuentren en condiciones </w:t>
      </w:r>
      <w:r w:rsidR="00FF2AFC" w:rsidRPr="00880CF4">
        <w:rPr>
          <w:rFonts w:asciiTheme="majorHAnsi" w:eastAsia="Arial" w:hAnsiTheme="majorHAnsi" w:cs="Arial"/>
          <w:sz w:val="25"/>
          <w:szCs w:val="25"/>
        </w:rPr>
        <w:t xml:space="preserve">óptimas de </w:t>
      </w:r>
      <w:r w:rsidR="00DE66C8" w:rsidRPr="00880CF4">
        <w:rPr>
          <w:rFonts w:asciiTheme="majorHAnsi" w:eastAsia="Arial" w:hAnsiTheme="majorHAnsi" w:cs="Arial"/>
          <w:sz w:val="25"/>
          <w:szCs w:val="25"/>
        </w:rPr>
        <w:t>cumplir con sus atribuciones y así garantizar el ejercicio pleno y efectivo de los derechos humanos de acceso a la información pública</w:t>
      </w:r>
      <w:r w:rsidR="004A5CE7" w:rsidRPr="00880CF4">
        <w:rPr>
          <w:rFonts w:asciiTheme="majorHAnsi" w:eastAsia="Arial" w:hAnsiTheme="majorHAnsi" w:cs="Arial"/>
          <w:sz w:val="25"/>
          <w:szCs w:val="25"/>
        </w:rPr>
        <w:t xml:space="preserve"> y de protección de datos personales.</w:t>
      </w:r>
    </w:p>
    <w:p w:rsidR="004A5CE7" w:rsidRPr="00880CF4" w:rsidRDefault="004A5CE7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4A5CE7" w:rsidRPr="00880CF4" w:rsidRDefault="004A5CE7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>De conformidad con tales consideraciones, este órgano garante estima pertinente</w:t>
      </w:r>
      <w:r w:rsidR="007751C5" w:rsidRPr="00880CF4">
        <w:rPr>
          <w:rFonts w:asciiTheme="majorHAnsi" w:eastAsia="Arial" w:hAnsiTheme="majorHAnsi" w:cs="Arial"/>
          <w:sz w:val="25"/>
          <w:szCs w:val="25"/>
        </w:rPr>
        <w:t xml:space="preserve"> establecer un criterio orientador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7751C5" w:rsidRPr="00880CF4">
        <w:rPr>
          <w:rFonts w:asciiTheme="majorHAnsi" w:eastAsia="Arial" w:hAnsiTheme="majorHAnsi" w:cs="Arial"/>
          <w:sz w:val="25"/>
          <w:szCs w:val="25"/>
        </w:rPr>
        <w:t>para los sujetos obligados del Estado de Yucatán</w:t>
      </w:r>
      <w:r w:rsidR="00C40023" w:rsidRPr="00880CF4">
        <w:rPr>
          <w:rFonts w:asciiTheme="majorHAnsi" w:eastAsia="Arial" w:hAnsiTheme="majorHAnsi" w:cs="Arial"/>
          <w:sz w:val="25"/>
          <w:szCs w:val="25"/>
        </w:rPr>
        <w:t xml:space="preserve">, </w:t>
      </w:r>
      <w:r w:rsidR="00C40023" w:rsidRPr="00880CF4">
        <w:rPr>
          <w:rFonts w:asciiTheme="majorHAnsi" w:eastAsia="Arial" w:hAnsiTheme="majorHAnsi" w:cs="Arial"/>
          <w:b/>
          <w:sz w:val="25"/>
          <w:szCs w:val="25"/>
        </w:rPr>
        <w:t>que tengan calidad de entes gubernamentales</w:t>
      </w:r>
      <w:r w:rsidR="007751C5" w:rsidRPr="00880CF4">
        <w:rPr>
          <w:rFonts w:asciiTheme="majorHAnsi" w:eastAsia="Arial" w:hAnsiTheme="majorHAnsi" w:cs="Arial"/>
          <w:sz w:val="25"/>
          <w:szCs w:val="25"/>
        </w:rPr>
        <w:t xml:space="preserve">, </w:t>
      </w:r>
      <w:r w:rsidR="000A563C" w:rsidRPr="00880CF4">
        <w:rPr>
          <w:rFonts w:asciiTheme="majorHAnsi" w:eastAsia="Arial" w:hAnsiTheme="majorHAnsi" w:cs="Arial"/>
          <w:sz w:val="25"/>
          <w:szCs w:val="25"/>
        </w:rPr>
        <w:t xml:space="preserve">para que al integrar sus </w:t>
      </w:r>
      <w:r w:rsidR="007751C5" w:rsidRPr="00880CF4">
        <w:rPr>
          <w:rFonts w:asciiTheme="majorHAnsi" w:eastAsia="Arial" w:hAnsiTheme="majorHAnsi" w:cs="Arial"/>
          <w:sz w:val="25"/>
          <w:szCs w:val="25"/>
        </w:rPr>
        <w:t>Comités de Transparencia</w:t>
      </w:r>
      <w:r w:rsidR="000A563C" w:rsidRPr="00880CF4">
        <w:rPr>
          <w:rFonts w:asciiTheme="majorHAnsi" w:eastAsia="Arial" w:hAnsiTheme="majorHAnsi" w:cs="Arial"/>
          <w:sz w:val="25"/>
          <w:szCs w:val="25"/>
        </w:rPr>
        <w:t>, preferentemente éstos sean integrados</w:t>
      </w:r>
      <w:r w:rsidR="007751C5" w:rsidRPr="00880CF4">
        <w:rPr>
          <w:rFonts w:asciiTheme="majorHAnsi" w:eastAsia="Arial" w:hAnsiTheme="majorHAnsi" w:cs="Arial"/>
          <w:sz w:val="25"/>
          <w:szCs w:val="25"/>
        </w:rPr>
        <w:t xml:space="preserve"> con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 los titulares de las áreas jurídicas, de las áreas de administración y finanzas y de las áreas coordinadoras de archivos</w:t>
      </w:r>
      <w:r w:rsidR="000A563C" w:rsidRPr="00880CF4">
        <w:rPr>
          <w:rFonts w:asciiTheme="majorHAnsi" w:eastAsia="Arial" w:hAnsiTheme="majorHAnsi" w:cs="Arial"/>
          <w:sz w:val="25"/>
          <w:szCs w:val="25"/>
        </w:rPr>
        <w:t xml:space="preserve">, observando en todo momento, las restricciones consideradas en el artículo 43 de la Ley general de transparencia; </w:t>
      </w:r>
      <w:r w:rsidR="00E4754B" w:rsidRPr="00880CF4">
        <w:rPr>
          <w:rFonts w:asciiTheme="majorHAnsi" w:eastAsia="Arial" w:hAnsiTheme="majorHAnsi" w:cs="Arial"/>
          <w:sz w:val="25"/>
          <w:szCs w:val="25"/>
        </w:rPr>
        <w:t>dicha orientación obedece a que por un principio de especialización las áreas jurídicas podrán brindar certidumbre respecto a la exacta aplicación de la norma, tratándose de las unidades de administración y finanzas éstas materialmente administran y ejercen los recursos públicos; mientras que las áreas coordinadoras de archivos</w:t>
      </w:r>
      <w:r w:rsidR="00A4030D" w:rsidRPr="00880CF4">
        <w:rPr>
          <w:rFonts w:asciiTheme="majorHAnsi" w:eastAsia="Arial" w:hAnsiTheme="majorHAnsi" w:cs="Arial"/>
          <w:sz w:val="25"/>
          <w:szCs w:val="25"/>
        </w:rPr>
        <w:t>,</w:t>
      </w:r>
      <w:r w:rsidR="009470E6" w:rsidRPr="00880CF4">
        <w:rPr>
          <w:rFonts w:asciiTheme="majorHAnsi" w:eastAsia="Arial" w:hAnsiTheme="majorHAnsi" w:cs="Arial"/>
          <w:sz w:val="25"/>
          <w:szCs w:val="25"/>
        </w:rPr>
        <w:t xml:space="preserve"> adquirieron una gran relevancia a partir de la reforma constitucional del 2014, en el que se impone la obligación </w:t>
      </w:r>
      <w:r w:rsidR="0066647D" w:rsidRPr="00880CF4">
        <w:rPr>
          <w:rFonts w:asciiTheme="majorHAnsi" w:eastAsia="Arial" w:hAnsiTheme="majorHAnsi" w:cs="Arial"/>
          <w:sz w:val="25"/>
          <w:szCs w:val="25"/>
        </w:rPr>
        <w:t>a los sujetos obligados de preservar sus documentos en archivos administrativos actualizados; ya que se presupone que sin archivos, no hay un efectivo acceso a la información pública.</w:t>
      </w:r>
    </w:p>
    <w:p w:rsidR="000A563C" w:rsidRPr="00880CF4" w:rsidRDefault="000A563C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3219F" w:rsidRPr="00880CF4" w:rsidRDefault="00C671AF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>De igual manera</w:t>
      </w:r>
      <w:r w:rsidR="00CB234B" w:rsidRPr="00880CF4">
        <w:rPr>
          <w:rFonts w:asciiTheme="majorHAnsi" w:eastAsia="Arial" w:hAnsiTheme="majorHAnsi" w:cs="Arial"/>
          <w:sz w:val="25"/>
          <w:szCs w:val="25"/>
        </w:rPr>
        <w:t xml:space="preserve"> se recomienda a los sujetos obligados que en la integración de sus comités de Transparencia, consideren y valoren 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las atribuciones que este órgano colegiado tendrá, toda vez que </w:t>
      </w:r>
      <w:r w:rsidR="00724831" w:rsidRPr="00880CF4">
        <w:rPr>
          <w:rFonts w:asciiTheme="majorHAnsi" w:eastAsia="Arial" w:hAnsiTheme="majorHAnsi" w:cs="Arial"/>
          <w:sz w:val="25"/>
          <w:szCs w:val="25"/>
        </w:rPr>
        <w:t>de dicho órgano dependerá el ejercicio pleno y efectivo de los derechos humanos de acceso a la información pública y de protección de datos personales. Lo anterior adquiere relevancia toda vez que tratándose de inexistencias de información, el Comité de Transparencia podrá notificar al órgano interno de control o a la unidad administrativa que ejerza las funciones correspondientes, para que inicie el procedimiento de responsabilidad si fuere el caso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>, tal y como fuera referenciado en el presente considerando</w:t>
      </w:r>
      <w:r w:rsidR="00724831" w:rsidRPr="00880CF4">
        <w:rPr>
          <w:rFonts w:asciiTheme="majorHAnsi" w:eastAsia="Arial" w:hAnsiTheme="majorHAnsi" w:cs="Arial"/>
          <w:sz w:val="25"/>
          <w:szCs w:val="25"/>
        </w:rPr>
        <w:t xml:space="preserve">; 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>en razón de lo anterior, se sugiere que los órganos de control interno, no presidan los Comités de Transparencia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>, toda vez que</w:t>
      </w:r>
      <w:r w:rsidR="00014ECF">
        <w:rPr>
          <w:rFonts w:asciiTheme="majorHAnsi" w:eastAsia="Arial" w:hAnsiTheme="majorHAnsi" w:cs="Arial"/>
          <w:sz w:val="25"/>
          <w:szCs w:val="25"/>
        </w:rPr>
        <w:t xml:space="preserve"> el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 xml:space="preserve"> desempeño de dicha función pudiese menoscabar el </w:t>
      </w:r>
      <w:r w:rsidR="0003628D" w:rsidRPr="00880CF4">
        <w:rPr>
          <w:rFonts w:asciiTheme="majorHAnsi" w:eastAsia="Arial" w:hAnsiTheme="majorHAnsi" w:cs="Arial"/>
          <w:sz w:val="25"/>
          <w:szCs w:val="25"/>
        </w:rPr>
        <w:t>ejercicio de las funciones atribuidas al cargo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 xml:space="preserve"> para el que fue</w:t>
      </w:r>
      <w:r w:rsidR="0003628D" w:rsidRPr="00880CF4">
        <w:rPr>
          <w:rFonts w:asciiTheme="majorHAnsi" w:eastAsia="Arial" w:hAnsiTheme="majorHAnsi" w:cs="Arial"/>
          <w:sz w:val="25"/>
          <w:szCs w:val="25"/>
        </w:rPr>
        <w:t>ron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 xml:space="preserve"> des</w:t>
      </w:r>
      <w:r w:rsidR="0003628D" w:rsidRPr="00880CF4">
        <w:rPr>
          <w:rFonts w:asciiTheme="majorHAnsi" w:eastAsia="Arial" w:hAnsiTheme="majorHAnsi" w:cs="Arial"/>
          <w:sz w:val="25"/>
          <w:szCs w:val="25"/>
        </w:rPr>
        <w:t>ignados.</w:t>
      </w:r>
    </w:p>
    <w:p w:rsidR="00724831" w:rsidRPr="00880CF4" w:rsidRDefault="00724831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En tal razón, 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>se recomienda</w:t>
      </w:r>
      <w:r w:rsidR="00AF3700">
        <w:rPr>
          <w:rFonts w:asciiTheme="majorHAnsi" w:eastAsia="Arial" w:hAnsiTheme="majorHAnsi" w:cs="Arial"/>
          <w:sz w:val="25"/>
          <w:szCs w:val="25"/>
        </w:rPr>
        <w:t xml:space="preserve"> y acuerda</w:t>
      </w:r>
      <w:r w:rsidRPr="00880CF4">
        <w:rPr>
          <w:rFonts w:asciiTheme="majorHAnsi" w:eastAsia="Arial" w:hAnsiTheme="majorHAnsi" w:cs="Arial"/>
          <w:sz w:val="25"/>
          <w:szCs w:val="25"/>
        </w:rPr>
        <w:t>:</w:t>
      </w: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>A l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 xml:space="preserve">os sujetos obligados del Estado de Yucatán, </w:t>
      </w:r>
      <w:r w:rsidR="00334296" w:rsidRPr="00880CF4">
        <w:rPr>
          <w:rFonts w:asciiTheme="majorHAnsi" w:eastAsia="Arial" w:hAnsiTheme="majorHAnsi" w:cs="Arial"/>
          <w:b/>
          <w:sz w:val="25"/>
          <w:szCs w:val="25"/>
        </w:rPr>
        <w:t xml:space="preserve">que tengan </w:t>
      </w:r>
      <w:r w:rsidR="00F2199D" w:rsidRPr="00880CF4">
        <w:rPr>
          <w:rFonts w:asciiTheme="majorHAnsi" w:eastAsia="Arial" w:hAnsiTheme="majorHAnsi" w:cs="Arial"/>
          <w:b/>
          <w:sz w:val="25"/>
          <w:szCs w:val="25"/>
        </w:rPr>
        <w:t xml:space="preserve">la </w:t>
      </w:r>
      <w:r w:rsidR="00334296" w:rsidRPr="00880CF4">
        <w:rPr>
          <w:rFonts w:asciiTheme="majorHAnsi" w:eastAsia="Arial" w:hAnsiTheme="majorHAnsi" w:cs="Arial"/>
          <w:b/>
          <w:sz w:val="25"/>
          <w:szCs w:val="25"/>
        </w:rPr>
        <w:t>calidad de entes gubernamentales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 xml:space="preserve">, 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>integren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 xml:space="preserve"> sus Comités de Transparencia, preferentemente con los 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lastRenderedPageBreak/>
        <w:t>titulares de las áreas jurídicas, de las áreas de administración y finanzas y de las áreas coordinadoras de archivos, observando en todo momento, las restricciones consideradas en el artículo 43 de la Ley general de transparencia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>; en este mismo sentido se recomienda que en caso de que el órgano de control interno o sus equivalentes formen parte de los Comités de Transparencia, éstos no sean designados presidentes de dichos órganos colegiados, en términos de lo referido en el considerando SEGUNDO.</w:t>
      </w: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616330" w:rsidRPr="00880CF4" w:rsidRDefault="0050662C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SEGUNDO.-</w:t>
      </w:r>
      <w:proofErr w:type="gramEnd"/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 </w:t>
      </w:r>
      <w:r w:rsidR="00616330" w:rsidRPr="00880CF4">
        <w:rPr>
          <w:rFonts w:asciiTheme="majorHAnsi" w:eastAsia="Arial" w:hAnsiTheme="majorHAnsi" w:cs="Arial"/>
          <w:sz w:val="25"/>
          <w:szCs w:val="25"/>
        </w:rPr>
        <w:t>Notifíquese de manera electrónica a los sujetos obligados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 xml:space="preserve"> que tengan la calidad de entes gubernamentales</w:t>
      </w:r>
      <w:r w:rsidR="00616330" w:rsidRPr="00880CF4">
        <w:rPr>
          <w:rFonts w:asciiTheme="majorHAnsi" w:eastAsia="Arial" w:hAnsiTheme="majorHAnsi" w:cs="Arial"/>
          <w:sz w:val="25"/>
          <w:szCs w:val="25"/>
        </w:rPr>
        <w:t>, a través de los correos electrónicos señ</w:t>
      </w:r>
      <w:r w:rsidR="00567B3D" w:rsidRPr="00880CF4">
        <w:rPr>
          <w:rFonts w:asciiTheme="majorHAnsi" w:eastAsia="Arial" w:hAnsiTheme="majorHAnsi" w:cs="Arial"/>
          <w:sz w:val="25"/>
          <w:szCs w:val="25"/>
        </w:rPr>
        <w:t>alados para recibir solicitudes.</w:t>
      </w:r>
    </w:p>
    <w:p w:rsidR="00616330" w:rsidRPr="00880CF4" w:rsidRDefault="00616330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545E0A" w:rsidRPr="00880CF4" w:rsidRDefault="00F2199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TERCERO</w:t>
      </w:r>
      <w:r w:rsidR="00567B3D" w:rsidRPr="00880CF4">
        <w:rPr>
          <w:rFonts w:asciiTheme="majorHAnsi" w:eastAsia="Arial" w:hAnsiTheme="majorHAnsi" w:cs="Arial"/>
          <w:b/>
          <w:sz w:val="25"/>
          <w:szCs w:val="25"/>
        </w:rPr>
        <w:t>.-</w:t>
      </w:r>
      <w:proofErr w:type="gramEnd"/>
      <w:r w:rsidR="00567B3D" w:rsidRPr="00880CF4">
        <w:rPr>
          <w:rFonts w:asciiTheme="majorHAnsi" w:eastAsia="Arial" w:hAnsiTheme="majorHAnsi" w:cs="Arial"/>
          <w:b/>
          <w:sz w:val="25"/>
          <w:szCs w:val="25"/>
        </w:rPr>
        <w:t xml:space="preserve"> </w:t>
      </w:r>
      <w:r w:rsidR="00905A05" w:rsidRPr="00880CF4">
        <w:rPr>
          <w:rFonts w:asciiTheme="majorHAnsi" w:eastAsia="Arial" w:hAnsiTheme="majorHAnsi" w:cs="Arial"/>
          <w:sz w:val="25"/>
          <w:szCs w:val="25"/>
        </w:rPr>
        <w:t xml:space="preserve">Publíquese </w:t>
      </w:r>
      <w:r w:rsidR="000414AD" w:rsidRPr="00880CF4">
        <w:rPr>
          <w:rFonts w:asciiTheme="majorHAnsi" w:eastAsia="Arial" w:hAnsiTheme="majorHAnsi" w:cs="Arial"/>
          <w:sz w:val="25"/>
          <w:szCs w:val="25"/>
        </w:rPr>
        <w:t>en el sitio de internet de este órgano garante</w:t>
      </w:r>
      <w:r w:rsidR="0050662C" w:rsidRPr="00880CF4">
        <w:rPr>
          <w:rFonts w:asciiTheme="majorHAnsi" w:eastAsia="Arial" w:hAnsiTheme="majorHAnsi" w:cs="Arial"/>
          <w:sz w:val="25"/>
          <w:szCs w:val="25"/>
        </w:rPr>
        <w:t>.</w:t>
      </w:r>
    </w:p>
    <w:p w:rsidR="0085476E" w:rsidRPr="00880CF4" w:rsidRDefault="0085476E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85476E" w:rsidRDefault="00F2199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CUARTO</w:t>
      </w:r>
      <w:r w:rsidR="0085476E" w:rsidRPr="00880CF4">
        <w:rPr>
          <w:rFonts w:asciiTheme="majorHAnsi" w:eastAsia="Arial" w:hAnsiTheme="majorHAnsi" w:cs="Arial"/>
          <w:b/>
          <w:sz w:val="25"/>
          <w:szCs w:val="25"/>
        </w:rPr>
        <w:t>.-</w:t>
      </w:r>
      <w:proofErr w:type="gramEnd"/>
      <w:r w:rsidR="0085476E" w:rsidRPr="00880CF4">
        <w:rPr>
          <w:rFonts w:asciiTheme="majorHAnsi" w:eastAsia="Arial" w:hAnsiTheme="majorHAnsi" w:cs="Arial"/>
          <w:b/>
          <w:sz w:val="25"/>
          <w:szCs w:val="25"/>
        </w:rPr>
        <w:t xml:space="preserve"> </w:t>
      </w:r>
      <w:r w:rsidR="0085476E" w:rsidRPr="00880CF4">
        <w:rPr>
          <w:rFonts w:asciiTheme="majorHAnsi" w:eastAsia="Arial" w:hAnsiTheme="majorHAnsi" w:cs="Arial"/>
          <w:sz w:val="25"/>
          <w:szCs w:val="25"/>
        </w:rPr>
        <w:t>Cúmplase.</w:t>
      </w:r>
    </w:p>
    <w:p w:rsidR="000C58B7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C58B7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C58B7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C58B7" w:rsidRPr="00880CF4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7F42DF" w:rsidRPr="007514A8" w:rsidTr="0044045B">
        <w:tc>
          <w:tcPr>
            <w:tcW w:w="8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7F42DF" w:rsidRPr="00880CF4" w:rsidTr="0042281B">
              <w:tc>
                <w:tcPr>
                  <w:tcW w:w="8828" w:type="dxa"/>
                  <w:gridSpan w:val="2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7F42DF" w:rsidRPr="00880CF4" w:rsidRDefault="00CD6ADD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(Rúbrica)</w:t>
                  </w:r>
                </w:p>
                <w:p w:rsidR="007F42DF" w:rsidRPr="00880CF4" w:rsidRDefault="00C512C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MARÍA EUGENIA SANSORES RUZ</w:t>
                  </w: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COMISIONADA PRESIDENTA</w:t>
                  </w:r>
                </w:p>
              </w:tc>
            </w:tr>
            <w:tr w:rsidR="007F42DF" w:rsidRPr="00F87531" w:rsidTr="0042281B">
              <w:tc>
                <w:tcPr>
                  <w:tcW w:w="4414" w:type="dxa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CD6ADD" w:rsidRPr="00880CF4" w:rsidRDefault="00CD6ADD" w:rsidP="00CD6AD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(Rúbrica)</w:t>
                  </w:r>
                </w:p>
                <w:p w:rsidR="00C512CF" w:rsidRPr="00880CF4" w:rsidRDefault="00C512CF" w:rsidP="00C512C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SUSANA AGUILAR COVARRUBIAS</w:t>
                  </w: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COMISIONADA</w:t>
                  </w:r>
                </w:p>
              </w:tc>
              <w:tc>
                <w:tcPr>
                  <w:tcW w:w="4414" w:type="dxa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CD6ADD" w:rsidRPr="00880CF4" w:rsidRDefault="00CD6ADD" w:rsidP="00CD6AD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(Rúbrica)</w:t>
                  </w:r>
                </w:p>
                <w:p w:rsidR="007F42DF" w:rsidRPr="00880CF4" w:rsidRDefault="00F2199D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MD</w:t>
                  </w:r>
                  <w:r w:rsidR="007F42DF"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. ALDRIN MARTÍN BRICEÑO CONRADO</w:t>
                  </w:r>
                </w:p>
                <w:p w:rsidR="007F42DF" w:rsidRPr="00F87531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COMISIONADO</w:t>
                  </w:r>
                </w:p>
              </w:tc>
            </w:tr>
          </w:tbl>
          <w:p w:rsidR="007F42DF" w:rsidRDefault="007F42DF" w:rsidP="007F42DF"/>
        </w:tc>
      </w:tr>
    </w:tbl>
    <w:p w:rsidR="00474CE3" w:rsidRPr="007514A8" w:rsidRDefault="00474CE3" w:rsidP="006710A8">
      <w:pPr>
        <w:spacing w:after="0" w:line="240" w:lineRule="auto"/>
        <w:rPr>
          <w:rFonts w:asciiTheme="majorHAnsi" w:hAnsiTheme="majorHAnsi"/>
          <w:b/>
          <w:sz w:val="25"/>
          <w:szCs w:val="25"/>
        </w:rPr>
      </w:pPr>
    </w:p>
    <w:sectPr w:rsidR="00474CE3" w:rsidRPr="007514A8" w:rsidSect="006710A8">
      <w:headerReference w:type="default" r:id="rId8"/>
      <w:footerReference w:type="default" r:id="rId9"/>
      <w:type w:val="continuous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43" w:rsidRDefault="00417343">
      <w:pPr>
        <w:spacing w:after="0" w:line="240" w:lineRule="auto"/>
      </w:pPr>
      <w:r>
        <w:separator/>
      </w:r>
    </w:p>
  </w:endnote>
  <w:endnote w:type="continuationSeparator" w:id="0">
    <w:p w:rsidR="00417343" w:rsidRDefault="004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33540"/>
      <w:docPartObj>
        <w:docPartGallery w:val="Page Numbers (Bottom of Page)"/>
        <w:docPartUnique/>
      </w:docPartObj>
    </w:sdtPr>
    <w:sdtEndPr/>
    <w:sdtContent>
      <w:p w:rsidR="002B1365" w:rsidRDefault="001C41FE">
        <w:pPr>
          <w:pStyle w:val="Piedepgina"/>
          <w:jc w:val="right"/>
        </w:pPr>
        <w:r>
          <w:fldChar w:fldCharType="begin"/>
        </w:r>
        <w:r w:rsidR="002B1365">
          <w:instrText xml:space="preserve"> PAGE   \* MERGEFORMAT </w:instrText>
        </w:r>
        <w:r>
          <w:fldChar w:fldCharType="separate"/>
        </w:r>
        <w:r w:rsidR="00DC70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1365" w:rsidRDefault="002B1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43" w:rsidRDefault="00417343">
      <w:pPr>
        <w:spacing w:after="0" w:line="240" w:lineRule="auto"/>
      </w:pPr>
      <w:r>
        <w:separator/>
      </w:r>
    </w:p>
  </w:footnote>
  <w:footnote w:type="continuationSeparator" w:id="0">
    <w:p w:rsidR="00417343" w:rsidRDefault="0041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65" w:rsidRDefault="002B1365">
    <w:pPr>
      <w:pStyle w:val="Encabezado"/>
    </w:pPr>
    <w:r>
      <w:rPr>
        <w:noProof/>
        <w:lang w:eastAsia="es-MX"/>
      </w:rPr>
      <w:drawing>
        <wp:inline distT="0" distB="0" distL="0" distR="0">
          <wp:extent cx="5612130" cy="9442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365" w:rsidRDefault="002B1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74A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8F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F1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829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CE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7C4C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2C0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6C9F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1A3B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784C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53FE6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BB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7785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3766"/>
    <w:multiLevelType w:val="hybridMultilevel"/>
    <w:tmpl w:val="441A0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3234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D22D6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B37A0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603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E32AE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72C22"/>
    <w:multiLevelType w:val="hybridMultilevel"/>
    <w:tmpl w:val="BA24A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77E98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75F8F"/>
    <w:multiLevelType w:val="hybridMultilevel"/>
    <w:tmpl w:val="7BE45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403F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E692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5175D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6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7"/>
  </w:num>
  <w:num w:numId="17">
    <w:abstractNumId w:val="18"/>
  </w:num>
  <w:num w:numId="18">
    <w:abstractNumId w:val="17"/>
  </w:num>
  <w:num w:numId="19">
    <w:abstractNumId w:val="23"/>
  </w:num>
  <w:num w:numId="20">
    <w:abstractNumId w:val="22"/>
  </w:num>
  <w:num w:numId="21">
    <w:abstractNumId w:val="12"/>
  </w:num>
  <w:num w:numId="22">
    <w:abstractNumId w:val="24"/>
  </w:num>
  <w:num w:numId="23">
    <w:abstractNumId w:val="11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77"/>
    <w:rsid w:val="000012E5"/>
    <w:rsid w:val="00004EDF"/>
    <w:rsid w:val="000071D7"/>
    <w:rsid w:val="0001395C"/>
    <w:rsid w:val="00013F16"/>
    <w:rsid w:val="00014ECF"/>
    <w:rsid w:val="00020AD8"/>
    <w:rsid w:val="0002140A"/>
    <w:rsid w:val="000215CF"/>
    <w:rsid w:val="0002173F"/>
    <w:rsid w:val="00024E27"/>
    <w:rsid w:val="000276BF"/>
    <w:rsid w:val="00030D75"/>
    <w:rsid w:val="000317AB"/>
    <w:rsid w:val="00031A83"/>
    <w:rsid w:val="0003219F"/>
    <w:rsid w:val="000321FA"/>
    <w:rsid w:val="000340E5"/>
    <w:rsid w:val="0003628D"/>
    <w:rsid w:val="000414AD"/>
    <w:rsid w:val="000454BF"/>
    <w:rsid w:val="000479CD"/>
    <w:rsid w:val="000540BD"/>
    <w:rsid w:val="0005547B"/>
    <w:rsid w:val="000561A7"/>
    <w:rsid w:val="00067719"/>
    <w:rsid w:val="000756D6"/>
    <w:rsid w:val="00075EBF"/>
    <w:rsid w:val="00081527"/>
    <w:rsid w:val="00084179"/>
    <w:rsid w:val="00084E1D"/>
    <w:rsid w:val="00085008"/>
    <w:rsid w:val="000919AC"/>
    <w:rsid w:val="000925B9"/>
    <w:rsid w:val="0009262C"/>
    <w:rsid w:val="00092C59"/>
    <w:rsid w:val="00092FC7"/>
    <w:rsid w:val="000962B8"/>
    <w:rsid w:val="000977A4"/>
    <w:rsid w:val="000A1022"/>
    <w:rsid w:val="000A1C54"/>
    <w:rsid w:val="000A32F2"/>
    <w:rsid w:val="000A4A38"/>
    <w:rsid w:val="000A563C"/>
    <w:rsid w:val="000A69E1"/>
    <w:rsid w:val="000B13A0"/>
    <w:rsid w:val="000B290E"/>
    <w:rsid w:val="000B2C6B"/>
    <w:rsid w:val="000B6899"/>
    <w:rsid w:val="000C04E5"/>
    <w:rsid w:val="000C58B7"/>
    <w:rsid w:val="000D1CA5"/>
    <w:rsid w:val="000D1D47"/>
    <w:rsid w:val="000D2DD5"/>
    <w:rsid w:val="000D3188"/>
    <w:rsid w:val="000E1784"/>
    <w:rsid w:val="000E456D"/>
    <w:rsid w:val="000E467C"/>
    <w:rsid w:val="000E6952"/>
    <w:rsid w:val="000E6D6D"/>
    <w:rsid w:val="000E7B9F"/>
    <w:rsid w:val="000F0C05"/>
    <w:rsid w:val="000F4D33"/>
    <w:rsid w:val="00103D9E"/>
    <w:rsid w:val="0010693C"/>
    <w:rsid w:val="00107072"/>
    <w:rsid w:val="00107390"/>
    <w:rsid w:val="001109EE"/>
    <w:rsid w:val="00114868"/>
    <w:rsid w:val="001158E2"/>
    <w:rsid w:val="001160AC"/>
    <w:rsid w:val="00116E3B"/>
    <w:rsid w:val="0011797E"/>
    <w:rsid w:val="00121A35"/>
    <w:rsid w:val="00126C25"/>
    <w:rsid w:val="0013214A"/>
    <w:rsid w:val="001433DD"/>
    <w:rsid w:val="00144481"/>
    <w:rsid w:val="00144A0F"/>
    <w:rsid w:val="00146FC7"/>
    <w:rsid w:val="0015074F"/>
    <w:rsid w:val="00150B8D"/>
    <w:rsid w:val="00152A49"/>
    <w:rsid w:val="0015307D"/>
    <w:rsid w:val="001556BA"/>
    <w:rsid w:val="00157959"/>
    <w:rsid w:val="0016053B"/>
    <w:rsid w:val="00161514"/>
    <w:rsid w:val="00163E09"/>
    <w:rsid w:val="001643EA"/>
    <w:rsid w:val="001648EE"/>
    <w:rsid w:val="001744A7"/>
    <w:rsid w:val="00176082"/>
    <w:rsid w:val="001809D9"/>
    <w:rsid w:val="00181101"/>
    <w:rsid w:val="00192E51"/>
    <w:rsid w:val="00193374"/>
    <w:rsid w:val="00193D6C"/>
    <w:rsid w:val="001971EB"/>
    <w:rsid w:val="001A0F52"/>
    <w:rsid w:val="001A3D76"/>
    <w:rsid w:val="001A3F93"/>
    <w:rsid w:val="001A5928"/>
    <w:rsid w:val="001A6B69"/>
    <w:rsid w:val="001B2453"/>
    <w:rsid w:val="001B378D"/>
    <w:rsid w:val="001B5885"/>
    <w:rsid w:val="001B61B4"/>
    <w:rsid w:val="001B68B0"/>
    <w:rsid w:val="001B6F56"/>
    <w:rsid w:val="001C0596"/>
    <w:rsid w:val="001C41FE"/>
    <w:rsid w:val="001C6ACA"/>
    <w:rsid w:val="001C78FF"/>
    <w:rsid w:val="001C7C21"/>
    <w:rsid w:val="001D03B8"/>
    <w:rsid w:val="001D15AC"/>
    <w:rsid w:val="001D1C90"/>
    <w:rsid w:val="001D2BBE"/>
    <w:rsid w:val="001D39D3"/>
    <w:rsid w:val="001D4329"/>
    <w:rsid w:val="001D7085"/>
    <w:rsid w:val="001D7F93"/>
    <w:rsid w:val="001E0BE1"/>
    <w:rsid w:val="001E4551"/>
    <w:rsid w:val="001E7478"/>
    <w:rsid w:val="001F06C3"/>
    <w:rsid w:val="001F2821"/>
    <w:rsid w:val="001F4541"/>
    <w:rsid w:val="0020546F"/>
    <w:rsid w:val="0020765B"/>
    <w:rsid w:val="00214F0A"/>
    <w:rsid w:val="00216830"/>
    <w:rsid w:val="002259C5"/>
    <w:rsid w:val="00234D8D"/>
    <w:rsid w:val="002413D1"/>
    <w:rsid w:val="00242D91"/>
    <w:rsid w:val="00243ABA"/>
    <w:rsid w:val="00244A84"/>
    <w:rsid w:val="00244BD3"/>
    <w:rsid w:val="00246985"/>
    <w:rsid w:val="00253E8D"/>
    <w:rsid w:val="002601A3"/>
    <w:rsid w:val="0026020B"/>
    <w:rsid w:val="00260D66"/>
    <w:rsid w:val="0026202F"/>
    <w:rsid w:val="00263828"/>
    <w:rsid w:val="00266580"/>
    <w:rsid w:val="0026712D"/>
    <w:rsid w:val="00267257"/>
    <w:rsid w:val="002747FA"/>
    <w:rsid w:val="00280CC3"/>
    <w:rsid w:val="0028142D"/>
    <w:rsid w:val="00282944"/>
    <w:rsid w:val="00284647"/>
    <w:rsid w:val="002847A4"/>
    <w:rsid w:val="002855C2"/>
    <w:rsid w:val="0028747C"/>
    <w:rsid w:val="002918D2"/>
    <w:rsid w:val="0029442E"/>
    <w:rsid w:val="00295DD9"/>
    <w:rsid w:val="00296FB5"/>
    <w:rsid w:val="002974D7"/>
    <w:rsid w:val="002A0AC3"/>
    <w:rsid w:val="002A16A1"/>
    <w:rsid w:val="002A2785"/>
    <w:rsid w:val="002A4397"/>
    <w:rsid w:val="002A73A1"/>
    <w:rsid w:val="002A74C9"/>
    <w:rsid w:val="002B1365"/>
    <w:rsid w:val="002B4AAB"/>
    <w:rsid w:val="002B5977"/>
    <w:rsid w:val="002B6D9B"/>
    <w:rsid w:val="002B704F"/>
    <w:rsid w:val="002B73D4"/>
    <w:rsid w:val="002C4F4E"/>
    <w:rsid w:val="002C5689"/>
    <w:rsid w:val="002C5A4A"/>
    <w:rsid w:val="002D06E6"/>
    <w:rsid w:val="002D1991"/>
    <w:rsid w:val="002D29A8"/>
    <w:rsid w:val="002D2E32"/>
    <w:rsid w:val="002D7C64"/>
    <w:rsid w:val="002D7D33"/>
    <w:rsid w:val="002E0491"/>
    <w:rsid w:val="002E0A64"/>
    <w:rsid w:val="002E676C"/>
    <w:rsid w:val="002F09D7"/>
    <w:rsid w:val="002F1209"/>
    <w:rsid w:val="002F25C1"/>
    <w:rsid w:val="002F3F50"/>
    <w:rsid w:val="002F5CDD"/>
    <w:rsid w:val="002F6F97"/>
    <w:rsid w:val="002F757D"/>
    <w:rsid w:val="002F78C8"/>
    <w:rsid w:val="002F7989"/>
    <w:rsid w:val="00300372"/>
    <w:rsid w:val="003010A0"/>
    <w:rsid w:val="00313857"/>
    <w:rsid w:val="003162C9"/>
    <w:rsid w:val="003164A3"/>
    <w:rsid w:val="003209F0"/>
    <w:rsid w:val="003263D2"/>
    <w:rsid w:val="00330A4A"/>
    <w:rsid w:val="00330D38"/>
    <w:rsid w:val="00333E10"/>
    <w:rsid w:val="00334296"/>
    <w:rsid w:val="0033618C"/>
    <w:rsid w:val="00340A60"/>
    <w:rsid w:val="00340D7B"/>
    <w:rsid w:val="0035013D"/>
    <w:rsid w:val="003516E9"/>
    <w:rsid w:val="00351DD9"/>
    <w:rsid w:val="0035215C"/>
    <w:rsid w:val="00354281"/>
    <w:rsid w:val="003608B9"/>
    <w:rsid w:val="00362C25"/>
    <w:rsid w:val="00367B19"/>
    <w:rsid w:val="003714F8"/>
    <w:rsid w:val="003730AC"/>
    <w:rsid w:val="00373F25"/>
    <w:rsid w:val="003816E8"/>
    <w:rsid w:val="00390282"/>
    <w:rsid w:val="00390694"/>
    <w:rsid w:val="0039456A"/>
    <w:rsid w:val="003A01CC"/>
    <w:rsid w:val="003A0AF3"/>
    <w:rsid w:val="003A2131"/>
    <w:rsid w:val="003A6170"/>
    <w:rsid w:val="003A6412"/>
    <w:rsid w:val="003A6BA5"/>
    <w:rsid w:val="003A780D"/>
    <w:rsid w:val="003A7A47"/>
    <w:rsid w:val="003B008B"/>
    <w:rsid w:val="003B243D"/>
    <w:rsid w:val="003B2AC9"/>
    <w:rsid w:val="003B5FE4"/>
    <w:rsid w:val="003C29B3"/>
    <w:rsid w:val="003C2E39"/>
    <w:rsid w:val="003C457B"/>
    <w:rsid w:val="003C473D"/>
    <w:rsid w:val="003D3DAD"/>
    <w:rsid w:val="003D602D"/>
    <w:rsid w:val="003D7C83"/>
    <w:rsid w:val="003E06C3"/>
    <w:rsid w:val="003E417F"/>
    <w:rsid w:val="003E6DEA"/>
    <w:rsid w:val="003E7A6E"/>
    <w:rsid w:val="003E7C2B"/>
    <w:rsid w:val="003F1F58"/>
    <w:rsid w:val="003F2145"/>
    <w:rsid w:val="003F2201"/>
    <w:rsid w:val="003F2C7A"/>
    <w:rsid w:val="003F3270"/>
    <w:rsid w:val="003F34A4"/>
    <w:rsid w:val="003F3634"/>
    <w:rsid w:val="003F4DF1"/>
    <w:rsid w:val="003F5031"/>
    <w:rsid w:val="003F585E"/>
    <w:rsid w:val="003F7952"/>
    <w:rsid w:val="003F7DA1"/>
    <w:rsid w:val="00401D14"/>
    <w:rsid w:val="00401E35"/>
    <w:rsid w:val="00402EAD"/>
    <w:rsid w:val="004037A1"/>
    <w:rsid w:val="00410B7D"/>
    <w:rsid w:val="0041575F"/>
    <w:rsid w:val="00417343"/>
    <w:rsid w:val="00420622"/>
    <w:rsid w:val="004215DC"/>
    <w:rsid w:val="0042185C"/>
    <w:rsid w:val="00422341"/>
    <w:rsid w:val="00423747"/>
    <w:rsid w:val="004254F3"/>
    <w:rsid w:val="00426A12"/>
    <w:rsid w:val="00432D76"/>
    <w:rsid w:val="0043447C"/>
    <w:rsid w:val="00437C5C"/>
    <w:rsid w:val="0044045B"/>
    <w:rsid w:val="0044347C"/>
    <w:rsid w:val="004475A1"/>
    <w:rsid w:val="004516DC"/>
    <w:rsid w:val="0045279F"/>
    <w:rsid w:val="004527E5"/>
    <w:rsid w:val="0045325F"/>
    <w:rsid w:val="00454513"/>
    <w:rsid w:val="0046034C"/>
    <w:rsid w:val="004607DB"/>
    <w:rsid w:val="004634F1"/>
    <w:rsid w:val="00466359"/>
    <w:rsid w:val="00466C12"/>
    <w:rsid w:val="00467C17"/>
    <w:rsid w:val="004704D3"/>
    <w:rsid w:val="00474CE3"/>
    <w:rsid w:val="004755A1"/>
    <w:rsid w:val="00480FE1"/>
    <w:rsid w:val="00482ABC"/>
    <w:rsid w:val="004838F7"/>
    <w:rsid w:val="004852CC"/>
    <w:rsid w:val="00490AE1"/>
    <w:rsid w:val="004952DE"/>
    <w:rsid w:val="004A00AB"/>
    <w:rsid w:val="004A0293"/>
    <w:rsid w:val="004A1A73"/>
    <w:rsid w:val="004A1E30"/>
    <w:rsid w:val="004A40A8"/>
    <w:rsid w:val="004A433D"/>
    <w:rsid w:val="004A493A"/>
    <w:rsid w:val="004A5CE7"/>
    <w:rsid w:val="004B2313"/>
    <w:rsid w:val="004B5713"/>
    <w:rsid w:val="004B5F8E"/>
    <w:rsid w:val="004B709E"/>
    <w:rsid w:val="004C4C5D"/>
    <w:rsid w:val="004D012A"/>
    <w:rsid w:val="004D1FE1"/>
    <w:rsid w:val="004D287E"/>
    <w:rsid w:val="004E1AB3"/>
    <w:rsid w:val="004E79E1"/>
    <w:rsid w:val="004F24A3"/>
    <w:rsid w:val="004F4FE2"/>
    <w:rsid w:val="004F6C82"/>
    <w:rsid w:val="004F75B6"/>
    <w:rsid w:val="00503C55"/>
    <w:rsid w:val="005060B8"/>
    <w:rsid w:val="0050662C"/>
    <w:rsid w:val="00507203"/>
    <w:rsid w:val="005073CE"/>
    <w:rsid w:val="00510DA9"/>
    <w:rsid w:val="00520A77"/>
    <w:rsid w:val="00526642"/>
    <w:rsid w:val="00530A72"/>
    <w:rsid w:val="0053148D"/>
    <w:rsid w:val="00531E4C"/>
    <w:rsid w:val="00534718"/>
    <w:rsid w:val="0053708B"/>
    <w:rsid w:val="005404C9"/>
    <w:rsid w:val="005453F5"/>
    <w:rsid w:val="00545E0A"/>
    <w:rsid w:val="00546A08"/>
    <w:rsid w:val="00551F8B"/>
    <w:rsid w:val="00556E42"/>
    <w:rsid w:val="005604F7"/>
    <w:rsid w:val="005611FC"/>
    <w:rsid w:val="00561D42"/>
    <w:rsid w:val="00567B3D"/>
    <w:rsid w:val="005700C1"/>
    <w:rsid w:val="00570CCA"/>
    <w:rsid w:val="005730BC"/>
    <w:rsid w:val="00573E01"/>
    <w:rsid w:val="00574205"/>
    <w:rsid w:val="00580068"/>
    <w:rsid w:val="00580E0D"/>
    <w:rsid w:val="005821FD"/>
    <w:rsid w:val="00582AA2"/>
    <w:rsid w:val="00585098"/>
    <w:rsid w:val="00591107"/>
    <w:rsid w:val="005914F2"/>
    <w:rsid w:val="0059597A"/>
    <w:rsid w:val="005A01B3"/>
    <w:rsid w:val="005A3DF8"/>
    <w:rsid w:val="005A684A"/>
    <w:rsid w:val="005A7222"/>
    <w:rsid w:val="005B6A86"/>
    <w:rsid w:val="005B7F55"/>
    <w:rsid w:val="005C41D3"/>
    <w:rsid w:val="005C5DD8"/>
    <w:rsid w:val="005D28AB"/>
    <w:rsid w:val="005D3932"/>
    <w:rsid w:val="005D42B8"/>
    <w:rsid w:val="005D4BF7"/>
    <w:rsid w:val="005E18A4"/>
    <w:rsid w:val="005E19D8"/>
    <w:rsid w:val="005E34C6"/>
    <w:rsid w:val="005F0D74"/>
    <w:rsid w:val="005F2B71"/>
    <w:rsid w:val="005F3135"/>
    <w:rsid w:val="005F3418"/>
    <w:rsid w:val="00601076"/>
    <w:rsid w:val="00604B18"/>
    <w:rsid w:val="00606985"/>
    <w:rsid w:val="006136C0"/>
    <w:rsid w:val="00614800"/>
    <w:rsid w:val="00614B14"/>
    <w:rsid w:val="006159DD"/>
    <w:rsid w:val="00616330"/>
    <w:rsid w:val="00620069"/>
    <w:rsid w:val="00621EB7"/>
    <w:rsid w:val="0062300B"/>
    <w:rsid w:val="0062501A"/>
    <w:rsid w:val="00627058"/>
    <w:rsid w:val="006311FC"/>
    <w:rsid w:val="00635ED9"/>
    <w:rsid w:val="00637F5E"/>
    <w:rsid w:val="0064431C"/>
    <w:rsid w:val="006455A2"/>
    <w:rsid w:val="00647639"/>
    <w:rsid w:val="006476EF"/>
    <w:rsid w:val="00657BBD"/>
    <w:rsid w:val="00660632"/>
    <w:rsid w:val="0066647D"/>
    <w:rsid w:val="00670F83"/>
    <w:rsid w:val="006710A8"/>
    <w:rsid w:val="00671C05"/>
    <w:rsid w:val="00673685"/>
    <w:rsid w:val="00673CCF"/>
    <w:rsid w:val="006747BB"/>
    <w:rsid w:val="006772C5"/>
    <w:rsid w:val="00677D06"/>
    <w:rsid w:val="006806C4"/>
    <w:rsid w:val="0068252D"/>
    <w:rsid w:val="006848E0"/>
    <w:rsid w:val="0069163F"/>
    <w:rsid w:val="00691B34"/>
    <w:rsid w:val="00696615"/>
    <w:rsid w:val="006967AC"/>
    <w:rsid w:val="006A1DB5"/>
    <w:rsid w:val="006A20CD"/>
    <w:rsid w:val="006A30CF"/>
    <w:rsid w:val="006A45B7"/>
    <w:rsid w:val="006A62EA"/>
    <w:rsid w:val="006A7BDA"/>
    <w:rsid w:val="006B1B9E"/>
    <w:rsid w:val="006B2575"/>
    <w:rsid w:val="006B48DD"/>
    <w:rsid w:val="006C04EE"/>
    <w:rsid w:val="006C0633"/>
    <w:rsid w:val="006C1908"/>
    <w:rsid w:val="006C36AF"/>
    <w:rsid w:val="006C3719"/>
    <w:rsid w:val="006C4DCC"/>
    <w:rsid w:val="006C5CC3"/>
    <w:rsid w:val="006C5E73"/>
    <w:rsid w:val="006D20CC"/>
    <w:rsid w:val="006D290B"/>
    <w:rsid w:val="006E50D9"/>
    <w:rsid w:val="006E5411"/>
    <w:rsid w:val="006E6CD2"/>
    <w:rsid w:val="006F1F41"/>
    <w:rsid w:val="006F221C"/>
    <w:rsid w:val="006F2C34"/>
    <w:rsid w:val="006F3ACC"/>
    <w:rsid w:val="00701099"/>
    <w:rsid w:val="00702913"/>
    <w:rsid w:val="0071286A"/>
    <w:rsid w:val="00715B0F"/>
    <w:rsid w:val="00722ACF"/>
    <w:rsid w:val="00724831"/>
    <w:rsid w:val="0072504F"/>
    <w:rsid w:val="0072670A"/>
    <w:rsid w:val="00730E67"/>
    <w:rsid w:val="0073148D"/>
    <w:rsid w:val="00731529"/>
    <w:rsid w:val="00731F58"/>
    <w:rsid w:val="00732881"/>
    <w:rsid w:val="00732D45"/>
    <w:rsid w:val="00735D56"/>
    <w:rsid w:val="00735DE5"/>
    <w:rsid w:val="007369DF"/>
    <w:rsid w:val="00737FDA"/>
    <w:rsid w:val="00740DDF"/>
    <w:rsid w:val="00741171"/>
    <w:rsid w:val="00743B75"/>
    <w:rsid w:val="007462A0"/>
    <w:rsid w:val="00747B21"/>
    <w:rsid w:val="00751012"/>
    <w:rsid w:val="007514A8"/>
    <w:rsid w:val="0075493D"/>
    <w:rsid w:val="00756285"/>
    <w:rsid w:val="00762917"/>
    <w:rsid w:val="00771BC4"/>
    <w:rsid w:val="00771E39"/>
    <w:rsid w:val="00772938"/>
    <w:rsid w:val="007751C5"/>
    <w:rsid w:val="0077790E"/>
    <w:rsid w:val="0078249F"/>
    <w:rsid w:val="00783ADD"/>
    <w:rsid w:val="00790144"/>
    <w:rsid w:val="007922B9"/>
    <w:rsid w:val="00794C50"/>
    <w:rsid w:val="007B1E58"/>
    <w:rsid w:val="007B4EEA"/>
    <w:rsid w:val="007B6AFB"/>
    <w:rsid w:val="007C13DC"/>
    <w:rsid w:val="007C3054"/>
    <w:rsid w:val="007C38B1"/>
    <w:rsid w:val="007C5CCB"/>
    <w:rsid w:val="007D1CDD"/>
    <w:rsid w:val="007D6BA5"/>
    <w:rsid w:val="007E0ACA"/>
    <w:rsid w:val="007E2638"/>
    <w:rsid w:val="007E27D0"/>
    <w:rsid w:val="007E37CC"/>
    <w:rsid w:val="007E69EE"/>
    <w:rsid w:val="007E6A9E"/>
    <w:rsid w:val="007E77DE"/>
    <w:rsid w:val="007E7ACF"/>
    <w:rsid w:val="007F0AD1"/>
    <w:rsid w:val="007F42DF"/>
    <w:rsid w:val="007F4425"/>
    <w:rsid w:val="007F5208"/>
    <w:rsid w:val="007F5A92"/>
    <w:rsid w:val="007F5CA6"/>
    <w:rsid w:val="007F6B68"/>
    <w:rsid w:val="0080055D"/>
    <w:rsid w:val="00801827"/>
    <w:rsid w:val="00803B99"/>
    <w:rsid w:val="008041E6"/>
    <w:rsid w:val="0080554C"/>
    <w:rsid w:val="00807346"/>
    <w:rsid w:val="008106CF"/>
    <w:rsid w:val="00810F7A"/>
    <w:rsid w:val="008164F0"/>
    <w:rsid w:val="00820CC9"/>
    <w:rsid w:val="00821618"/>
    <w:rsid w:val="008225AF"/>
    <w:rsid w:val="00824569"/>
    <w:rsid w:val="00826E6D"/>
    <w:rsid w:val="00833E35"/>
    <w:rsid w:val="00835870"/>
    <w:rsid w:val="00836E3C"/>
    <w:rsid w:val="008434A1"/>
    <w:rsid w:val="00844F15"/>
    <w:rsid w:val="00845CD4"/>
    <w:rsid w:val="00847797"/>
    <w:rsid w:val="00847D11"/>
    <w:rsid w:val="0085000A"/>
    <w:rsid w:val="00851480"/>
    <w:rsid w:val="00851856"/>
    <w:rsid w:val="00853B09"/>
    <w:rsid w:val="0085476E"/>
    <w:rsid w:val="00854A65"/>
    <w:rsid w:val="00862C7F"/>
    <w:rsid w:val="00863CB2"/>
    <w:rsid w:val="00866BBD"/>
    <w:rsid w:val="00867C7B"/>
    <w:rsid w:val="008705C5"/>
    <w:rsid w:val="00870623"/>
    <w:rsid w:val="008745FF"/>
    <w:rsid w:val="00875E38"/>
    <w:rsid w:val="00880CF4"/>
    <w:rsid w:val="00881E2E"/>
    <w:rsid w:val="008859EB"/>
    <w:rsid w:val="00885B48"/>
    <w:rsid w:val="0088677F"/>
    <w:rsid w:val="008930E0"/>
    <w:rsid w:val="00894D29"/>
    <w:rsid w:val="00897802"/>
    <w:rsid w:val="00897BFB"/>
    <w:rsid w:val="008A0080"/>
    <w:rsid w:val="008A2B9F"/>
    <w:rsid w:val="008A3F69"/>
    <w:rsid w:val="008A416E"/>
    <w:rsid w:val="008A4824"/>
    <w:rsid w:val="008A64B0"/>
    <w:rsid w:val="008A6627"/>
    <w:rsid w:val="008B0115"/>
    <w:rsid w:val="008B080C"/>
    <w:rsid w:val="008B2026"/>
    <w:rsid w:val="008B39DF"/>
    <w:rsid w:val="008C39A9"/>
    <w:rsid w:val="008C7107"/>
    <w:rsid w:val="008C7C20"/>
    <w:rsid w:val="008D0CF9"/>
    <w:rsid w:val="008D79B5"/>
    <w:rsid w:val="008E16E5"/>
    <w:rsid w:val="008E417F"/>
    <w:rsid w:val="008F2872"/>
    <w:rsid w:val="008F493B"/>
    <w:rsid w:val="008F5EEE"/>
    <w:rsid w:val="008F6A38"/>
    <w:rsid w:val="00901D59"/>
    <w:rsid w:val="00902388"/>
    <w:rsid w:val="00905181"/>
    <w:rsid w:val="00905A05"/>
    <w:rsid w:val="0090682D"/>
    <w:rsid w:val="009128C7"/>
    <w:rsid w:val="009160F1"/>
    <w:rsid w:val="00921F09"/>
    <w:rsid w:val="0092213D"/>
    <w:rsid w:val="009252CA"/>
    <w:rsid w:val="009275CE"/>
    <w:rsid w:val="009311F7"/>
    <w:rsid w:val="00931A05"/>
    <w:rsid w:val="00934A0F"/>
    <w:rsid w:val="009361A7"/>
    <w:rsid w:val="00937F61"/>
    <w:rsid w:val="009417C6"/>
    <w:rsid w:val="00942CA0"/>
    <w:rsid w:val="00943267"/>
    <w:rsid w:val="0094360B"/>
    <w:rsid w:val="00944A5B"/>
    <w:rsid w:val="0094610A"/>
    <w:rsid w:val="00946C5E"/>
    <w:rsid w:val="009470E6"/>
    <w:rsid w:val="009522D6"/>
    <w:rsid w:val="009543DE"/>
    <w:rsid w:val="0095597A"/>
    <w:rsid w:val="00956729"/>
    <w:rsid w:val="00957999"/>
    <w:rsid w:val="009605DD"/>
    <w:rsid w:val="009606C4"/>
    <w:rsid w:val="009636EF"/>
    <w:rsid w:val="0096423A"/>
    <w:rsid w:val="00964D20"/>
    <w:rsid w:val="009713D6"/>
    <w:rsid w:val="00974298"/>
    <w:rsid w:val="00974575"/>
    <w:rsid w:val="009762E1"/>
    <w:rsid w:val="00983142"/>
    <w:rsid w:val="0098404B"/>
    <w:rsid w:val="00984552"/>
    <w:rsid w:val="00987BFB"/>
    <w:rsid w:val="0099788B"/>
    <w:rsid w:val="009B3613"/>
    <w:rsid w:val="009B4A9B"/>
    <w:rsid w:val="009B5F17"/>
    <w:rsid w:val="009B7C56"/>
    <w:rsid w:val="009B7D5D"/>
    <w:rsid w:val="009C0C3E"/>
    <w:rsid w:val="009C1415"/>
    <w:rsid w:val="009C5C25"/>
    <w:rsid w:val="009C79D3"/>
    <w:rsid w:val="009C7ECC"/>
    <w:rsid w:val="009D3474"/>
    <w:rsid w:val="009D5EB5"/>
    <w:rsid w:val="009D6EBF"/>
    <w:rsid w:val="009E1728"/>
    <w:rsid w:val="009E4623"/>
    <w:rsid w:val="009F16AA"/>
    <w:rsid w:val="009F1E55"/>
    <w:rsid w:val="009F518E"/>
    <w:rsid w:val="009F650A"/>
    <w:rsid w:val="00A01E09"/>
    <w:rsid w:val="00A027E9"/>
    <w:rsid w:val="00A034CF"/>
    <w:rsid w:val="00A04712"/>
    <w:rsid w:val="00A04C06"/>
    <w:rsid w:val="00A13B7B"/>
    <w:rsid w:val="00A1491D"/>
    <w:rsid w:val="00A16D01"/>
    <w:rsid w:val="00A1788B"/>
    <w:rsid w:val="00A210FE"/>
    <w:rsid w:val="00A269A1"/>
    <w:rsid w:val="00A30416"/>
    <w:rsid w:val="00A31801"/>
    <w:rsid w:val="00A34D90"/>
    <w:rsid w:val="00A4030D"/>
    <w:rsid w:val="00A41505"/>
    <w:rsid w:val="00A43891"/>
    <w:rsid w:val="00A4487E"/>
    <w:rsid w:val="00A456C6"/>
    <w:rsid w:val="00A46318"/>
    <w:rsid w:val="00A50515"/>
    <w:rsid w:val="00A50D4A"/>
    <w:rsid w:val="00A51F17"/>
    <w:rsid w:val="00A5583B"/>
    <w:rsid w:val="00A617CD"/>
    <w:rsid w:val="00A61DD3"/>
    <w:rsid w:val="00A62572"/>
    <w:rsid w:val="00A64E41"/>
    <w:rsid w:val="00A6726A"/>
    <w:rsid w:val="00A674ED"/>
    <w:rsid w:val="00A7038D"/>
    <w:rsid w:val="00A7049F"/>
    <w:rsid w:val="00A74E89"/>
    <w:rsid w:val="00A77257"/>
    <w:rsid w:val="00A81D3E"/>
    <w:rsid w:val="00A8337D"/>
    <w:rsid w:val="00A85DA7"/>
    <w:rsid w:val="00A86549"/>
    <w:rsid w:val="00A865BE"/>
    <w:rsid w:val="00A94178"/>
    <w:rsid w:val="00A94257"/>
    <w:rsid w:val="00A9604C"/>
    <w:rsid w:val="00A96F50"/>
    <w:rsid w:val="00A97FF8"/>
    <w:rsid w:val="00AA502E"/>
    <w:rsid w:val="00AB0565"/>
    <w:rsid w:val="00AB46AF"/>
    <w:rsid w:val="00AC1E38"/>
    <w:rsid w:val="00AC4F49"/>
    <w:rsid w:val="00AC62EE"/>
    <w:rsid w:val="00AC6D42"/>
    <w:rsid w:val="00AC7E7A"/>
    <w:rsid w:val="00AD126B"/>
    <w:rsid w:val="00AD3753"/>
    <w:rsid w:val="00AD40B1"/>
    <w:rsid w:val="00AD41FE"/>
    <w:rsid w:val="00AD5C53"/>
    <w:rsid w:val="00AE042A"/>
    <w:rsid w:val="00AE2131"/>
    <w:rsid w:val="00AE308A"/>
    <w:rsid w:val="00AE64A0"/>
    <w:rsid w:val="00AF047D"/>
    <w:rsid w:val="00AF0C7A"/>
    <w:rsid w:val="00AF23E6"/>
    <w:rsid w:val="00AF3343"/>
    <w:rsid w:val="00AF3700"/>
    <w:rsid w:val="00AF58E7"/>
    <w:rsid w:val="00AF7D95"/>
    <w:rsid w:val="00B002A4"/>
    <w:rsid w:val="00B01658"/>
    <w:rsid w:val="00B0635A"/>
    <w:rsid w:val="00B06490"/>
    <w:rsid w:val="00B1430B"/>
    <w:rsid w:val="00B223F6"/>
    <w:rsid w:val="00B2369A"/>
    <w:rsid w:val="00B2425C"/>
    <w:rsid w:val="00B24F1C"/>
    <w:rsid w:val="00B2591D"/>
    <w:rsid w:val="00B2708E"/>
    <w:rsid w:val="00B3227A"/>
    <w:rsid w:val="00B33254"/>
    <w:rsid w:val="00B344C0"/>
    <w:rsid w:val="00B4073D"/>
    <w:rsid w:val="00B42CA5"/>
    <w:rsid w:val="00B431B0"/>
    <w:rsid w:val="00B453B5"/>
    <w:rsid w:val="00B46B78"/>
    <w:rsid w:val="00B5141E"/>
    <w:rsid w:val="00B523F3"/>
    <w:rsid w:val="00B5250D"/>
    <w:rsid w:val="00B54AE7"/>
    <w:rsid w:val="00B56B19"/>
    <w:rsid w:val="00B60444"/>
    <w:rsid w:val="00B62DDF"/>
    <w:rsid w:val="00B6417B"/>
    <w:rsid w:val="00B667B0"/>
    <w:rsid w:val="00B66B74"/>
    <w:rsid w:val="00B70140"/>
    <w:rsid w:val="00B8058A"/>
    <w:rsid w:val="00B80729"/>
    <w:rsid w:val="00B80A72"/>
    <w:rsid w:val="00B818A5"/>
    <w:rsid w:val="00B871AA"/>
    <w:rsid w:val="00B9156B"/>
    <w:rsid w:val="00B93606"/>
    <w:rsid w:val="00B93C43"/>
    <w:rsid w:val="00B93CB9"/>
    <w:rsid w:val="00B959BC"/>
    <w:rsid w:val="00B95E7E"/>
    <w:rsid w:val="00B97883"/>
    <w:rsid w:val="00B97AE8"/>
    <w:rsid w:val="00B97AF5"/>
    <w:rsid w:val="00BA28F0"/>
    <w:rsid w:val="00BA2FEB"/>
    <w:rsid w:val="00BB1218"/>
    <w:rsid w:val="00BC046D"/>
    <w:rsid w:val="00BC696D"/>
    <w:rsid w:val="00BD1C35"/>
    <w:rsid w:val="00BD3CCF"/>
    <w:rsid w:val="00BD63B2"/>
    <w:rsid w:val="00BD787B"/>
    <w:rsid w:val="00BE45E0"/>
    <w:rsid w:val="00BE5DD4"/>
    <w:rsid w:val="00BF24CC"/>
    <w:rsid w:val="00BF2B94"/>
    <w:rsid w:val="00BF2C09"/>
    <w:rsid w:val="00BF44CD"/>
    <w:rsid w:val="00BF5B57"/>
    <w:rsid w:val="00C01F2A"/>
    <w:rsid w:val="00C0259E"/>
    <w:rsid w:val="00C042D9"/>
    <w:rsid w:val="00C10F91"/>
    <w:rsid w:val="00C11BA1"/>
    <w:rsid w:val="00C13D1C"/>
    <w:rsid w:val="00C20F21"/>
    <w:rsid w:val="00C22901"/>
    <w:rsid w:val="00C23BAE"/>
    <w:rsid w:val="00C273B0"/>
    <w:rsid w:val="00C27C05"/>
    <w:rsid w:val="00C30344"/>
    <w:rsid w:val="00C31020"/>
    <w:rsid w:val="00C3167A"/>
    <w:rsid w:val="00C31F39"/>
    <w:rsid w:val="00C36E52"/>
    <w:rsid w:val="00C40023"/>
    <w:rsid w:val="00C40DCC"/>
    <w:rsid w:val="00C43492"/>
    <w:rsid w:val="00C44869"/>
    <w:rsid w:val="00C46431"/>
    <w:rsid w:val="00C46DFD"/>
    <w:rsid w:val="00C512CF"/>
    <w:rsid w:val="00C51C63"/>
    <w:rsid w:val="00C52138"/>
    <w:rsid w:val="00C534C4"/>
    <w:rsid w:val="00C60219"/>
    <w:rsid w:val="00C6057E"/>
    <w:rsid w:val="00C6362C"/>
    <w:rsid w:val="00C64B1C"/>
    <w:rsid w:val="00C6621E"/>
    <w:rsid w:val="00C66BB5"/>
    <w:rsid w:val="00C66D4C"/>
    <w:rsid w:val="00C671AF"/>
    <w:rsid w:val="00C67365"/>
    <w:rsid w:val="00C72CE5"/>
    <w:rsid w:val="00C74906"/>
    <w:rsid w:val="00C7654E"/>
    <w:rsid w:val="00C77110"/>
    <w:rsid w:val="00C83A34"/>
    <w:rsid w:val="00C83F72"/>
    <w:rsid w:val="00C83FC1"/>
    <w:rsid w:val="00C841F4"/>
    <w:rsid w:val="00C84F03"/>
    <w:rsid w:val="00C90720"/>
    <w:rsid w:val="00C96377"/>
    <w:rsid w:val="00C97021"/>
    <w:rsid w:val="00C971EF"/>
    <w:rsid w:val="00CA156D"/>
    <w:rsid w:val="00CA29F2"/>
    <w:rsid w:val="00CA65AD"/>
    <w:rsid w:val="00CA6BA6"/>
    <w:rsid w:val="00CA6D0F"/>
    <w:rsid w:val="00CB234B"/>
    <w:rsid w:val="00CB6B36"/>
    <w:rsid w:val="00CC193E"/>
    <w:rsid w:val="00CC2452"/>
    <w:rsid w:val="00CC380D"/>
    <w:rsid w:val="00CC5C3D"/>
    <w:rsid w:val="00CD2C73"/>
    <w:rsid w:val="00CD3508"/>
    <w:rsid w:val="00CD40A8"/>
    <w:rsid w:val="00CD6ADD"/>
    <w:rsid w:val="00CD6D25"/>
    <w:rsid w:val="00CE01B8"/>
    <w:rsid w:val="00CE63D7"/>
    <w:rsid w:val="00CF3DE3"/>
    <w:rsid w:val="00CF5992"/>
    <w:rsid w:val="00CF786B"/>
    <w:rsid w:val="00D12955"/>
    <w:rsid w:val="00D1463B"/>
    <w:rsid w:val="00D1657B"/>
    <w:rsid w:val="00D178F4"/>
    <w:rsid w:val="00D17CB4"/>
    <w:rsid w:val="00D21E38"/>
    <w:rsid w:val="00D2381F"/>
    <w:rsid w:val="00D25B7C"/>
    <w:rsid w:val="00D2666F"/>
    <w:rsid w:val="00D26888"/>
    <w:rsid w:val="00D33A34"/>
    <w:rsid w:val="00D343E9"/>
    <w:rsid w:val="00D36E39"/>
    <w:rsid w:val="00D414E3"/>
    <w:rsid w:val="00D43BD4"/>
    <w:rsid w:val="00D4400C"/>
    <w:rsid w:val="00D467E5"/>
    <w:rsid w:val="00D4693B"/>
    <w:rsid w:val="00D534E9"/>
    <w:rsid w:val="00D5624B"/>
    <w:rsid w:val="00D577BF"/>
    <w:rsid w:val="00D60A6A"/>
    <w:rsid w:val="00D619D5"/>
    <w:rsid w:val="00D63AF7"/>
    <w:rsid w:val="00D67D49"/>
    <w:rsid w:val="00D70332"/>
    <w:rsid w:val="00D71729"/>
    <w:rsid w:val="00D7253B"/>
    <w:rsid w:val="00D73A05"/>
    <w:rsid w:val="00D74ACA"/>
    <w:rsid w:val="00D74F02"/>
    <w:rsid w:val="00D7586C"/>
    <w:rsid w:val="00D76707"/>
    <w:rsid w:val="00D8010F"/>
    <w:rsid w:val="00D804B0"/>
    <w:rsid w:val="00D813A4"/>
    <w:rsid w:val="00D85455"/>
    <w:rsid w:val="00D90379"/>
    <w:rsid w:val="00D94442"/>
    <w:rsid w:val="00DA3693"/>
    <w:rsid w:val="00DB19F5"/>
    <w:rsid w:val="00DB3F8A"/>
    <w:rsid w:val="00DB66A8"/>
    <w:rsid w:val="00DB66E8"/>
    <w:rsid w:val="00DB6CF6"/>
    <w:rsid w:val="00DB7FB5"/>
    <w:rsid w:val="00DC4A2F"/>
    <w:rsid w:val="00DC4CF8"/>
    <w:rsid w:val="00DC70A8"/>
    <w:rsid w:val="00DD203F"/>
    <w:rsid w:val="00DD540C"/>
    <w:rsid w:val="00DD5722"/>
    <w:rsid w:val="00DE15F6"/>
    <w:rsid w:val="00DE168C"/>
    <w:rsid w:val="00DE410C"/>
    <w:rsid w:val="00DE4F2D"/>
    <w:rsid w:val="00DE5278"/>
    <w:rsid w:val="00DE6186"/>
    <w:rsid w:val="00DE66C8"/>
    <w:rsid w:val="00DF0DDB"/>
    <w:rsid w:val="00DF7F7E"/>
    <w:rsid w:val="00E108B3"/>
    <w:rsid w:val="00E122FC"/>
    <w:rsid w:val="00E1259A"/>
    <w:rsid w:val="00E13DAF"/>
    <w:rsid w:val="00E172E1"/>
    <w:rsid w:val="00E20DE1"/>
    <w:rsid w:val="00E244E6"/>
    <w:rsid w:val="00E312A1"/>
    <w:rsid w:val="00E355E0"/>
    <w:rsid w:val="00E374EF"/>
    <w:rsid w:val="00E42CB8"/>
    <w:rsid w:val="00E450F3"/>
    <w:rsid w:val="00E45DF0"/>
    <w:rsid w:val="00E4754B"/>
    <w:rsid w:val="00E47ECC"/>
    <w:rsid w:val="00E47F23"/>
    <w:rsid w:val="00E50092"/>
    <w:rsid w:val="00E525BA"/>
    <w:rsid w:val="00E56B4B"/>
    <w:rsid w:val="00E6086D"/>
    <w:rsid w:val="00E618FF"/>
    <w:rsid w:val="00E6237B"/>
    <w:rsid w:val="00E6652C"/>
    <w:rsid w:val="00E67522"/>
    <w:rsid w:val="00E71735"/>
    <w:rsid w:val="00E71946"/>
    <w:rsid w:val="00E72261"/>
    <w:rsid w:val="00E75F17"/>
    <w:rsid w:val="00E762D8"/>
    <w:rsid w:val="00E826E8"/>
    <w:rsid w:val="00E83981"/>
    <w:rsid w:val="00E83BCA"/>
    <w:rsid w:val="00E84660"/>
    <w:rsid w:val="00E852FA"/>
    <w:rsid w:val="00E87EF2"/>
    <w:rsid w:val="00E904B4"/>
    <w:rsid w:val="00E96F9E"/>
    <w:rsid w:val="00E9762C"/>
    <w:rsid w:val="00EA574B"/>
    <w:rsid w:val="00EB3198"/>
    <w:rsid w:val="00EB36F2"/>
    <w:rsid w:val="00EB72A4"/>
    <w:rsid w:val="00EB7C65"/>
    <w:rsid w:val="00EC29A9"/>
    <w:rsid w:val="00EC4C0B"/>
    <w:rsid w:val="00ED26B2"/>
    <w:rsid w:val="00ED398D"/>
    <w:rsid w:val="00ED64A1"/>
    <w:rsid w:val="00ED7F39"/>
    <w:rsid w:val="00EE0550"/>
    <w:rsid w:val="00EE2723"/>
    <w:rsid w:val="00EF2CC8"/>
    <w:rsid w:val="00EF376C"/>
    <w:rsid w:val="00EF6259"/>
    <w:rsid w:val="00EF73A3"/>
    <w:rsid w:val="00EF74F2"/>
    <w:rsid w:val="00F044C8"/>
    <w:rsid w:val="00F04502"/>
    <w:rsid w:val="00F04F4B"/>
    <w:rsid w:val="00F054DA"/>
    <w:rsid w:val="00F06549"/>
    <w:rsid w:val="00F0684E"/>
    <w:rsid w:val="00F069A6"/>
    <w:rsid w:val="00F10665"/>
    <w:rsid w:val="00F107FE"/>
    <w:rsid w:val="00F13F36"/>
    <w:rsid w:val="00F2199D"/>
    <w:rsid w:val="00F224D8"/>
    <w:rsid w:val="00F2284B"/>
    <w:rsid w:val="00F22C76"/>
    <w:rsid w:val="00F24BCE"/>
    <w:rsid w:val="00F25B69"/>
    <w:rsid w:val="00F30ADF"/>
    <w:rsid w:val="00F337CE"/>
    <w:rsid w:val="00F35CF4"/>
    <w:rsid w:val="00F3652C"/>
    <w:rsid w:val="00F36C64"/>
    <w:rsid w:val="00F405BD"/>
    <w:rsid w:val="00F4138E"/>
    <w:rsid w:val="00F42317"/>
    <w:rsid w:val="00F44026"/>
    <w:rsid w:val="00F50EA0"/>
    <w:rsid w:val="00F5442D"/>
    <w:rsid w:val="00F609C8"/>
    <w:rsid w:val="00F63A0D"/>
    <w:rsid w:val="00F71174"/>
    <w:rsid w:val="00F725D0"/>
    <w:rsid w:val="00F729F5"/>
    <w:rsid w:val="00F729FE"/>
    <w:rsid w:val="00F83B17"/>
    <w:rsid w:val="00F86FA7"/>
    <w:rsid w:val="00F91AA5"/>
    <w:rsid w:val="00FA0B01"/>
    <w:rsid w:val="00FA0D53"/>
    <w:rsid w:val="00FA1B9A"/>
    <w:rsid w:val="00FA2A85"/>
    <w:rsid w:val="00FA36C7"/>
    <w:rsid w:val="00FA76CF"/>
    <w:rsid w:val="00FA76FA"/>
    <w:rsid w:val="00FB114E"/>
    <w:rsid w:val="00FB1B66"/>
    <w:rsid w:val="00FB275A"/>
    <w:rsid w:val="00FB2DB0"/>
    <w:rsid w:val="00FB3D7D"/>
    <w:rsid w:val="00FB5474"/>
    <w:rsid w:val="00FB5D33"/>
    <w:rsid w:val="00FC29A3"/>
    <w:rsid w:val="00FC358A"/>
    <w:rsid w:val="00FC474E"/>
    <w:rsid w:val="00FC4880"/>
    <w:rsid w:val="00FC58FF"/>
    <w:rsid w:val="00FC7186"/>
    <w:rsid w:val="00FD58F5"/>
    <w:rsid w:val="00FD66DA"/>
    <w:rsid w:val="00FE0B4C"/>
    <w:rsid w:val="00FE51DB"/>
    <w:rsid w:val="00FF2381"/>
    <w:rsid w:val="00FF2AFC"/>
    <w:rsid w:val="00FF612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17989E-0C5A-4134-A6AA-92E2765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B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B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BBD"/>
    <w:rPr>
      <w:color w:val="0563C1" w:themeColor="hyperlink"/>
      <w:u w:val="single"/>
    </w:rPr>
  </w:style>
  <w:style w:type="paragraph" w:customStyle="1" w:styleId="Default">
    <w:name w:val="Default"/>
    <w:rsid w:val="008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D"/>
  </w:style>
  <w:style w:type="paragraph" w:styleId="Piedepgina">
    <w:name w:val="footer"/>
    <w:basedOn w:val="Normal"/>
    <w:link w:val="Piedepgina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D"/>
  </w:style>
  <w:style w:type="paragraph" w:styleId="Textodeglobo">
    <w:name w:val="Balloon Text"/>
    <w:basedOn w:val="Normal"/>
    <w:link w:val="TextodegloboCar"/>
    <w:uiPriority w:val="99"/>
    <w:semiHidden/>
    <w:unhideWhenUsed/>
    <w:rsid w:val="006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1E58"/>
  </w:style>
  <w:style w:type="character" w:styleId="Refdecomentario">
    <w:name w:val="annotation reference"/>
    <w:basedOn w:val="Fuentedeprrafopredeter"/>
    <w:uiPriority w:val="99"/>
    <w:semiHidden/>
    <w:unhideWhenUsed/>
    <w:rsid w:val="00E6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3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3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37B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862C7F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62C7F"/>
    <w:rPr>
      <w:rFonts w:ascii="Arial" w:hAnsi="Arial"/>
      <w:sz w:val="24"/>
    </w:rPr>
  </w:style>
  <w:style w:type="paragraph" w:styleId="Sinespaciado">
    <w:name w:val="No Spacing"/>
    <w:uiPriority w:val="1"/>
    <w:qFormat/>
    <w:rsid w:val="00862C7F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2974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974D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3">
    <w:name w:val="A3"/>
    <w:uiPriority w:val="99"/>
    <w:rsid w:val="004F24A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6746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395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B2658-3C5B-44D5-BC59-7F4784D0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Tecnica</dc:creator>
  <cp:lastModifiedBy>Apoyo Plenario</cp:lastModifiedBy>
  <cp:revision>2</cp:revision>
  <cp:lastPrinted>2018-05-23T17:11:00Z</cp:lastPrinted>
  <dcterms:created xsi:type="dcterms:W3CDTF">2018-09-11T13:46:00Z</dcterms:created>
  <dcterms:modified xsi:type="dcterms:W3CDTF">2018-09-11T13:46:00Z</dcterms:modified>
</cp:coreProperties>
</file>