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C9" w:rsidRPr="004B127E" w:rsidRDefault="001A742E" w:rsidP="003209F0">
      <w:pPr>
        <w:spacing w:after="0" w:line="240" w:lineRule="auto"/>
        <w:jc w:val="both"/>
        <w:rPr>
          <w:rFonts w:asciiTheme="majorHAnsi" w:hAnsiTheme="majorHAnsi" w:cstheme="majorHAnsi"/>
          <w:b/>
          <w:sz w:val="24"/>
          <w:szCs w:val="24"/>
        </w:rPr>
      </w:pPr>
      <w:r w:rsidRPr="004B127E">
        <w:rPr>
          <w:rFonts w:asciiTheme="majorHAnsi" w:eastAsia="Arial" w:hAnsiTheme="majorHAnsi" w:cstheme="majorHAnsi"/>
          <w:b/>
          <w:sz w:val="24"/>
          <w:szCs w:val="24"/>
        </w:rPr>
        <w:t>TABLA DE APLICABILIDAD DE LAS OBLIGACIONES DE TRANSPARENCIA COMUNES Y ESPECÍFICAS DE LA UNIVERSIDAD AUTÓNOMA DE YUCATÁN, EN TÉRMINOS DEL NUMERAL NOVENO DE LOS LINEAMIENTOS TÉCNICOS GENERALES</w:t>
      </w:r>
    </w:p>
    <w:p w:rsidR="002A74C9" w:rsidRPr="004B127E" w:rsidRDefault="002A74C9" w:rsidP="003209F0">
      <w:pPr>
        <w:spacing w:after="0" w:line="240" w:lineRule="auto"/>
        <w:jc w:val="center"/>
        <w:rPr>
          <w:rFonts w:asciiTheme="majorHAnsi" w:hAnsiTheme="majorHAnsi" w:cstheme="majorHAnsi"/>
          <w:b/>
          <w:sz w:val="24"/>
          <w:szCs w:val="24"/>
        </w:rPr>
      </w:pPr>
    </w:p>
    <w:p w:rsidR="00367B19" w:rsidRPr="004B127E" w:rsidRDefault="00367B19"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 xml:space="preserve">En la ciudad de Mérida, Yucatán, siendo las </w:t>
      </w:r>
      <w:r w:rsidR="00104F81">
        <w:rPr>
          <w:rFonts w:asciiTheme="majorHAnsi" w:eastAsia="Arial" w:hAnsiTheme="majorHAnsi" w:cstheme="majorHAnsi"/>
          <w:sz w:val="24"/>
          <w:szCs w:val="24"/>
        </w:rPr>
        <w:t>14</w:t>
      </w:r>
      <w:r w:rsidRPr="004B127E">
        <w:rPr>
          <w:rFonts w:asciiTheme="majorHAnsi" w:eastAsia="Arial" w:hAnsiTheme="majorHAnsi" w:cstheme="majorHAnsi"/>
          <w:sz w:val="24"/>
          <w:szCs w:val="24"/>
        </w:rPr>
        <w:t xml:space="preserve"> horas con </w:t>
      </w:r>
      <w:r w:rsidR="00104F81">
        <w:rPr>
          <w:rFonts w:asciiTheme="majorHAnsi" w:eastAsia="Arial" w:hAnsiTheme="majorHAnsi" w:cstheme="majorHAnsi"/>
          <w:sz w:val="24"/>
          <w:szCs w:val="24"/>
        </w:rPr>
        <w:t>28</w:t>
      </w:r>
      <w:r w:rsidR="00D43BD4" w:rsidRPr="004B127E">
        <w:rPr>
          <w:rFonts w:asciiTheme="majorHAnsi" w:eastAsia="Arial" w:hAnsiTheme="majorHAnsi" w:cstheme="majorHAnsi"/>
          <w:sz w:val="24"/>
          <w:szCs w:val="24"/>
        </w:rPr>
        <w:t xml:space="preserve"> </w:t>
      </w:r>
      <w:r w:rsidRPr="004B127E">
        <w:rPr>
          <w:rFonts w:asciiTheme="majorHAnsi" w:eastAsia="Arial" w:hAnsiTheme="majorHAnsi" w:cstheme="majorHAnsi"/>
          <w:sz w:val="24"/>
          <w:szCs w:val="24"/>
        </w:rPr>
        <w:t xml:space="preserve">minutos, del día </w:t>
      </w:r>
      <w:r w:rsidR="00104F81">
        <w:rPr>
          <w:rFonts w:asciiTheme="majorHAnsi" w:eastAsia="Arial" w:hAnsiTheme="majorHAnsi" w:cstheme="majorHAnsi"/>
          <w:sz w:val="24"/>
          <w:szCs w:val="24"/>
        </w:rPr>
        <w:t>11</w:t>
      </w:r>
      <w:r w:rsidRPr="004B127E">
        <w:rPr>
          <w:rFonts w:asciiTheme="majorHAnsi" w:eastAsia="Arial" w:hAnsiTheme="majorHAnsi" w:cstheme="majorHAnsi"/>
          <w:sz w:val="24"/>
          <w:szCs w:val="24"/>
        </w:rPr>
        <w:t xml:space="preserve"> de </w:t>
      </w:r>
      <w:r w:rsidR="00AB5CB7" w:rsidRPr="004B127E">
        <w:rPr>
          <w:rFonts w:asciiTheme="majorHAnsi" w:eastAsia="Arial" w:hAnsiTheme="majorHAnsi" w:cstheme="majorHAnsi"/>
          <w:sz w:val="24"/>
          <w:szCs w:val="24"/>
        </w:rPr>
        <w:t>septiembre</w:t>
      </w:r>
      <w:r w:rsidRPr="004B127E">
        <w:rPr>
          <w:rFonts w:asciiTheme="majorHAnsi" w:eastAsia="Arial" w:hAnsiTheme="majorHAnsi" w:cstheme="majorHAnsi"/>
          <w:sz w:val="24"/>
          <w:szCs w:val="24"/>
        </w:rPr>
        <w:t xml:space="preserve"> del año </w:t>
      </w:r>
      <w:r w:rsidR="00AB5CB7" w:rsidRPr="004B127E">
        <w:rPr>
          <w:rFonts w:asciiTheme="majorHAnsi" w:eastAsia="Arial" w:hAnsiTheme="majorHAnsi" w:cstheme="majorHAnsi"/>
          <w:sz w:val="24"/>
          <w:szCs w:val="24"/>
        </w:rPr>
        <w:t>2017</w:t>
      </w:r>
      <w:r w:rsidRPr="004B127E">
        <w:rPr>
          <w:rFonts w:asciiTheme="majorHAnsi" w:eastAsia="Arial" w:hAnsiTheme="majorHAnsi" w:cstheme="majorHAnsi"/>
          <w:sz w:val="24"/>
          <w:szCs w:val="24"/>
        </w:rPr>
        <w:t>,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367B19" w:rsidRPr="004B127E" w:rsidRDefault="00367B19" w:rsidP="003209F0">
      <w:pPr>
        <w:spacing w:after="0" w:line="240" w:lineRule="auto"/>
        <w:jc w:val="center"/>
        <w:rPr>
          <w:rFonts w:asciiTheme="majorHAnsi" w:hAnsiTheme="majorHAnsi" w:cstheme="majorHAnsi"/>
          <w:b/>
          <w:sz w:val="24"/>
          <w:szCs w:val="24"/>
        </w:rPr>
      </w:pPr>
    </w:p>
    <w:p w:rsidR="00866BBD" w:rsidRPr="004B127E" w:rsidRDefault="00866BBD"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sz w:val="24"/>
          <w:szCs w:val="24"/>
        </w:rPr>
        <w:t>ANTECEDENTES</w:t>
      </w:r>
    </w:p>
    <w:p w:rsidR="00866BBD" w:rsidRPr="004B127E" w:rsidRDefault="00866BBD" w:rsidP="003209F0">
      <w:pPr>
        <w:spacing w:after="0" w:line="240" w:lineRule="auto"/>
        <w:jc w:val="center"/>
        <w:rPr>
          <w:rFonts w:asciiTheme="majorHAnsi" w:hAnsiTheme="majorHAnsi" w:cstheme="majorHAnsi"/>
          <w:b/>
          <w:sz w:val="24"/>
          <w:szCs w:val="24"/>
        </w:rPr>
      </w:pPr>
    </w:p>
    <w:p w:rsidR="00574205" w:rsidRPr="004B127E" w:rsidRDefault="00866BBD" w:rsidP="003209F0">
      <w:pPr>
        <w:spacing w:after="0" w:line="240" w:lineRule="auto"/>
        <w:jc w:val="both"/>
        <w:rPr>
          <w:rFonts w:asciiTheme="majorHAnsi" w:hAnsiTheme="majorHAnsi" w:cstheme="majorHAnsi"/>
          <w:i/>
          <w:sz w:val="24"/>
          <w:szCs w:val="24"/>
        </w:rPr>
      </w:pPr>
      <w:r w:rsidRPr="004B127E">
        <w:rPr>
          <w:rFonts w:asciiTheme="majorHAnsi" w:hAnsiTheme="majorHAnsi" w:cstheme="majorHAnsi"/>
          <w:b/>
          <w:sz w:val="24"/>
          <w:szCs w:val="24"/>
        </w:rPr>
        <w:t>PRIMERO.-</w:t>
      </w:r>
      <w:r w:rsidRPr="004B127E">
        <w:rPr>
          <w:rFonts w:asciiTheme="majorHAnsi" w:hAnsiTheme="majorHAnsi" w:cstheme="majorHAnsi"/>
          <w:sz w:val="24"/>
          <w:szCs w:val="24"/>
        </w:rPr>
        <w:t xml:space="preserve"> </w:t>
      </w:r>
      <w:r w:rsidRPr="004B127E">
        <w:rPr>
          <w:rFonts w:asciiTheme="majorHAnsi" w:eastAsia="Arial" w:hAnsiTheme="majorHAnsi" w:cstheme="majorHAnsi"/>
          <w:sz w:val="24"/>
          <w:szCs w:val="24"/>
        </w:rPr>
        <w:t>El 7 de febrero de 2014, se publicó en el Diario Oficial de la Federación el Decreto por el que se reforman y adicionan diversas disposiciones de la Constitución Política de los Estados Unidos Mexicanos, en materia de Transparencia.</w:t>
      </w:r>
    </w:p>
    <w:p w:rsidR="00574205" w:rsidRPr="004B127E" w:rsidRDefault="00574205" w:rsidP="003209F0">
      <w:pPr>
        <w:spacing w:after="0" w:line="240" w:lineRule="auto"/>
        <w:jc w:val="both"/>
        <w:rPr>
          <w:rFonts w:asciiTheme="majorHAnsi" w:hAnsiTheme="majorHAnsi" w:cstheme="majorHAnsi"/>
          <w:sz w:val="24"/>
          <w:szCs w:val="24"/>
        </w:rPr>
      </w:pPr>
    </w:p>
    <w:p w:rsidR="007B1E58" w:rsidRPr="004B127E" w:rsidRDefault="00866BBD"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SEGUNDO.- </w:t>
      </w:r>
      <w:r w:rsidRPr="004B127E">
        <w:rPr>
          <w:rFonts w:asciiTheme="majorHAnsi" w:eastAsia="Arial" w:hAnsiTheme="majorHAnsi" w:cstheme="majorHAnsi"/>
          <w:sz w:val="24"/>
          <w:szCs w:val="24"/>
        </w:rPr>
        <w:t xml:space="preserve">El 4 de mayo de 2015, se publicó en el Diario Oficial de la Federación el Decreto </w:t>
      </w:r>
      <w:proofErr w:type="gramStart"/>
      <w:r w:rsidRPr="004B127E">
        <w:rPr>
          <w:rFonts w:asciiTheme="majorHAnsi" w:eastAsia="Arial" w:hAnsiTheme="majorHAnsi" w:cstheme="majorHAnsi"/>
          <w:sz w:val="24"/>
          <w:szCs w:val="24"/>
        </w:rPr>
        <w:t>por</w:t>
      </w:r>
      <w:proofErr w:type="gramEnd"/>
      <w:r w:rsidRPr="004B127E">
        <w:rPr>
          <w:rFonts w:asciiTheme="majorHAnsi" w:eastAsia="Arial" w:hAnsiTheme="majorHAnsi" w:cstheme="majorHAnsi"/>
          <w:sz w:val="24"/>
          <w:szCs w:val="24"/>
        </w:rPr>
        <w:t xml:space="preserve"> el que se expide la Ley General de Transparencia y Acceso a la Información Pública, Ley reglamentaria del artículo 6 constitucional. Dicha Ley, en </w:t>
      </w:r>
      <w:r w:rsidR="0045325F" w:rsidRPr="004B127E">
        <w:rPr>
          <w:rFonts w:asciiTheme="majorHAnsi" w:eastAsia="Arial" w:hAnsiTheme="majorHAnsi" w:cstheme="majorHAnsi"/>
          <w:sz w:val="24"/>
          <w:szCs w:val="24"/>
        </w:rPr>
        <w:t>el último párrafo del</w:t>
      </w:r>
      <w:r w:rsidRPr="004B127E">
        <w:rPr>
          <w:rFonts w:asciiTheme="majorHAnsi" w:eastAsia="Arial" w:hAnsiTheme="majorHAnsi" w:cstheme="majorHAnsi"/>
          <w:sz w:val="24"/>
          <w:szCs w:val="24"/>
        </w:rPr>
        <w:t xml:space="preserve"> </w:t>
      </w:r>
      <w:r w:rsidR="007B1E58" w:rsidRPr="004B127E">
        <w:rPr>
          <w:rFonts w:asciiTheme="majorHAnsi" w:eastAsia="Arial" w:hAnsiTheme="majorHAnsi" w:cstheme="majorHAnsi"/>
          <w:sz w:val="24"/>
          <w:szCs w:val="24"/>
        </w:rPr>
        <w:t xml:space="preserve">artículo </w:t>
      </w:r>
      <w:r w:rsidR="0045325F" w:rsidRPr="004B127E">
        <w:rPr>
          <w:rFonts w:asciiTheme="majorHAnsi" w:eastAsia="Arial" w:hAnsiTheme="majorHAnsi" w:cstheme="majorHAnsi"/>
          <w:sz w:val="24"/>
          <w:szCs w:val="24"/>
        </w:rPr>
        <w:t>70</w:t>
      </w:r>
      <w:r w:rsidR="007B1E58" w:rsidRPr="004B127E">
        <w:rPr>
          <w:rFonts w:asciiTheme="majorHAnsi" w:eastAsia="Arial" w:hAnsiTheme="majorHAnsi" w:cstheme="majorHAnsi"/>
          <w:sz w:val="24"/>
          <w:szCs w:val="24"/>
        </w:rPr>
        <w:t xml:space="preserve"> dispone que:</w:t>
      </w:r>
    </w:p>
    <w:p w:rsidR="007B1E58" w:rsidRPr="004B127E" w:rsidRDefault="007B1E58" w:rsidP="003209F0">
      <w:pPr>
        <w:spacing w:after="0" w:line="240" w:lineRule="auto"/>
        <w:jc w:val="both"/>
        <w:rPr>
          <w:rFonts w:asciiTheme="majorHAnsi" w:eastAsia="Arial" w:hAnsiTheme="majorHAnsi" w:cstheme="majorHAnsi"/>
          <w:sz w:val="24"/>
          <w:szCs w:val="24"/>
        </w:rPr>
      </w:pPr>
    </w:p>
    <w:p w:rsidR="00866BBD" w:rsidRPr="004B127E" w:rsidRDefault="007B1E58" w:rsidP="003209F0">
      <w:pPr>
        <w:spacing w:after="0" w:line="240" w:lineRule="auto"/>
        <w:ind w:left="851" w:right="616"/>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w:t>
      </w:r>
      <w:r w:rsidR="00866BBD" w:rsidRPr="004B127E">
        <w:rPr>
          <w:rFonts w:asciiTheme="majorHAnsi" w:eastAsia="Arial" w:hAnsiTheme="majorHAnsi" w:cstheme="majorHAnsi"/>
          <w:sz w:val="24"/>
          <w:szCs w:val="24"/>
        </w:rPr>
        <w:t>.</w:t>
      </w:r>
      <w:r w:rsidR="0045325F" w:rsidRPr="004B127E">
        <w:rPr>
          <w:rFonts w:asciiTheme="majorHAnsi" w:eastAsia="Arial" w:hAnsiTheme="majorHAnsi" w:cstheme="majorHAnsi"/>
          <w:sz w:val="24"/>
          <w:szCs w:val="24"/>
        </w:rPr>
        <w:t>Los sujetos obligados deberán informar a los Organismos garantes y verificar que se publiquen en la</w:t>
      </w:r>
      <w:r w:rsidR="00422341" w:rsidRPr="004B127E">
        <w:rPr>
          <w:rFonts w:asciiTheme="majorHAnsi" w:eastAsia="Arial" w:hAnsiTheme="majorHAnsi" w:cstheme="majorHAnsi"/>
          <w:sz w:val="24"/>
          <w:szCs w:val="24"/>
        </w:rPr>
        <w:t xml:space="preserve"> </w:t>
      </w:r>
      <w:r w:rsidR="0045325F" w:rsidRPr="004B127E">
        <w:rPr>
          <w:rFonts w:asciiTheme="majorHAnsi" w:eastAsia="Arial" w:hAnsiTheme="majorHAnsi" w:cstheme="majorHAnsi"/>
          <w:sz w:val="24"/>
          <w:szCs w:val="24"/>
        </w:rPr>
        <w:t>Plataforma Nacional, cuáles son los rubros que son aplicables a sus páginas de Internet, con el objeto de que</w:t>
      </w:r>
      <w:r w:rsidR="00422341" w:rsidRPr="004B127E">
        <w:rPr>
          <w:rFonts w:asciiTheme="majorHAnsi" w:eastAsia="Arial" w:hAnsiTheme="majorHAnsi" w:cstheme="majorHAnsi"/>
          <w:sz w:val="24"/>
          <w:szCs w:val="24"/>
        </w:rPr>
        <w:t xml:space="preserve"> </w:t>
      </w:r>
      <w:r w:rsidR="0045325F" w:rsidRPr="004B127E">
        <w:rPr>
          <w:rFonts w:asciiTheme="majorHAnsi" w:eastAsia="Arial" w:hAnsiTheme="majorHAnsi" w:cstheme="majorHAnsi"/>
          <w:sz w:val="24"/>
          <w:szCs w:val="24"/>
        </w:rPr>
        <w:t>éstos verifiquen y aprueben, de forma fundada y motivada, la relación de fracciones aplicables a cada sujeto</w:t>
      </w:r>
      <w:r w:rsidR="00422341" w:rsidRPr="004B127E">
        <w:rPr>
          <w:rFonts w:asciiTheme="majorHAnsi" w:eastAsia="Arial" w:hAnsiTheme="majorHAnsi" w:cstheme="majorHAnsi"/>
          <w:sz w:val="24"/>
          <w:szCs w:val="24"/>
        </w:rPr>
        <w:t xml:space="preserve"> </w:t>
      </w:r>
      <w:r w:rsidR="0045325F" w:rsidRPr="004B127E">
        <w:rPr>
          <w:rFonts w:asciiTheme="majorHAnsi" w:eastAsia="Arial" w:hAnsiTheme="majorHAnsi" w:cstheme="majorHAnsi"/>
          <w:sz w:val="24"/>
          <w:szCs w:val="24"/>
        </w:rPr>
        <w:t>obligado.</w:t>
      </w:r>
      <w:r w:rsidRPr="004B127E">
        <w:rPr>
          <w:rFonts w:asciiTheme="majorHAnsi" w:eastAsia="Arial" w:hAnsiTheme="majorHAnsi" w:cstheme="majorHAnsi"/>
          <w:sz w:val="24"/>
          <w:szCs w:val="24"/>
        </w:rPr>
        <w:t>…”</w:t>
      </w:r>
    </w:p>
    <w:p w:rsidR="00866BBD" w:rsidRPr="004B127E" w:rsidRDefault="00866BBD" w:rsidP="003209F0">
      <w:pPr>
        <w:spacing w:after="0" w:line="240" w:lineRule="auto"/>
        <w:jc w:val="both"/>
        <w:rPr>
          <w:rFonts w:asciiTheme="majorHAnsi" w:eastAsia="Arial" w:hAnsiTheme="majorHAnsi" w:cstheme="majorHAnsi"/>
          <w:b/>
          <w:sz w:val="24"/>
          <w:szCs w:val="24"/>
        </w:rPr>
      </w:pPr>
    </w:p>
    <w:p w:rsidR="00866BBD" w:rsidRPr="004B127E" w:rsidRDefault="00866BBD"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TERCERO.- </w:t>
      </w:r>
      <w:r w:rsidRPr="004B127E">
        <w:rPr>
          <w:rFonts w:asciiTheme="majorHAnsi" w:eastAsia="Arial" w:hAnsiTheme="majorHAnsi" w:cstheme="majorHAnsi"/>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4B127E" w:rsidRDefault="00866BBD" w:rsidP="003209F0">
      <w:pPr>
        <w:spacing w:after="0" w:line="240" w:lineRule="auto"/>
        <w:jc w:val="both"/>
        <w:rPr>
          <w:rFonts w:asciiTheme="majorHAnsi" w:eastAsia="Arial" w:hAnsiTheme="majorHAnsi" w:cstheme="majorHAnsi"/>
          <w:b/>
          <w:sz w:val="24"/>
          <w:szCs w:val="24"/>
        </w:rPr>
      </w:pPr>
    </w:p>
    <w:p w:rsidR="00866BBD" w:rsidRPr="004B127E" w:rsidRDefault="00866BBD"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CUARTO.-</w:t>
      </w:r>
      <w:r w:rsidRPr="004B127E">
        <w:rPr>
          <w:rFonts w:asciiTheme="majorHAnsi" w:eastAsia="Arial" w:hAnsiTheme="majorHAnsi" w:cstheme="majorHAnsi"/>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AF3343" w:rsidRPr="004B127E" w:rsidRDefault="00AF3343" w:rsidP="003209F0">
      <w:pPr>
        <w:spacing w:after="0" w:line="240" w:lineRule="auto"/>
        <w:jc w:val="both"/>
        <w:rPr>
          <w:rFonts w:asciiTheme="majorHAnsi" w:eastAsia="Arial" w:hAnsiTheme="majorHAnsi" w:cstheme="majorHAnsi"/>
          <w:sz w:val="24"/>
          <w:szCs w:val="24"/>
        </w:rPr>
      </w:pPr>
    </w:p>
    <w:p w:rsidR="00AF3343" w:rsidRPr="004B127E" w:rsidRDefault="00AF3343"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 xml:space="preserve">La referida Ley estatal, indica en su artículo </w:t>
      </w:r>
      <w:r w:rsidR="00422341" w:rsidRPr="004B127E">
        <w:rPr>
          <w:rFonts w:asciiTheme="majorHAnsi" w:eastAsia="Arial" w:hAnsiTheme="majorHAnsi" w:cstheme="majorHAnsi"/>
          <w:sz w:val="24"/>
          <w:szCs w:val="24"/>
        </w:rPr>
        <w:t>55</w:t>
      </w:r>
      <w:r w:rsidRPr="004B127E">
        <w:rPr>
          <w:rFonts w:asciiTheme="majorHAnsi" w:eastAsia="Arial" w:hAnsiTheme="majorHAnsi" w:cstheme="majorHAnsi"/>
          <w:sz w:val="24"/>
          <w:szCs w:val="24"/>
        </w:rPr>
        <w:t>, que:</w:t>
      </w:r>
    </w:p>
    <w:p w:rsidR="00AF3343" w:rsidRPr="004B127E" w:rsidRDefault="00AF3343" w:rsidP="003209F0">
      <w:pPr>
        <w:spacing w:after="0" w:line="240" w:lineRule="auto"/>
        <w:jc w:val="both"/>
        <w:rPr>
          <w:rFonts w:asciiTheme="majorHAnsi" w:eastAsia="Arial" w:hAnsiTheme="majorHAnsi" w:cstheme="majorHAnsi"/>
          <w:sz w:val="24"/>
          <w:szCs w:val="24"/>
        </w:rPr>
      </w:pPr>
    </w:p>
    <w:p w:rsidR="00AF3343" w:rsidRPr="004B127E" w:rsidRDefault="00AF3343" w:rsidP="003209F0">
      <w:pPr>
        <w:spacing w:after="0" w:line="240" w:lineRule="auto"/>
        <w:ind w:left="851" w:right="616"/>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w:t>
      </w:r>
      <w:r w:rsidR="00DC4CF8" w:rsidRPr="004B127E">
        <w:rPr>
          <w:rFonts w:asciiTheme="majorHAnsi" w:eastAsia="Arial" w:hAnsiTheme="majorHAnsi" w:cstheme="majorHAnsi"/>
          <w:sz w:val="24"/>
          <w:szCs w:val="24"/>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r w:rsidRPr="004B127E">
        <w:rPr>
          <w:rFonts w:asciiTheme="majorHAnsi" w:eastAsia="Arial" w:hAnsiTheme="majorHAnsi" w:cstheme="majorHAnsi"/>
          <w:sz w:val="24"/>
          <w:szCs w:val="24"/>
        </w:rPr>
        <w:t>…”</w:t>
      </w:r>
    </w:p>
    <w:p w:rsidR="00AF3343" w:rsidRPr="004B127E" w:rsidRDefault="00AF3343" w:rsidP="003209F0">
      <w:pPr>
        <w:spacing w:after="0" w:line="240" w:lineRule="auto"/>
        <w:jc w:val="both"/>
        <w:rPr>
          <w:rFonts w:asciiTheme="majorHAnsi" w:eastAsia="Arial" w:hAnsiTheme="majorHAnsi" w:cstheme="majorHAnsi"/>
          <w:b/>
          <w:sz w:val="24"/>
          <w:szCs w:val="24"/>
        </w:rPr>
      </w:pPr>
    </w:p>
    <w:p w:rsidR="00DC4CF8" w:rsidRPr="004B127E" w:rsidRDefault="00582AA2"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QUINTO.- </w:t>
      </w:r>
      <w:r w:rsidR="00DC4CF8" w:rsidRPr="004B127E">
        <w:rPr>
          <w:rFonts w:asciiTheme="majorHAnsi" w:eastAsia="Arial" w:hAnsiTheme="majorHAnsi" w:cstheme="majorHAnsi"/>
          <w:sz w:val="24"/>
          <w:szCs w:val="24"/>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4B127E">
        <w:rPr>
          <w:rFonts w:asciiTheme="majorHAnsi" w:eastAsia="Arial" w:hAnsiTheme="majorHAnsi" w:cstheme="majorHAnsi"/>
          <w:sz w:val="24"/>
          <w:szCs w:val="24"/>
        </w:rPr>
        <w:t>t</w:t>
      </w:r>
      <w:r w:rsidR="00DC4CF8" w:rsidRPr="004B127E">
        <w:rPr>
          <w:rFonts w:asciiTheme="majorHAnsi" w:eastAsia="Arial" w:hAnsiTheme="majorHAnsi" w:cstheme="majorHAnsi"/>
          <w:sz w:val="24"/>
          <w:szCs w:val="24"/>
        </w:rPr>
        <w:t>écnicos</w:t>
      </w:r>
      <w:r w:rsidR="00163E09" w:rsidRPr="004B127E">
        <w:rPr>
          <w:rFonts w:asciiTheme="majorHAnsi" w:eastAsia="Arial" w:hAnsiTheme="majorHAnsi" w:cstheme="majorHAnsi"/>
          <w:sz w:val="24"/>
          <w:szCs w:val="24"/>
        </w:rPr>
        <w:t xml:space="preserve"> generales</w:t>
      </w:r>
      <w:r w:rsidR="00DC4CF8" w:rsidRPr="004B127E">
        <w:rPr>
          <w:rFonts w:asciiTheme="majorHAnsi" w:eastAsia="Arial" w:hAnsiTheme="majorHAnsi" w:cstheme="majorHAnsi"/>
          <w:sz w:val="24"/>
          <w:szCs w:val="24"/>
        </w:rPr>
        <w:t xml:space="preserve">), publicados en el Diario Oficial de la Federación el </w:t>
      </w:r>
      <w:r w:rsidR="005A684A" w:rsidRPr="004B127E">
        <w:rPr>
          <w:rFonts w:asciiTheme="majorHAnsi" w:eastAsia="Arial" w:hAnsiTheme="majorHAnsi" w:cstheme="majorHAnsi"/>
          <w:sz w:val="24"/>
          <w:szCs w:val="24"/>
        </w:rPr>
        <w:t>4</w:t>
      </w:r>
      <w:r w:rsidR="00DC4CF8" w:rsidRPr="004B127E">
        <w:rPr>
          <w:rFonts w:asciiTheme="majorHAnsi" w:eastAsia="Arial" w:hAnsiTheme="majorHAnsi" w:cstheme="majorHAnsi"/>
          <w:sz w:val="24"/>
          <w:szCs w:val="24"/>
        </w:rPr>
        <w:t xml:space="preserve"> de mayo de </w:t>
      </w:r>
      <w:r w:rsidR="005A684A" w:rsidRPr="004B127E">
        <w:rPr>
          <w:rFonts w:asciiTheme="majorHAnsi" w:eastAsia="Arial" w:hAnsiTheme="majorHAnsi" w:cstheme="majorHAnsi"/>
          <w:sz w:val="24"/>
          <w:szCs w:val="24"/>
        </w:rPr>
        <w:t>2016</w:t>
      </w:r>
      <w:r w:rsidR="00DC4CF8" w:rsidRPr="004B127E">
        <w:rPr>
          <w:rFonts w:asciiTheme="majorHAnsi" w:eastAsia="Arial" w:hAnsiTheme="majorHAnsi" w:cstheme="majorHAnsi"/>
          <w:sz w:val="24"/>
          <w:szCs w:val="24"/>
        </w:rPr>
        <w:t>.</w:t>
      </w:r>
    </w:p>
    <w:p w:rsidR="005A684A" w:rsidRPr="004B127E" w:rsidRDefault="005A684A" w:rsidP="003209F0">
      <w:pPr>
        <w:spacing w:after="0" w:line="240" w:lineRule="auto"/>
        <w:jc w:val="both"/>
        <w:rPr>
          <w:rFonts w:asciiTheme="majorHAnsi" w:eastAsia="Arial" w:hAnsiTheme="majorHAnsi" w:cstheme="majorHAnsi"/>
          <w:sz w:val="24"/>
          <w:szCs w:val="24"/>
        </w:rPr>
      </w:pPr>
    </w:p>
    <w:p w:rsidR="00582AA2" w:rsidRPr="004B127E" w:rsidRDefault="00582AA2"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 xml:space="preserve">En los referidos Lineamientos, se contemplan las especificaciones necesarias para la homologación en la presentación y publicación de la información prescrita en el Título Quinto de la Ley </w:t>
      </w:r>
      <w:r w:rsidR="00163E09" w:rsidRPr="004B127E">
        <w:rPr>
          <w:rFonts w:asciiTheme="majorHAnsi" w:eastAsia="Arial" w:hAnsiTheme="majorHAnsi" w:cstheme="majorHAnsi"/>
          <w:sz w:val="24"/>
          <w:szCs w:val="24"/>
        </w:rPr>
        <w:t>g</w:t>
      </w:r>
      <w:r w:rsidRPr="004B127E">
        <w:rPr>
          <w:rFonts w:asciiTheme="majorHAnsi" w:eastAsia="Arial" w:hAnsiTheme="majorHAnsi" w:cstheme="majorHAnsi"/>
          <w:sz w:val="24"/>
          <w:szCs w:val="24"/>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1A742E" w:rsidRPr="004B127E" w:rsidRDefault="001A742E" w:rsidP="003209F0">
      <w:pPr>
        <w:spacing w:after="0" w:line="240" w:lineRule="auto"/>
        <w:jc w:val="both"/>
        <w:rPr>
          <w:rFonts w:asciiTheme="majorHAnsi" w:eastAsia="Arial" w:hAnsiTheme="majorHAnsi" w:cstheme="majorHAnsi"/>
          <w:b/>
          <w:sz w:val="24"/>
          <w:szCs w:val="24"/>
        </w:rPr>
      </w:pPr>
    </w:p>
    <w:p w:rsidR="00A16D01" w:rsidRPr="004B127E" w:rsidRDefault="00A16D01"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sz w:val="24"/>
          <w:szCs w:val="24"/>
        </w:rPr>
        <w:t>CONSIDERANDOS</w:t>
      </w:r>
    </w:p>
    <w:p w:rsidR="00807346" w:rsidRPr="004B127E" w:rsidRDefault="00807346" w:rsidP="003209F0">
      <w:pPr>
        <w:spacing w:after="0" w:line="240" w:lineRule="auto"/>
        <w:jc w:val="both"/>
        <w:rPr>
          <w:rFonts w:asciiTheme="majorHAnsi" w:eastAsia="Arial" w:hAnsiTheme="majorHAnsi" w:cstheme="majorHAnsi"/>
          <w:b/>
          <w:sz w:val="24"/>
          <w:szCs w:val="24"/>
        </w:rPr>
      </w:pPr>
    </w:p>
    <w:p w:rsidR="00807346" w:rsidRPr="004B127E" w:rsidRDefault="00A16D01"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PRIMERO.- </w:t>
      </w:r>
      <w:r w:rsidR="000317AB" w:rsidRPr="004B127E">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4B127E">
        <w:rPr>
          <w:rFonts w:asciiTheme="majorHAnsi" w:eastAsia="Arial" w:hAnsiTheme="majorHAnsi" w:cstheme="majorHAnsi"/>
          <w:sz w:val="24"/>
          <w:szCs w:val="24"/>
        </w:rPr>
        <w:t>la</w:t>
      </w:r>
      <w:r w:rsidR="000317AB" w:rsidRPr="004B127E">
        <w:rPr>
          <w:rFonts w:asciiTheme="majorHAnsi" w:eastAsia="Arial" w:hAnsiTheme="majorHAnsi" w:cstheme="majorHAnsi"/>
          <w:sz w:val="24"/>
          <w:szCs w:val="24"/>
        </w:rPr>
        <w:t xml:space="preserve"> </w:t>
      </w:r>
      <w:r w:rsidR="002A74C9" w:rsidRPr="004B127E">
        <w:rPr>
          <w:rFonts w:asciiTheme="majorHAnsi" w:eastAsia="Arial" w:hAnsiTheme="majorHAnsi" w:cstheme="majorHAnsi"/>
          <w:sz w:val="24"/>
          <w:szCs w:val="24"/>
        </w:rPr>
        <w:t>L</w:t>
      </w:r>
      <w:r w:rsidR="000317AB" w:rsidRPr="004B127E">
        <w:rPr>
          <w:rFonts w:asciiTheme="majorHAnsi" w:eastAsia="Arial" w:hAnsiTheme="majorHAnsi" w:cstheme="majorHAnsi"/>
          <w:sz w:val="24"/>
          <w:szCs w:val="24"/>
        </w:rPr>
        <w:t>ey</w:t>
      </w:r>
      <w:r w:rsidR="002A74C9" w:rsidRPr="004B127E">
        <w:rPr>
          <w:rFonts w:asciiTheme="majorHAnsi" w:eastAsia="Arial" w:hAnsiTheme="majorHAnsi" w:cstheme="majorHAnsi"/>
          <w:sz w:val="24"/>
          <w:szCs w:val="24"/>
        </w:rPr>
        <w:t xml:space="preserve"> estatal de la materia</w:t>
      </w:r>
      <w:r w:rsidR="000317AB" w:rsidRPr="004B127E">
        <w:rPr>
          <w:rFonts w:asciiTheme="majorHAnsi" w:eastAsia="Arial" w:hAnsiTheme="majorHAnsi" w:cstheme="majorHAnsi"/>
          <w:sz w:val="24"/>
          <w:szCs w:val="24"/>
        </w:rPr>
        <w:t xml:space="preserve"> y demás disposiciones normativas aplicables.</w:t>
      </w:r>
    </w:p>
    <w:p w:rsidR="006136C0" w:rsidRPr="004B127E" w:rsidRDefault="006136C0" w:rsidP="003209F0">
      <w:pPr>
        <w:spacing w:after="0" w:line="240" w:lineRule="auto"/>
        <w:jc w:val="both"/>
        <w:rPr>
          <w:rFonts w:asciiTheme="majorHAnsi" w:eastAsia="Arial" w:hAnsiTheme="majorHAnsi" w:cstheme="majorHAnsi"/>
          <w:sz w:val="24"/>
          <w:szCs w:val="24"/>
        </w:rPr>
      </w:pPr>
    </w:p>
    <w:p w:rsidR="009160F1" w:rsidRPr="004B127E" w:rsidRDefault="00D94442"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SEGUNDO.</w:t>
      </w:r>
      <w:r w:rsidRPr="004B127E">
        <w:rPr>
          <w:rFonts w:asciiTheme="majorHAnsi" w:eastAsia="Arial" w:hAnsiTheme="majorHAnsi" w:cstheme="majorHAnsi"/>
          <w:sz w:val="24"/>
          <w:szCs w:val="24"/>
        </w:rPr>
        <w:t>-</w:t>
      </w:r>
      <w:r w:rsidR="000317AB" w:rsidRPr="004B127E">
        <w:rPr>
          <w:rFonts w:asciiTheme="majorHAnsi" w:eastAsia="Arial" w:hAnsiTheme="majorHAnsi" w:cstheme="majorHAnsi"/>
          <w:sz w:val="24"/>
          <w:szCs w:val="24"/>
        </w:rPr>
        <w:t xml:space="preserve"> </w:t>
      </w:r>
      <w:r w:rsidR="009160F1" w:rsidRPr="004B127E">
        <w:rPr>
          <w:rFonts w:asciiTheme="majorHAnsi" w:eastAsia="Arial" w:hAnsiTheme="majorHAnsi" w:cstheme="majorHAnsi"/>
          <w:sz w:val="24"/>
          <w:szCs w:val="24"/>
        </w:rPr>
        <w:t xml:space="preserve">De conformidad con lo señalado en el último párrafo del artículo 70 de la Ley general de transparencia y el numeral noveno, fracción I, de los Lineamientos </w:t>
      </w:r>
      <w:r w:rsidR="00163E09" w:rsidRPr="004B127E">
        <w:rPr>
          <w:rFonts w:asciiTheme="majorHAnsi" w:eastAsia="Arial" w:hAnsiTheme="majorHAnsi" w:cstheme="majorHAnsi"/>
          <w:sz w:val="24"/>
          <w:szCs w:val="24"/>
        </w:rPr>
        <w:t>t</w:t>
      </w:r>
      <w:r w:rsidR="009160F1" w:rsidRPr="004B127E">
        <w:rPr>
          <w:rFonts w:asciiTheme="majorHAnsi" w:eastAsia="Arial" w:hAnsiTheme="majorHAnsi" w:cstheme="majorHAnsi"/>
          <w:sz w:val="24"/>
          <w:szCs w:val="24"/>
        </w:rPr>
        <w:t>écnicos</w:t>
      </w:r>
      <w:r w:rsidR="00163E09" w:rsidRPr="004B127E">
        <w:rPr>
          <w:rFonts w:asciiTheme="majorHAnsi" w:eastAsia="Arial" w:hAnsiTheme="majorHAnsi" w:cstheme="majorHAnsi"/>
          <w:sz w:val="24"/>
          <w:szCs w:val="24"/>
        </w:rPr>
        <w:t xml:space="preserve"> generales</w:t>
      </w:r>
      <w:r w:rsidR="009160F1" w:rsidRPr="004B127E">
        <w:rPr>
          <w:rFonts w:asciiTheme="majorHAnsi" w:eastAsia="Arial" w:hAnsiTheme="majorHAnsi" w:cstheme="majorHAnsi"/>
          <w:sz w:val="24"/>
          <w:szCs w:val="24"/>
        </w:rPr>
        <w:t xml:space="preserve">, los sujetos obligados del </w:t>
      </w:r>
      <w:r w:rsidR="00085008" w:rsidRPr="004B127E">
        <w:rPr>
          <w:rFonts w:asciiTheme="majorHAnsi" w:eastAsia="Arial" w:hAnsiTheme="majorHAnsi" w:cstheme="majorHAnsi"/>
          <w:sz w:val="24"/>
          <w:szCs w:val="24"/>
        </w:rPr>
        <w:t>estado de Yucatán</w:t>
      </w:r>
      <w:r w:rsidR="009160F1" w:rsidRPr="004B127E">
        <w:rPr>
          <w:rFonts w:asciiTheme="majorHAnsi" w:eastAsia="Arial" w:hAnsiTheme="majorHAnsi" w:cstheme="majorHAnsi"/>
          <w:sz w:val="24"/>
          <w:szCs w:val="24"/>
        </w:rPr>
        <w:t xml:space="preserve"> deben remitir a este Instituto la </w:t>
      </w:r>
      <w:r w:rsidR="009160F1" w:rsidRPr="004B127E">
        <w:rPr>
          <w:rFonts w:asciiTheme="majorHAnsi" w:eastAsia="Arial" w:hAnsiTheme="majorHAnsi" w:cstheme="majorHAnsi"/>
          <w:sz w:val="24"/>
          <w:szCs w:val="24"/>
        </w:rPr>
        <w:lastRenderedPageBreak/>
        <w:t>relación de fracciones que les aplican, con el objeto de que éste verifique y apruebe, de forma fundada y motivada, las obligaciones de transparencia comunes que estarán a su cargo, las cuales se integrarán en la "Tabla de Aplicabilidad para el cumplimiento de las Obligaciones de Transparencia".</w:t>
      </w:r>
    </w:p>
    <w:p w:rsidR="00085008" w:rsidRPr="004B127E" w:rsidRDefault="00085008" w:rsidP="003209F0">
      <w:pPr>
        <w:spacing w:after="0" w:line="240" w:lineRule="auto"/>
        <w:jc w:val="both"/>
        <w:rPr>
          <w:rFonts w:asciiTheme="majorHAnsi" w:eastAsia="Arial" w:hAnsiTheme="majorHAnsi" w:cstheme="majorHAnsi"/>
          <w:sz w:val="24"/>
          <w:szCs w:val="24"/>
        </w:rPr>
      </w:pPr>
    </w:p>
    <w:p w:rsidR="00085008" w:rsidRPr="004B127E" w:rsidRDefault="00085008"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Con base en lo anterior, los sujetos obligados debieron informar la relación de fracciones que les aplican y, en su caso, de forma fundamentada y motivada, las que no le aplican. Se destaca que no se trata de la información que el sujeto obligado no generó en un periodo determinado, sino de aquella que no generará en ningún momento por no estar especificado en sus facultades, competencias y funciones otorgadas por los ordenamientos jurídicos aplicables.</w:t>
      </w:r>
    </w:p>
    <w:p w:rsidR="00085008" w:rsidRPr="004B127E" w:rsidRDefault="00085008" w:rsidP="003209F0">
      <w:pPr>
        <w:spacing w:after="0" w:line="240" w:lineRule="auto"/>
        <w:jc w:val="both"/>
        <w:rPr>
          <w:rFonts w:asciiTheme="majorHAnsi" w:eastAsia="Arial" w:hAnsiTheme="majorHAnsi" w:cstheme="majorHAnsi"/>
          <w:sz w:val="24"/>
          <w:szCs w:val="24"/>
        </w:rPr>
      </w:pPr>
    </w:p>
    <w:p w:rsidR="00085008" w:rsidRPr="004B127E" w:rsidRDefault="00085008"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TERCERO.- </w:t>
      </w:r>
      <w:r w:rsidRPr="004B127E">
        <w:rPr>
          <w:rFonts w:asciiTheme="majorHAnsi" w:eastAsia="Arial" w:hAnsiTheme="majorHAnsi" w:cstheme="majorHAnsi"/>
          <w:sz w:val="24"/>
          <w:szCs w:val="24"/>
        </w:rPr>
        <w:t xml:space="preserve">Además de lo señalado </w:t>
      </w:r>
      <w:r w:rsidR="00300372" w:rsidRPr="004B127E">
        <w:rPr>
          <w:rFonts w:asciiTheme="majorHAnsi" w:eastAsia="Arial" w:hAnsiTheme="majorHAnsi" w:cstheme="majorHAnsi"/>
          <w:sz w:val="24"/>
          <w:szCs w:val="24"/>
        </w:rPr>
        <w:t>en el considerando que antecede;</w:t>
      </w:r>
      <w:r w:rsidRPr="004B127E">
        <w:rPr>
          <w:rFonts w:asciiTheme="majorHAnsi" w:eastAsia="Arial" w:hAnsiTheme="majorHAnsi" w:cstheme="majorHAnsi"/>
          <w:sz w:val="24"/>
          <w:szCs w:val="24"/>
        </w:rPr>
        <w:t xml:space="preserve"> </w:t>
      </w:r>
      <w:r w:rsidR="00300372" w:rsidRPr="004B127E">
        <w:rPr>
          <w:rFonts w:asciiTheme="majorHAnsi" w:eastAsia="Arial" w:hAnsiTheme="majorHAnsi" w:cstheme="majorHAnsi"/>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4B127E" w:rsidRDefault="00300372" w:rsidP="003209F0">
      <w:pPr>
        <w:spacing w:after="0" w:line="240" w:lineRule="auto"/>
        <w:jc w:val="both"/>
        <w:rPr>
          <w:rFonts w:asciiTheme="majorHAnsi" w:eastAsia="Arial" w:hAnsiTheme="majorHAnsi" w:cstheme="majorHAnsi"/>
          <w:sz w:val="24"/>
          <w:szCs w:val="24"/>
        </w:rPr>
      </w:pPr>
    </w:p>
    <w:p w:rsidR="00300372" w:rsidRPr="004B127E" w:rsidRDefault="00620069"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CUARTO.-</w:t>
      </w:r>
      <w:r w:rsidR="00300372" w:rsidRPr="004B127E">
        <w:rPr>
          <w:rFonts w:asciiTheme="majorHAnsi" w:eastAsia="Arial" w:hAnsiTheme="majorHAnsi" w:cstheme="majorHAnsi"/>
          <w:sz w:val="24"/>
          <w:szCs w:val="24"/>
        </w:rPr>
        <w:t xml:space="preserve"> En cumplimiento de lo señalado en los considerandos segundo y tercero del presente, </w:t>
      </w:r>
      <w:r w:rsidR="001A742E" w:rsidRPr="004B127E">
        <w:rPr>
          <w:rFonts w:asciiTheme="majorHAnsi" w:eastAsia="Arial" w:hAnsiTheme="majorHAnsi" w:cstheme="majorHAnsi"/>
          <w:sz w:val="24"/>
          <w:szCs w:val="24"/>
        </w:rPr>
        <w:t>la Universidad Autónoma de Yucatán</w:t>
      </w:r>
      <w:r w:rsidRPr="004B127E">
        <w:rPr>
          <w:rFonts w:asciiTheme="majorHAnsi" w:eastAsia="Arial" w:hAnsiTheme="majorHAnsi" w:cstheme="majorHAnsi"/>
          <w:sz w:val="24"/>
          <w:szCs w:val="24"/>
        </w:rPr>
        <w:t>, remiti</w:t>
      </w:r>
      <w:r w:rsidR="001A742E" w:rsidRPr="004B127E">
        <w:rPr>
          <w:rFonts w:asciiTheme="majorHAnsi" w:eastAsia="Arial" w:hAnsiTheme="majorHAnsi" w:cstheme="majorHAnsi"/>
          <w:sz w:val="24"/>
          <w:szCs w:val="24"/>
        </w:rPr>
        <w:t>ó su tabla</w:t>
      </w:r>
      <w:r w:rsidRPr="004B127E">
        <w:rPr>
          <w:rFonts w:asciiTheme="majorHAnsi" w:eastAsia="Arial" w:hAnsiTheme="majorHAnsi" w:cstheme="majorHAnsi"/>
          <w:sz w:val="24"/>
          <w:szCs w:val="24"/>
        </w:rPr>
        <w:t xml:space="preserve"> de aplicabilidad de obligaciones</w:t>
      </w:r>
      <w:r w:rsidR="001F4541" w:rsidRPr="004B127E">
        <w:rPr>
          <w:rFonts w:asciiTheme="majorHAnsi" w:eastAsia="Arial" w:hAnsiTheme="majorHAnsi" w:cstheme="majorHAnsi"/>
          <w:sz w:val="24"/>
          <w:szCs w:val="24"/>
        </w:rPr>
        <w:t xml:space="preserve"> de transparencia comunes</w:t>
      </w:r>
      <w:r w:rsidR="0028142D" w:rsidRPr="004B127E">
        <w:rPr>
          <w:rFonts w:asciiTheme="majorHAnsi" w:eastAsia="Arial" w:hAnsiTheme="majorHAnsi" w:cstheme="majorHAnsi"/>
          <w:sz w:val="24"/>
          <w:szCs w:val="24"/>
        </w:rPr>
        <w:t>,</w:t>
      </w:r>
      <w:r w:rsidRPr="004B127E">
        <w:rPr>
          <w:rFonts w:asciiTheme="majorHAnsi" w:eastAsia="Arial" w:hAnsiTheme="majorHAnsi" w:cstheme="majorHAnsi"/>
          <w:sz w:val="24"/>
          <w:szCs w:val="24"/>
        </w:rPr>
        <w:t xml:space="preserve"> </w:t>
      </w:r>
      <w:r w:rsidR="001A742E" w:rsidRPr="004B127E">
        <w:rPr>
          <w:rFonts w:asciiTheme="majorHAnsi" w:eastAsia="Arial" w:hAnsiTheme="majorHAnsi" w:cstheme="majorHAnsi"/>
          <w:sz w:val="24"/>
          <w:szCs w:val="24"/>
        </w:rPr>
        <w:t>la cual</w:t>
      </w:r>
      <w:r w:rsidR="001F4541" w:rsidRPr="004B127E">
        <w:rPr>
          <w:rFonts w:asciiTheme="majorHAnsi" w:eastAsia="Arial" w:hAnsiTheme="majorHAnsi" w:cstheme="majorHAnsi"/>
          <w:sz w:val="24"/>
          <w:szCs w:val="24"/>
        </w:rPr>
        <w:t xml:space="preserve"> se analiz</w:t>
      </w:r>
      <w:r w:rsidR="001A742E" w:rsidRPr="004B127E">
        <w:rPr>
          <w:rFonts w:asciiTheme="majorHAnsi" w:eastAsia="Arial" w:hAnsiTheme="majorHAnsi" w:cstheme="majorHAnsi"/>
          <w:sz w:val="24"/>
          <w:szCs w:val="24"/>
        </w:rPr>
        <w:t>ó</w:t>
      </w:r>
      <w:r w:rsidR="001F4541" w:rsidRPr="004B127E">
        <w:rPr>
          <w:rFonts w:asciiTheme="majorHAnsi" w:eastAsia="Arial" w:hAnsiTheme="majorHAnsi" w:cstheme="majorHAnsi"/>
          <w:sz w:val="24"/>
          <w:szCs w:val="24"/>
        </w:rPr>
        <w:t xml:space="preserve"> y estudi</w:t>
      </w:r>
      <w:r w:rsidR="001A742E" w:rsidRPr="004B127E">
        <w:rPr>
          <w:rFonts w:asciiTheme="majorHAnsi" w:eastAsia="Arial" w:hAnsiTheme="majorHAnsi" w:cstheme="majorHAnsi"/>
          <w:sz w:val="24"/>
          <w:szCs w:val="24"/>
        </w:rPr>
        <w:t>ó</w:t>
      </w:r>
      <w:r w:rsidR="001F4541" w:rsidRPr="004B127E">
        <w:rPr>
          <w:rFonts w:asciiTheme="majorHAnsi" w:eastAsia="Arial" w:hAnsiTheme="majorHAnsi" w:cstheme="majorHAnsi"/>
          <w:sz w:val="24"/>
          <w:szCs w:val="24"/>
        </w:rPr>
        <w:t>, considerando la normatividad apl</w:t>
      </w:r>
      <w:r w:rsidR="001A742E" w:rsidRPr="004B127E">
        <w:rPr>
          <w:rFonts w:asciiTheme="majorHAnsi" w:eastAsia="Arial" w:hAnsiTheme="majorHAnsi" w:cstheme="majorHAnsi"/>
          <w:sz w:val="24"/>
          <w:szCs w:val="24"/>
        </w:rPr>
        <w:t xml:space="preserve">icable y naturaleza jurídica del referido </w:t>
      </w:r>
      <w:r w:rsidR="001F4541" w:rsidRPr="004B127E">
        <w:rPr>
          <w:rFonts w:asciiTheme="majorHAnsi" w:eastAsia="Arial" w:hAnsiTheme="majorHAnsi" w:cstheme="majorHAnsi"/>
          <w:sz w:val="24"/>
          <w:szCs w:val="24"/>
        </w:rPr>
        <w:t>sujeto obligado, de modo que pudiera determinarse las obligaciones de transparencia com</w:t>
      </w:r>
      <w:r w:rsidR="005C5DD8" w:rsidRPr="004B127E">
        <w:rPr>
          <w:rFonts w:asciiTheme="majorHAnsi" w:eastAsia="Arial" w:hAnsiTheme="majorHAnsi" w:cstheme="majorHAnsi"/>
          <w:sz w:val="24"/>
          <w:szCs w:val="24"/>
        </w:rPr>
        <w:t>unes que ést</w:t>
      </w:r>
      <w:r w:rsidR="001A742E" w:rsidRPr="004B127E">
        <w:rPr>
          <w:rFonts w:asciiTheme="majorHAnsi" w:eastAsia="Arial" w:hAnsiTheme="majorHAnsi" w:cstheme="majorHAnsi"/>
          <w:sz w:val="24"/>
          <w:szCs w:val="24"/>
        </w:rPr>
        <w:t>e debe</w:t>
      </w:r>
      <w:r w:rsidR="005C5DD8" w:rsidRPr="004B127E">
        <w:rPr>
          <w:rFonts w:asciiTheme="majorHAnsi" w:eastAsia="Arial" w:hAnsiTheme="majorHAnsi" w:cstheme="majorHAnsi"/>
          <w:sz w:val="24"/>
          <w:szCs w:val="24"/>
        </w:rPr>
        <w:t xml:space="preserve"> de cumplir; con motivo de lo ante</w:t>
      </w:r>
      <w:r w:rsidR="001A742E" w:rsidRPr="004B127E">
        <w:rPr>
          <w:rFonts w:asciiTheme="majorHAnsi" w:eastAsia="Arial" w:hAnsiTheme="majorHAnsi" w:cstheme="majorHAnsi"/>
          <w:sz w:val="24"/>
          <w:szCs w:val="24"/>
        </w:rPr>
        <w:t>rior, se anexa un reporte de la tabla de aplicabilidad recibida</w:t>
      </w:r>
      <w:r w:rsidR="005C5DD8" w:rsidRPr="004B127E">
        <w:rPr>
          <w:rFonts w:asciiTheme="majorHAnsi" w:eastAsia="Arial" w:hAnsiTheme="majorHAnsi" w:cstheme="majorHAnsi"/>
          <w:sz w:val="24"/>
          <w:szCs w:val="24"/>
        </w:rPr>
        <w:t xml:space="preserve">, </w:t>
      </w:r>
      <w:r w:rsidR="001A742E" w:rsidRPr="004B127E">
        <w:rPr>
          <w:rFonts w:asciiTheme="majorHAnsi" w:eastAsia="Arial" w:hAnsiTheme="majorHAnsi" w:cstheme="majorHAnsi"/>
          <w:sz w:val="24"/>
          <w:szCs w:val="24"/>
        </w:rPr>
        <w:t>en el que se indica</w:t>
      </w:r>
      <w:r w:rsidR="00F83B17" w:rsidRPr="004B127E">
        <w:rPr>
          <w:rFonts w:asciiTheme="majorHAnsi" w:eastAsia="Arial" w:hAnsiTheme="majorHAnsi" w:cstheme="majorHAnsi"/>
          <w:sz w:val="24"/>
          <w:szCs w:val="24"/>
        </w:rPr>
        <w:t xml:space="preserve"> </w:t>
      </w:r>
      <w:r w:rsidR="005C5DD8" w:rsidRPr="004B127E">
        <w:rPr>
          <w:rFonts w:asciiTheme="majorHAnsi" w:eastAsia="Arial" w:hAnsiTheme="majorHAnsi" w:cstheme="majorHAnsi"/>
          <w:sz w:val="24"/>
          <w:szCs w:val="24"/>
        </w:rPr>
        <w:t>la fecha de recepción, la fecha de autorización del Comité de Transparencia, en el</w:t>
      </w:r>
      <w:r w:rsidR="001A742E" w:rsidRPr="004B127E">
        <w:rPr>
          <w:rFonts w:asciiTheme="majorHAnsi" w:eastAsia="Arial" w:hAnsiTheme="majorHAnsi" w:cstheme="majorHAnsi"/>
          <w:sz w:val="24"/>
          <w:szCs w:val="24"/>
        </w:rPr>
        <w:t xml:space="preserve"> caso de que ésta</w:t>
      </w:r>
      <w:r w:rsidR="005C5DD8" w:rsidRPr="004B127E">
        <w:rPr>
          <w:rFonts w:asciiTheme="majorHAnsi" w:eastAsia="Arial" w:hAnsiTheme="majorHAnsi" w:cstheme="majorHAnsi"/>
          <w:sz w:val="24"/>
          <w:szCs w:val="24"/>
        </w:rPr>
        <w:t xml:space="preserve"> hubie</w:t>
      </w:r>
      <w:r w:rsidR="0053148D" w:rsidRPr="004B127E">
        <w:rPr>
          <w:rFonts w:asciiTheme="majorHAnsi" w:eastAsia="Arial" w:hAnsiTheme="majorHAnsi" w:cstheme="majorHAnsi"/>
          <w:sz w:val="24"/>
          <w:szCs w:val="24"/>
        </w:rPr>
        <w:t>s</w:t>
      </w:r>
      <w:r w:rsidR="001A742E" w:rsidRPr="004B127E">
        <w:rPr>
          <w:rFonts w:asciiTheme="majorHAnsi" w:eastAsia="Arial" w:hAnsiTheme="majorHAnsi" w:cstheme="majorHAnsi"/>
          <w:sz w:val="24"/>
          <w:szCs w:val="24"/>
        </w:rPr>
        <w:t>e sido autorizada</w:t>
      </w:r>
      <w:r w:rsidR="005C5DD8" w:rsidRPr="004B127E">
        <w:rPr>
          <w:rFonts w:asciiTheme="majorHAnsi" w:eastAsia="Arial" w:hAnsiTheme="majorHAnsi" w:cstheme="majorHAnsi"/>
          <w:sz w:val="24"/>
          <w:szCs w:val="24"/>
        </w:rPr>
        <w:t>, el listado de las fracciones que l</w:t>
      </w:r>
      <w:r w:rsidR="001A742E" w:rsidRPr="004B127E">
        <w:rPr>
          <w:rFonts w:asciiTheme="majorHAnsi" w:eastAsia="Arial" w:hAnsiTheme="majorHAnsi" w:cstheme="majorHAnsi"/>
          <w:sz w:val="24"/>
          <w:szCs w:val="24"/>
        </w:rPr>
        <w:t xml:space="preserve">a Universidad Autónoma de Yucatán indicó </w:t>
      </w:r>
      <w:r w:rsidR="005C5DD8" w:rsidRPr="004B127E">
        <w:rPr>
          <w:rFonts w:asciiTheme="majorHAnsi" w:eastAsia="Arial" w:hAnsiTheme="majorHAnsi" w:cstheme="majorHAnsi"/>
          <w:sz w:val="24"/>
          <w:szCs w:val="24"/>
        </w:rPr>
        <w:t>que les aplicaba, y de igual forma las que</w:t>
      </w:r>
      <w:r w:rsidR="00E67522" w:rsidRPr="004B127E">
        <w:rPr>
          <w:rFonts w:asciiTheme="majorHAnsi" w:eastAsia="Arial" w:hAnsiTheme="majorHAnsi" w:cstheme="majorHAnsi"/>
          <w:sz w:val="24"/>
          <w:szCs w:val="24"/>
        </w:rPr>
        <w:t xml:space="preserve"> indic</w:t>
      </w:r>
      <w:r w:rsidR="001A742E" w:rsidRPr="004B127E">
        <w:rPr>
          <w:rFonts w:asciiTheme="majorHAnsi" w:eastAsia="Arial" w:hAnsiTheme="majorHAnsi" w:cstheme="majorHAnsi"/>
          <w:sz w:val="24"/>
          <w:szCs w:val="24"/>
        </w:rPr>
        <w:t>ó</w:t>
      </w:r>
      <w:r w:rsidR="00E67522" w:rsidRPr="004B127E">
        <w:rPr>
          <w:rFonts w:asciiTheme="majorHAnsi" w:eastAsia="Arial" w:hAnsiTheme="majorHAnsi" w:cstheme="majorHAnsi"/>
          <w:sz w:val="24"/>
          <w:szCs w:val="24"/>
        </w:rPr>
        <w:t xml:space="preserve"> que no les aplicaba</w:t>
      </w:r>
      <w:r w:rsidR="0053148D" w:rsidRPr="004B127E">
        <w:rPr>
          <w:rFonts w:asciiTheme="majorHAnsi" w:eastAsia="Arial" w:hAnsiTheme="majorHAnsi" w:cstheme="majorHAnsi"/>
          <w:sz w:val="24"/>
          <w:szCs w:val="24"/>
        </w:rPr>
        <w:t xml:space="preserve">, y en su caso la fecha </w:t>
      </w:r>
      <w:r w:rsidR="001A742E" w:rsidRPr="004B127E">
        <w:rPr>
          <w:rFonts w:asciiTheme="majorHAnsi" w:eastAsia="Arial" w:hAnsiTheme="majorHAnsi" w:cstheme="majorHAnsi"/>
          <w:sz w:val="24"/>
          <w:szCs w:val="24"/>
        </w:rPr>
        <w:t>de la última modificación de la tabla d</w:t>
      </w:r>
      <w:r w:rsidR="0053148D" w:rsidRPr="004B127E">
        <w:rPr>
          <w:rFonts w:asciiTheme="majorHAnsi" w:eastAsia="Arial" w:hAnsiTheme="majorHAnsi" w:cstheme="majorHAnsi"/>
          <w:sz w:val="24"/>
          <w:szCs w:val="24"/>
        </w:rPr>
        <w:t>e aplicabilidad</w:t>
      </w:r>
      <w:r w:rsidR="00E67522" w:rsidRPr="004B127E">
        <w:rPr>
          <w:rFonts w:asciiTheme="majorHAnsi" w:eastAsia="Arial" w:hAnsiTheme="majorHAnsi" w:cstheme="majorHAnsi"/>
          <w:sz w:val="24"/>
          <w:szCs w:val="24"/>
        </w:rPr>
        <w:t>.</w:t>
      </w:r>
    </w:p>
    <w:p w:rsidR="00F83B17" w:rsidRPr="004B127E" w:rsidRDefault="00F83B17" w:rsidP="003209F0">
      <w:pPr>
        <w:spacing w:after="0" w:line="240" w:lineRule="auto"/>
        <w:jc w:val="both"/>
        <w:rPr>
          <w:rFonts w:asciiTheme="majorHAnsi" w:eastAsia="Arial" w:hAnsiTheme="majorHAnsi" w:cstheme="majorHAnsi"/>
          <w:sz w:val="24"/>
          <w:szCs w:val="24"/>
        </w:rPr>
      </w:pPr>
    </w:p>
    <w:p w:rsidR="005E19D8" w:rsidRPr="004B127E" w:rsidRDefault="00F83B17"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 xml:space="preserve">Anexo 1.- </w:t>
      </w:r>
      <w:r w:rsidR="005E19D8" w:rsidRPr="004B127E">
        <w:rPr>
          <w:rFonts w:asciiTheme="majorHAnsi" w:hAnsiTheme="majorHAnsi" w:cstheme="majorHAnsi"/>
          <w:sz w:val="24"/>
          <w:szCs w:val="24"/>
        </w:rPr>
        <w:t>Tablas de aplicabilidad de obligaciones de transparencia comunes remitida</w:t>
      </w:r>
      <w:r w:rsidR="001A742E" w:rsidRPr="004B127E">
        <w:rPr>
          <w:rFonts w:asciiTheme="majorHAnsi" w:hAnsiTheme="majorHAnsi" w:cstheme="majorHAnsi"/>
          <w:sz w:val="24"/>
          <w:szCs w:val="24"/>
        </w:rPr>
        <w:t xml:space="preserve"> por la Universidad Autónoma de Yucatán</w:t>
      </w:r>
      <w:r w:rsidR="005E19D8" w:rsidRPr="004B127E">
        <w:rPr>
          <w:rFonts w:asciiTheme="majorHAnsi" w:hAnsiTheme="majorHAnsi" w:cstheme="majorHAnsi"/>
          <w:sz w:val="24"/>
          <w:szCs w:val="24"/>
        </w:rPr>
        <w:t>.</w:t>
      </w:r>
    </w:p>
    <w:p w:rsidR="001F4541" w:rsidRPr="004B127E" w:rsidRDefault="001F4541" w:rsidP="003209F0">
      <w:pPr>
        <w:spacing w:after="0" w:line="240" w:lineRule="auto"/>
        <w:jc w:val="both"/>
        <w:rPr>
          <w:rFonts w:asciiTheme="majorHAnsi" w:eastAsia="Arial" w:hAnsiTheme="majorHAnsi" w:cstheme="majorHAnsi"/>
          <w:sz w:val="24"/>
          <w:szCs w:val="24"/>
        </w:rPr>
      </w:pPr>
    </w:p>
    <w:p w:rsidR="00534718" w:rsidRPr="004B127E" w:rsidRDefault="005E34C6"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QUINTO</w:t>
      </w:r>
      <w:r w:rsidR="0053148D" w:rsidRPr="004B127E">
        <w:rPr>
          <w:rFonts w:asciiTheme="majorHAnsi" w:eastAsia="Arial" w:hAnsiTheme="majorHAnsi" w:cstheme="majorHAnsi"/>
          <w:b/>
          <w:sz w:val="24"/>
          <w:szCs w:val="24"/>
        </w:rPr>
        <w:t>.-</w:t>
      </w:r>
      <w:r w:rsidR="000215CF" w:rsidRPr="004B127E">
        <w:rPr>
          <w:rFonts w:asciiTheme="majorHAnsi" w:eastAsia="Arial" w:hAnsiTheme="majorHAnsi" w:cstheme="majorHAnsi"/>
          <w:sz w:val="24"/>
          <w:szCs w:val="24"/>
        </w:rPr>
        <w:t xml:space="preserve"> </w:t>
      </w:r>
      <w:r w:rsidR="003209F0" w:rsidRPr="004B127E">
        <w:rPr>
          <w:rFonts w:asciiTheme="majorHAnsi" w:hAnsiTheme="majorHAnsi" w:cstheme="majorHAnsi"/>
          <w:sz w:val="24"/>
          <w:szCs w:val="24"/>
        </w:rPr>
        <w:t>Al momento de realizar las consideraciones para determinar que obligaciones comunes de transparencia referidas en el a</w:t>
      </w:r>
      <w:r w:rsidR="00C6216A" w:rsidRPr="004B127E">
        <w:rPr>
          <w:rFonts w:asciiTheme="majorHAnsi" w:hAnsiTheme="majorHAnsi" w:cstheme="majorHAnsi"/>
          <w:sz w:val="24"/>
          <w:szCs w:val="24"/>
        </w:rPr>
        <w:t xml:space="preserve">rtículo 70 de la Ley general le iba </w:t>
      </w:r>
      <w:r w:rsidR="003209F0" w:rsidRPr="004B127E">
        <w:rPr>
          <w:rFonts w:asciiTheme="majorHAnsi" w:hAnsiTheme="majorHAnsi" w:cstheme="majorHAnsi"/>
          <w:sz w:val="24"/>
          <w:szCs w:val="24"/>
        </w:rPr>
        <w:t>a aplicar a l</w:t>
      </w:r>
      <w:r w:rsidR="00C6216A" w:rsidRPr="004B127E">
        <w:rPr>
          <w:rFonts w:asciiTheme="majorHAnsi" w:hAnsiTheme="majorHAnsi" w:cstheme="majorHAnsi"/>
          <w:sz w:val="24"/>
          <w:szCs w:val="24"/>
        </w:rPr>
        <w:t>a Universidad Autónoma de Yucatán</w:t>
      </w:r>
      <w:r w:rsidR="003209F0" w:rsidRPr="004B127E">
        <w:rPr>
          <w:rFonts w:asciiTheme="majorHAnsi" w:hAnsiTheme="majorHAnsi" w:cstheme="majorHAnsi"/>
          <w:sz w:val="24"/>
          <w:szCs w:val="24"/>
        </w:rPr>
        <w:t xml:space="preserve">, y cuáles no, identificamos que existen obligaciones comunes con equivalencia en alguna obligación específica, es decir las referidas en </w:t>
      </w:r>
      <w:r w:rsidR="003A01CC" w:rsidRPr="004B127E">
        <w:rPr>
          <w:rFonts w:asciiTheme="majorHAnsi" w:hAnsiTheme="majorHAnsi" w:cstheme="majorHAnsi"/>
          <w:sz w:val="24"/>
          <w:szCs w:val="24"/>
        </w:rPr>
        <w:t>el artículo</w:t>
      </w:r>
      <w:r w:rsidR="003209F0" w:rsidRPr="004B127E">
        <w:rPr>
          <w:rFonts w:asciiTheme="majorHAnsi" w:hAnsiTheme="majorHAnsi" w:cstheme="majorHAnsi"/>
          <w:sz w:val="24"/>
          <w:szCs w:val="24"/>
        </w:rPr>
        <w:t xml:space="preserve"> 7</w:t>
      </w:r>
      <w:r w:rsidR="00C6216A" w:rsidRPr="004B127E">
        <w:rPr>
          <w:rFonts w:asciiTheme="majorHAnsi" w:hAnsiTheme="majorHAnsi" w:cstheme="majorHAnsi"/>
          <w:sz w:val="24"/>
          <w:szCs w:val="24"/>
        </w:rPr>
        <w:t>5</w:t>
      </w:r>
      <w:r w:rsidR="003209F0" w:rsidRPr="004B127E">
        <w:rPr>
          <w:rFonts w:asciiTheme="majorHAnsi" w:hAnsiTheme="majorHAnsi" w:cstheme="majorHAnsi"/>
          <w:sz w:val="24"/>
          <w:szCs w:val="24"/>
        </w:rPr>
        <w:t xml:space="preserve"> de la Ley general; en tal razón se determina que a través de la información publicada en la obligación específica correspondiente, es que el sujeto obligado cumplirá con la obligación común.</w:t>
      </w:r>
    </w:p>
    <w:p w:rsidR="00534718" w:rsidRPr="004B127E" w:rsidRDefault="00534718" w:rsidP="003209F0">
      <w:pPr>
        <w:spacing w:after="0" w:line="240" w:lineRule="auto"/>
        <w:jc w:val="both"/>
        <w:rPr>
          <w:rFonts w:asciiTheme="majorHAnsi" w:eastAsia="Arial" w:hAnsiTheme="majorHAnsi" w:cstheme="majorHAnsi"/>
          <w:sz w:val="24"/>
          <w:szCs w:val="24"/>
        </w:rPr>
      </w:pPr>
    </w:p>
    <w:p w:rsidR="002A16A1" w:rsidRPr="004B127E" w:rsidRDefault="00534718"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SEXTO.- </w:t>
      </w:r>
      <w:r w:rsidR="00FC7186" w:rsidRPr="004B127E">
        <w:rPr>
          <w:rFonts w:asciiTheme="majorHAnsi" w:eastAsia="Arial" w:hAnsiTheme="majorHAnsi" w:cstheme="majorHAnsi"/>
          <w:sz w:val="24"/>
          <w:szCs w:val="24"/>
        </w:rPr>
        <w:t>Para poder determinar</w:t>
      </w:r>
      <w:r w:rsidR="005C41D3" w:rsidRPr="004B127E">
        <w:rPr>
          <w:rFonts w:asciiTheme="majorHAnsi" w:eastAsia="Arial" w:hAnsiTheme="majorHAnsi" w:cstheme="majorHAnsi"/>
          <w:sz w:val="24"/>
          <w:szCs w:val="24"/>
        </w:rPr>
        <w:t xml:space="preserve"> la aplicabilidad de las obligacio</w:t>
      </w:r>
      <w:r w:rsidRPr="004B127E">
        <w:rPr>
          <w:rFonts w:asciiTheme="majorHAnsi" w:eastAsia="Arial" w:hAnsiTheme="majorHAnsi" w:cstheme="majorHAnsi"/>
          <w:sz w:val="24"/>
          <w:szCs w:val="24"/>
        </w:rPr>
        <w:t xml:space="preserve">nes de transparencia comunes </w:t>
      </w:r>
      <w:r w:rsidR="002F09D7" w:rsidRPr="004B127E">
        <w:rPr>
          <w:rFonts w:asciiTheme="majorHAnsi" w:eastAsia="Arial" w:hAnsiTheme="majorHAnsi" w:cstheme="majorHAnsi"/>
          <w:sz w:val="24"/>
          <w:szCs w:val="24"/>
        </w:rPr>
        <w:t>de</w:t>
      </w:r>
      <w:r w:rsidR="00C6216A" w:rsidRPr="004B127E">
        <w:rPr>
          <w:rFonts w:asciiTheme="majorHAnsi" w:eastAsia="Arial" w:hAnsiTheme="majorHAnsi" w:cstheme="majorHAnsi"/>
          <w:sz w:val="24"/>
          <w:szCs w:val="24"/>
        </w:rPr>
        <w:t xml:space="preserve"> la Universidad Autónoma de Yucatán</w:t>
      </w:r>
      <w:r w:rsidR="005C41D3" w:rsidRPr="004B127E">
        <w:rPr>
          <w:rFonts w:asciiTheme="majorHAnsi" w:eastAsia="Arial" w:hAnsiTheme="majorHAnsi" w:cstheme="majorHAnsi"/>
          <w:sz w:val="24"/>
          <w:szCs w:val="24"/>
        </w:rPr>
        <w:t>, se consideró la naturaleza jurídica de est</w:t>
      </w:r>
      <w:r w:rsidR="00C6216A" w:rsidRPr="004B127E">
        <w:rPr>
          <w:rFonts w:asciiTheme="majorHAnsi" w:eastAsia="Arial" w:hAnsiTheme="majorHAnsi" w:cstheme="majorHAnsi"/>
          <w:sz w:val="24"/>
          <w:szCs w:val="24"/>
        </w:rPr>
        <w:t>e</w:t>
      </w:r>
      <w:r w:rsidR="005C41D3" w:rsidRPr="004B127E">
        <w:rPr>
          <w:rFonts w:asciiTheme="majorHAnsi" w:eastAsia="Arial" w:hAnsiTheme="majorHAnsi" w:cstheme="majorHAnsi"/>
          <w:sz w:val="24"/>
          <w:szCs w:val="24"/>
        </w:rPr>
        <w:t xml:space="preserve"> </w:t>
      </w:r>
      <w:r w:rsidR="00C6216A" w:rsidRPr="004B127E">
        <w:rPr>
          <w:rFonts w:asciiTheme="majorHAnsi" w:eastAsia="Arial" w:hAnsiTheme="majorHAnsi" w:cstheme="majorHAnsi"/>
          <w:sz w:val="24"/>
          <w:szCs w:val="24"/>
        </w:rPr>
        <w:t>sujeto obligado</w:t>
      </w:r>
      <w:r w:rsidR="00FC7186" w:rsidRPr="004B127E">
        <w:rPr>
          <w:rFonts w:asciiTheme="majorHAnsi" w:eastAsia="Arial" w:hAnsiTheme="majorHAnsi" w:cstheme="majorHAnsi"/>
          <w:sz w:val="24"/>
          <w:szCs w:val="24"/>
        </w:rPr>
        <w:t>, así como de sus funciones, atribuciones y competencias</w:t>
      </w:r>
      <w:r w:rsidRPr="004B127E">
        <w:rPr>
          <w:rFonts w:asciiTheme="majorHAnsi" w:eastAsia="Arial" w:hAnsiTheme="majorHAnsi" w:cstheme="majorHAnsi"/>
          <w:sz w:val="24"/>
          <w:szCs w:val="24"/>
        </w:rPr>
        <w:t xml:space="preserve"> establecidas en sus leyes y reglamentos</w:t>
      </w:r>
      <w:r w:rsidR="00FC7186" w:rsidRPr="004B127E">
        <w:rPr>
          <w:rFonts w:asciiTheme="majorHAnsi" w:eastAsia="Arial" w:hAnsiTheme="majorHAnsi" w:cstheme="majorHAnsi"/>
          <w:sz w:val="24"/>
          <w:szCs w:val="24"/>
        </w:rPr>
        <w:t>; por lo que con base en lo anterior, se determinó que obligaci</w:t>
      </w:r>
      <w:r w:rsidR="005E34C6" w:rsidRPr="004B127E">
        <w:rPr>
          <w:rFonts w:asciiTheme="majorHAnsi" w:eastAsia="Arial" w:hAnsiTheme="majorHAnsi" w:cstheme="majorHAnsi"/>
          <w:sz w:val="24"/>
          <w:szCs w:val="24"/>
        </w:rPr>
        <w:t>ones de transparencia comunes</w:t>
      </w:r>
      <w:r w:rsidR="00FC7186" w:rsidRPr="004B127E">
        <w:rPr>
          <w:rFonts w:asciiTheme="majorHAnsi" w:eastAsia="Arial" w:hAnsiTheme="majorHAnsi" w:cstheme="majorHAnsi"/>
          <w:sz w:val="24"/>
          <w:szCs w:val="24"/>
        </w:rPr>
        <w:t xml:space="preserve"> les iban a aplicar y cuáles no, de conformidad con lo siguiente:</w:t>
      </w:r>
    </w:p>
    <w:p w:rsidR="00FC7186" w:rsidRPr="004B127E" w:rsidRDefault="00FC7186" w:rsidP="003209F0">
      <w:pPr>
        <w:spacing w:after="0" w:line="240" w:lineRule="auto"/>
        <w:jc w:val="both"/>
        <w:rPr>
          <w:rFonts w:asciiTheme="majorHAnsi" w:eastAsia="Arial" w:hAnsiTheme="majorHAnsi" w:cstheme="majorHAnsi"/>
          <w:sz w:val="24"/>
          <w:szCs w:val="24"/>
        </w:rPr>
      </w:pPr>
    </w:p>
    <w:p w:rsidR="00CC2452" w:rsidRPr="004B127E" w:rsidRDefault="00C6216A" w:rsidP="00CC2452">
      <w:pPr>
        <w:shd w:val="clear" w:color="auto" w:fill="FFFFFF" w:themeFill="background1"/>
        <w:rPr>
          <w:rFonts w:asciiTheme="majorHAnsi" w:hAnsiTheme="majorHAnsi" w:cstheme="majorHAnsi"/>
          <w:b/>
          <w:color w:val="000000"/>
          <w:sz w:val="24"/>
          <w:szCs w:val="24"/>
          <w:shd w:val="clear" w:color="auto" w:fill="FFFFFF"/>
        </w:rPr>
      </w:pPr>
      <w:r w:rsidRPr="004B127E">
        <w:rPr>
          <w:rFonts w:asciiTheme="majorHAnsi" w:hAnsiTheme="majorHAnsi" w:cstheme="majorHAnsi"/>
          <w:b/>
          <w:color w:val="000000"/>
          <w:sz w:val="24"/>
          <w:szCs w:val="24"/>
          <w:shd w:val="clear" w:color="auto" w:fill="FFFFFF"/>
        </w:rPr>
        <w:t>31-07</w:t>
      </w:r>
      <w:r w:rsidR="00CC2452" w:rsidRPr="004B127E">
        <w:rPr>
          <w:rFonts w:asciiTheme="majorHAnsi" w:hAnsiTheme="majorHAnsi" w:cstheme="majorHAnsi"/>
          <w:b/>
          <w:color w:val="000000"/>
          <w:sz w:val="24"/>
          <w:szCs w:val="24"/>
          <w:shd w:val="clear" w:color="auto" w:fill="FFFFFF"/>
        </w:rPr>
        <w:t xml:space="preserve">-01-001 – </w:t>
      </w:r>
      <w:r w:rsidRPr="004B127E">
        <w:rPr>
          <w:rFonts w:asciiTheme="majorHAnsi" w:hAnsiTheme="majorHAnsi" w:cstheme="majorHAnsi"/>
          <w:b/>
          <w:color w:val="000000"/>
          <w:sz w:val="24"/>
          <w:szCs w:val="24"/>
          <w:shd w:val="clear" w:color="auto" w:fill="FFFFFF"/>
        </w:rPr>
        <w:t>Universidad Autónoma de Yucatán.</w:t>
      </w:r>
    </w:p>
    <w:p w:rsidR="00C6216A" w:rsidRPr="004B127E" w:rsidRDefault="00C6216A" w:rsidP="00CC2452">
      <w:pPr>
        <w:shd w:val="clear" w:color="auto" w:fill="FFFFFF" w:themeFill="background1"/>
        <w:rPr>
          <w:rFonts w:asciiTheme="majorHAnsi" w:hAnsiTheme="majorHAnsi" w:cstheme="majorHAnsi"/>
          <w:b/>
          <w:color w:val="000000"/>
          <w:sz w:val="24"/>
          <w:szCs w:val="24"/>
          <w:shd w:val="clear" w:color="auto" w:fill="FFFFFF"/>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C6216A" w:rsidRPr="004B127E" w:rsidTr="00CF0221">
        <w:trPr>
          <w:trHeight w:val="501"/>
          <w:tblHeade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C6216A" w:rsidRPr="004B127E" w:rsidRDefault="00C6216A" w:rsidP="00CF0221">
            <w:pPr>
              <w:spacing w:after="0" w:line="240" w:lineRule="auto"/>
              <w:jc w:val="center"/>
              <w:rPr>
                <w:rFonts w:asciiTheme="majorHAnsi" w:eastAsia="Times New Roman" w:hAnsiTheme="majorHAnsi" w:cstheme="majorHAnsi"/>
                <w:b/>
                <w:bCs/>
                <w:sz w:val="24"/>
                <w:szCs w:val="24"/>
                <w:lang w:eastAsia="es-MX"/>
              </w:rPr>
            </w:pPr>
            <w:r w:rsidRPr="004B127E">
              <w:rPr>
                <w:rFonts w:asciiTheme="majorHAnsi" w:eastAsia="Times New Roman" w:hAnsiTheme="majorHAnsi" w:cstheme="majorHAnsi"/>
                <w:b/>
                <w:bCs/>
                <w:sz w:val="24"/>
                <w:szCs w:val="24"/>
                <w:lang w:eastAsia="es-MX"/>
              </w:rPr>
              <w:t>FRACCIÓN</w:t>
            </w:r>
          </w:p>
        </w:tc>
        <w:tc>
          <w:tcPr>
            <w:tcW w:w="439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rsidR="00C6216A" w:rsidRPr="004B127E" w:rsidRDefault="00C6216A" w:rsidP="00CF0221">
            <w:pPr>
              <w:spacing w:after="0" w:line="240" w:lineRule="auto"/>
              <w:jc w:val="center"/>
              <w:rPr>
                <w:rFonts w:asciiTheme="majorHAnsi" w:eastAsia="Times New Roman" w:hAnsiTheme="majorHAnsi" w:cstheme="majorHAnsi"/>
                <w:b/>
                <w:bCs/>
                <w:sz w:val="24"/>
                <w:szCs w:val="24"/>
                <w:lang w:eastAsia="es-MX"/>
              </w:rPr>
            </w:pPr>
            <w:r w:rsidRPr="004B127E">
              <w:rPr>
                <w:rFonts w:asciiTheme="majorHAnsi" w:eastAsia="Times New Roman" w:hAnsiTheme="majorHAnsi" w:cstheme="majorHAnsi"/>
                <w:b/>
                <w:bCs/>
                <w:sz w:val="24"/>
                <w:szCs w:val="24"/>
                <w:lang w:eastAsia="es-MX"/>
              </w:rPr>
              <w:t>APLICABLE / NO APLICABLE</w:t>
            </w:r>
          </w:p>
        </w:tc>
      </w:tr>
      <w:tr w:rsidR="00C6216A" w:rsidRPr="004B127E" w:rsidTr="00CF0221">
        <w:trPr>
          <w:trHeight w:val="1967"/>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color w:val="000000"/>
                <w:sz w:val="24"/>
                <w:szCs w:val="24"/>
                <w:lang w:eastAsia="es-MX"/>
              </w:rPr>
              <w:t xml:space="preserve">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 </w:t>
            </w:r>
          </w:p>
        </w:tc>
      </w:tr>
      <w:tr w:rsidR="00C6216A" w:rsidRPr="004B127E" w:rsidTr="00CF0221">
        <w:trPr>
          <w:trHeight w:val="538"/>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before="31" w:after="0" w:line="240" w:lineRule="auto"/>
              <w:ind w:left="118" w:right="54"/>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toda vez que de conformidad con lo señalado en el artículo 8 de la Ley Orgánica de la Universidad Autónoma de Yucatán y el Estatuto General de la Universidad Autónoma de Yucatán, se encuentran reguladas las bases de su organización, así como las facultades y funciones que correspondan a las distintas áreas que lo integran.</w:t>
            </w:r>
          </w:p>
        </w:tc>
      </w:tr>
      <w:tr w:rsidR="00C6216A" w:rsidRPr="004B127E" w:rsidTr="00CF0221">
        <w:trPr>
          <w:trHeight w:val="123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facultades de cada Área;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de conformidad con lo señalado en los artículos 15, 18 y 23 de la Ley Orgánica de la Universidad Autónoma de Yucatán, así como de lo señalado en el Estatuto General de la Universidad Autónoma de Yucatán, ya que de conformidad con el artículo 3 de dicho estatuto, en él se define y determina el funcionamiento y la organización de todas las dependencias necesarias para el cumplimiento de las finalidades de la Universidad, por lo que a través del mismo se establecen las bases de su organización, así como las facultades y funciones que correspondan a las distintas áreas que lo integran.</w:t>
            </w:r>
          </w:p>
        </w:tc>
      </w:tr>
      <w:tr w:rsidR="00C6216A" w:rsidRPr="004B127E" w:rsidTr="00CF0221">
        <w:trPr>
          <w:trHeight w:val="1028"/>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metas y objetivos de las Áreas de conformidad con sus programas operativos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color w:val="000000" w:themeColor="text1"/>
                <w:sz w:val="24"/>
                <w:szCs w:val="24"/>
                <w:lang w:eastAsia="es-MX"/>
              </w:rPr>
              <w:t xml:space="preserve">Le es aplicable, toda vez que de conformidad con lo señalado en el Capítulo Noveno del </w:t>
            </w:r>
            <w:r w:rsidRPr="004B127E">
              <w:rPr>
                <w:rFonts w:asciiTheme="majorHAnsi" w:eastAsia="Times New Roman" w:hAnsiTheme="majorHAnsi" w:cstheme="majorHAnsi"/>
                <w:sz w:val="24"/>
                <w:szCs w:val="24"/>
                <w:lang w:eastAsia="es-MX"/>
              </w:rPr>
              <w:t xml:space="preserve">Estatuto General de la Universidad Autónoma de Yucatán, se encuentra dentro del ámbito de sus facultades, competencias y funciones; aunado a lo anterior, el </w:t>
            </w:r>
            <w:r w:rsidRPr="004B127E">
              <w:rPr>
                <w:rFonts w:asciiTheme="majorHAnsi" w:eastAsia="Times New Roman" w:hAnsiTheme="majorHAnsi" w:cstheme="majorHAnsi"/>
                <w:color w:val="000000" w:themeColor="text1"/>
                <w:sz w:val="24"/>
                <w:szCs w:val="24"/>
                <w:lang w:eastAsia="es-MX"/>
              </w:rPr>
              <w:t>artículo 33 y la fracción III del artículo 34 de la Ley del Presupuesto y Contabilidad Gubernamental del Estado de Yucatán, disponen que todos los anteproyectos de presupuesto de los Organismos Autónomos, contendrán el Programa Operativo Anual, donde se señalará las metas e indicadores de desempeño necesarios para medir el cumplimiento de los programas.</w:t>
            </w:r>
          </w:p>
        </w:tc>
      </w:tr>
      <w:tr w:rsidR="00C6216A" w:rsidRPr="004B127E" w:rsidTr="00CF0221">
        <w:trPr>
          <w:trHeight w:val="7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b/>
                <w:bCs/>
                <w:sz w:val="24"/>
                <w:szCs w:val="24"/>
                <w:highlight w:val="red"/>
                <w:lang w:eastAsia="es-MX"/>
              </w:rPr>
            </w:pPr>
            <w:r w:rsidRPr="004B127E">
              <w:rPr>
                <w:rFonts w:asciiTheme="majorHAnsi" w:eastAsia="Times New Roman" w:hAnsiTheme="majorHAnsi" w:cstheme="majorHAnsi"/>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w:t>
            </w:r>
          </w:p>
        </w:tc>
      </w:tr>
      <w:tr w:rsidR="00C6216A" w:rsidRPr="004B127E" w:rsidTr="00CF0221">
        <w:trPr>
          <w:trHeight w:val="172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indicadores que permitan rendir cuenta de sus objetivos y resultados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los artículos 4 último párrafo y 33 de la Ley del Presupuesto y Contabilidad Gubernamental del Estado de Yucatán, donde se señala que los organismos autónomos incluirán los indicadores de desempeño que faciliten el examen de sus proyectos de presupuesto de egresos.</w:t>
            </w:r>
          </w:p>
        </w:tc>
      </w:tr>
      <w:tr w:rsidR="00C6216A" w:rsidRPr="004B127E" w:rsidTr="00CF0221">
        <w:trPr>
          <w:trHeight w:val="6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C6216A" w:rsidRPr="004B127E" w:rsidTr="00CF0221">
        <w:trPr>
          <w:trHeight w:val="913"/>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donde se establece que los organismos autónomos como ejecutores del gasto, deben incluir en sus proyectos de presupuestos de egresos el número de plazas, todas las categorías laborales de los servidores públicos, así como el desglose de las remuneraciones por salarios, prestaciones de ley y cualquier otro concepto.</w:t>
            </w:r>
          </w:p>
        </w:tc>
      </w:tr>
      <w:tr w:rsidR="00C6216A" w:rsidRPr="004B127E" w:rsidTr="00CF0221">
        <w:trPr>
          <w:trHeight w:val="117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entre ellos a los organismos autónomos, a sujetarse a las disposiciones aplicables para la autorización de gastos de representación.</w:t>
            </w:r>
          </w:p>
        </w:tc>
      </w:tr>
      <w:tr w:rsidR="00C6216A" w:rsidRPr="004B127E" w:rsidTr="00CF0221">
        <w:trPr>
          <w:trHeight w:val="537"/>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toda vez que dicho numeral establece que los ejecutores del gasto, entre ellos los organismos autónomos, deben incluir en sus proyectos de presupuestos de egresos el número de plazas, todas las categorías laborales de los servidores públicos, así como el desglose de las remuneraciones por salarios, prestaciones de ley y cualquier otro concepto.</w:t>
            </w:r>
          </w:p>
        </w:tc>
      </w:tr>
      <w:tr w:rsidR="00C6216A" w:rsidRPr="004B127E" w:rsidTr="00F77218">
        <w:trPr>
          <w:trHeight w:val="688"/>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los organismos autónomos, a contratar servicios profesionales, debiéndose sujetar a los requisitos señalados en dicho artículo.</w:t>
            </w:r>
            <w:bookmarkStart w:id="0" w:name="_GoBack"/>
            <w:bookmarkEnd w:id="0"/>
          </w:p>
        </w:tc>
      </w:tr>
      <w:tr w:rsidR="00C6216A" w:rsidRPr="004B127E" w:rsidTr="00CF0221">
        <w:trPr>
          <w:trHeight w:val="16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No le es aplicable, por no encontrarse dentro del ámbito de sus facultades, competencias y funciones; toda vez que no existe disposición normativa alguna que imponga a los funcionarios de este organismo, a rendir su declaración patrimonial, puesto que no se encuentra en el supuesto señalado en el artículo 29 de la Ley de Responsabilidades Administrativas del Estado de Yucatán, en relación con los artículos 8 fracción XVIII y 28 de la misma Ley.</w:t>
            </w:r>
          </w:p>
        </w:tc>
      </w:tr>
      <w:tr w:rsidR="00C6216A" w:rsidRPr="004B127E" w:rsidTr="00CF0221">
        <w:trPr>
          <w:trHeight w:val="98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C6216A" w:rsidRPr="004B127E" w:rsidTr="00CF0221">
        <w:trPr>
          <w:trHeight w:val="74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XIV</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convocatorias a concursos para ocupar cargos públicos y los resultados de los mismos;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el Título Quinto del Reglamento del Personal Académico de la Universidad Autónoma de Yucatán, donde se regula el procedimiento para concursos de evaluación curricular, concursos de oposición, promoción y permanencia de evaluación curricular; ahora bien, en lo relativo a los concursos de oposición, estos se reportarán en las obligaciones de transparencia específicas señaladas en el artículo 75 fracción VI de la Ley general, de conformidad con el considerando Quinto de este acuerdo.</w:t>
            </w:r>
          </w:p>
        </w:tc>
      </w:tr>
      <w:tr w:rsidR="00C6216A" w:rsidRPr="004B127E" w:rsidTr="00CF0221">
        <w:trPr>
          <w:trHeight w:val="147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No le es aplicable, toda vez que de conformidad con la Ley Orgánica de la Universidad Autónoma de Yucatán, no se encuentra dentro de sus facultades, competencias y funciones, toda vez que no desarrolla ni opera programas que impliquen el otorgamiento de subsidios, estímulos y apoyos en efectivo o en especie.</w:t>
            </w:r>
          </w:p>
        </w:tc>
      </w:tr>
      <w:tr w:rsidR="00C6216A" w:rsidRPr="004B127E" w:rsidTr="00CF0221">
        <w:trPr>
          <w:trHeight w:val="201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XVI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de conformidad con el artículo 30 de la Ley Orgánica de la Universidad Autónoma de Yucatán, las relaciones laborales entre la Universidad y su personal académico y administrativo, se regirán por los contratos colectivos de trabajo que la Universidad celebre con los respectivos sindicatos.</w:t>
            </w:r>
          </w:p>
        </w:tc>
      </w:tr>
      <w:tr w:rsidR="00C6216A" w:rsidRPr="004B127E" w:rsidTr="00CF0221">
        <w:trPr>
          <w:trHeight w:val="1362"/>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XVII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la publicación de esta información, brindará certeza a los particulares que las personas más capacitadas acorde a las áreas solicitadas, ejercerán las funciones encomendadas a este organismo autónomo, aunado a que permitirá conocer las infracciones y faltas que haya cometido el servidor público.</w:t>
            </w:r>
          </w:p>
        </w:tc>
      </w:tr>
      <w:tr w:rsidR="00C6216A" w:rsidRPr="004B127E" w:rsidTr="00CF0221">
        <w:trPr>
          <w:trHeight w:val="780"/>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XVIII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de conformidad con lo dispuesto en el artículo 66 Ter del Estatuto General de la Universidad Autónoma de Yucatán, se encuentra dentro del ámbito de sus facultades, competencias y funciones; aunado a lo anterior, los Lineamientos técnicos generales disponen que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que deberán incluir un hipervínculo al sistema de registro de sanciones administrativas que les corresponda.</w:t>
            </w:r>
          </w:p>
        </w:tc>
      </w:tr>
      <w:tr w:rsidR="00C6216A" w:rsidRPr="004B127E" w:rsidTr="00CF0221">
        <w:trPr>
          <w:trHeight w:val="25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XIX</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servicios que ofrecen señalando los requisitos para acceder a ellos;</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establecido en los Lineamientos técnicos generales, pues 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C6216A" w:rsidRPr="004B127E" w:rsidTr="00CF0221">
        <w:trPr>
          <w:trHeight w:val="50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trámites, requisitos y formatos que ofrecen;</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toda vez que de conformidad con lo señalado en el artículo 122 del Estatuto General de la Universidad Autónoma de Yucatán, la Universidad deberá gestionar los trámites administrativos que requieran efectuar los alumnos en las dependencias universitarias. </w:t>
            </w:r>
          </w:p>
        </w:tc>
      </w:tr>
      <w:tr w:rsidR="00C6216A" w:rsidRPr="004B127E" w:rsidTr="00CF0221">
        <w:trPr>
          <w:trHeight w:val="679"/>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los artículos 5 y 6</w:t>
            </w:r>
            <w:r w:rsidRPr="004B127E">
              <w:rPr>
                <w:rFonts w:asciiTheme="majorHAnsi" w:hAnsiTheme="majorHAnsi" w:cstheme="majorHAnsi"/>
                <w:sz w:val="24"/>
                <w:szCs w:val="24"/>
              </w:rPr>
              <w:t xml:space="preserve"> </w:t>
            </w:r>
            <w:proofErr w:type="gramStart"/>
            <w:r w:rsidRPr="004B127E">
              <w:rPr>
                <w:rFonts w:asciiTheme="majorHAnsi" w:hAnsiTheme="majorHAnsi" w:cstheme="majorHAnsi"/>
                <w:sz w:val="24"/>
                <w:szCs w:val="24"/>
              </w:rPr>
              <w:t>fracción</w:t>
            </w:r>
            <w:proofErr w:type="gramEnd"/>
            <w:r w:rsidRPr="004B127E">
              <w:rPr>
                <w:rFonts w:asciiTheme="majorHAnsi" w:hAnsiTheme="majorHAnsi" w:cstheme="majorHAnsi"/>
                <w:sz w:val="24"/>
                <w:szCs w:val="24"/>
              </w:rPr>
              <w:t xml:space="preserve"> I de la </w:t>
            </w:r>
            <w:r w:rsidRPr="004B127E">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entre ellos los organismos autónomos, deben generar los informes financieros, presupuestarios, programáticos y contables para la integración de la cuenta pública. </w:t>
            </w:r>
          </w:p>
        </w:tc>
      </w:tr>
      <w:tr w:rsidR="00C6216A" w:rsidRPr="004B127E" w:rsidTr="00CF0221">
        <w:trPr>
          <w:trHeight w:val="50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No le es aplicable de conformidad con los artículo 1 y 2, fracciones VIII y XII y 3 de la Ley de Deuda Pública, toda vez que los organismos autónomos no son sujetos obligados de dicha Ley, así mismo no se encuentra dentro del ámbito de sus facultades, competencias y funciones.</w:t>
            </w:r>
          </w:p>
        </w:tc>
      </w:tr>
      <w:tr w:rsidR="00C6216A" w:rsidRPr="004B127E" w:rsidTr="00CF0221">
        <w:trPr>
          <w:trHeight w:val="98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hAnsiTheme="majorHAnsi" w:cstheme="majorHAnsi"/>
                <w:sz w:val="24"/>
                <w:szCs w:val="24"/>
              </w:rPr>
            </w:pPr>
            <w:r w:rsidRPr="004B127E">
              <w:rPr>
                <w:rFonts w:asciiTheme="majorHAnsi" w:eastAsia="Times New Roman" w:hAnsiTheme="majorHAnsi" w:cstheme="majorHAnsi"/>
                <w:sz w:val="24"/>
                <w:szCs w:val="24"/>
                <w:lang w:eastAsia="es-MX"/>
              </w:rPr>
              <w:t>Le es aplicable de conformidad con lo señalado en el artículo 117 de la Ley de Presupuesto y Contabilidad Gubernamental del Estado de Yucatán, que prevé que los organismos autónomos, para la difusión de sus actividades, podrán destinar recursos presupuestales considerando la naturaleza e importancia social del contenido de la información, el requerimiento de horarios y audiencias específicos o por la falta de disponibilidad de los tiempos de transmisión asignados en los medios de comunicación estatales.</w:t>
            </w:r>
          </w:p>
        </w:tc>
      </w:tr>
      <w:tr w:rsidR="00C6216A" w:rsidRPr="004B127E" w:rsidTr="00CF0221">
        <w:trPr>
          <w:trHeight w:val="98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XXIV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los artículos 4 y 5 de la Ley de Fiscalización de la Cuenta Pública del Estado de Yucatán; y en lo que respecta a las auditorías internas, estas se refieren a las revisiones realizadas por el órgano de control interno.</w:t>
            </w:r>
          </w:p>
        </w:tc>
      </w:tr>
      <w:tr w:rsidR="00C6216A" w:rsidRPr="004B127E" w:rsidTr="00CF0221">
        <w:trPr>
          <w:trHeight w:val="50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El resultado de la </w:t>
            </w:r>
            <w:proofErr w:type="spellStart"/>
            <w:r w:rsidRPr="004B127E">
              <w:rPr>
                <w:rFonts w:asciiTheme="majorHAnsi" w:eastAsia="Times New Roman" w:hAnsiTheme="majorHAnsi" w:cstheme="majorHAnsi"/>
                <w:sz w:val="24"/>
                <w:szCs w:val="24"/>
                <w:lang w:eastAsia="es-MX"/>
              </w:rPr>
              <w:t>dictaminación</w:t>
            </w:r>
            <w:proofErr w:type="spellEnd"/>
            <w:r w:rsidRPr="004B127E">
              <w:rPr>
                <w:rFonts w:asciiTheme="majorHAnsi" w:eastAsia="Times New Roman" w:hAnsiTheme="majorHAnsi" w:cstheme="majorHAnsi"/>
                <w:sz w:val="24"/>
                <w:szCs w:val="24"/>
                <w:lang w:eastAsia="es-MX"/>
              </w:rPr>
              <w:t xml:space="preserve"> de los estados financieros;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rPr>
              <w:t>Le es aplicable, toda vez que de conformidad con el artículo 150 del Estatuto General de la Universidad Autónoma de Yucatán, los informes financieros previo a su presentación por parte del Rector al Consejo Universitario, deberán ser sometidos a la auditoría de un contador público independiente.</w:t>
            </w:r>
          </w:p>
        </w:tc>
      </w:tr>
      <w:tr w:rsidR="00C6216A" w:rsidRPr="004B127E" w:rsidTr="00CF0221">
        <w:trPr>
          <w:trHeight w:val="62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XXVI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toda vez que de conformidad con lo dispuesto en la fracción VI del artículo 5 y el artículo 137 de la Ley del Presupuesto y Contabilidad Gubernamental del Estado de Yucatán, los ejecutores del gastos, entre ellos los organismos autónomos, pueden otorgar excepcionalmente ayudas a personas físicas o morales, siempre que cuente con suficiencia presupuestal, reúna los requisitos establecidos en el reglamento y medie autorización previa.</w:t>
            </w:r>
          </w:p>
        </w:tc>
      </w:tr>
      <w:tr w:rsidR="00C6216A" w:rsidRPr="004B127E" w:rsidTr="00CF0221">
        <w:trPr>
          <w:trHeight w:val="2212"/>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XXVII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rPr>
              <w:t>Le es aplicable en lo relativo a contratos y convenios, lo anterior de conformidad con los artículos 7 fracción IX y 18 fracción X de la Ley Orgánica de la Universidad Autónoma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C6216A" w:rsidRPr="004B127E" w:rsidTr="00CF0221">
        <w:trPr>
          <w:trHeight w:val="1723"/>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XXVIII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se encuentra dentro del ámbito de sus facultades, competencias y funciones, la generación de la información a que se refiere esta fracción.</w:t>
            </w:r>
          </w:p>
        </w:tc>
      </w:tr>
      <w:tr w:rsidR="00C6216A" w:rsidRPr="004B127E" w:rsidTr="00CF0221">
        <w:trPr>
          <w:trHeight w:val="62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XXIX</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informes que por disposición legal generen los sujetos obligados;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de conformidad con lo señalado en el artículo 18, fracción VII de la Ley Orgánica de la Universidad Autónoma de Yucatán y los artículos 22, 44 fracción VIII y 149 del Estatuto General de la Universidad Autónoma de Yucatán, se encuentra dentro del ámbito de sus atribuciones, facultades, competencias y funciones.</w:t>
            </w:r>
          </w:p>
        </w:tc>
      </w:tr>
      <w:tr w:rsidR="00C6216A" w:rsidRPr="004B127E" w:rsidTr="00CF0221">
        <w:trPr>
          <w:trHeight w:val="88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sus competencias, facultades y/o funciones. </w:t>
            </w:r>
          </w:p>
        </w:tc>
      </w:tr>
      <w:tr w:rsidR="00C6216A" w:rsidRPr="004B127E" w:rsidTr="00CF0221">
        <w:trPr>
          <w:trHeight w:val="25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C6216A" w:rsidRPr="004B127E" w:rsidTr="00CF0221">
        <w:trPr>
          <w:trHeight w:val="114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Padrón de proveedores y contratistas;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toda vez que de conformidad con la Ley Orgánica de la Universidad Autónoma de Yucatán, se encuentra dentro del ámbito de sus facultades, competencias y funciones.</w:t>
            </w:r>
          </w:p>
        </w:tc>
      </w:tr>
      <w:tr w:rsidR="00C6216A" w:rsidRPr="004B127E" w:rsidTr="00CF0221">
        <w:trPr>
          <w:trHeight w:val="70"/>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convenios de coordinación de concertación con los sectores social y privado;</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rPr>
              <w:t xml:space="preserve">Le es aplicable de conformidad con el artículo 7 </w:t>
            </w:r>
            <w:proofErr w:type="gramStart"/>
            <w:r w:rsidRPr="004B127E">
              <w:rPr>
                <w:rFonts w:asciiTheme="majorHAnsi" w:eastAsia="Times New Roman" w:hAnsiTheme="majorHAnsi" w:cstheme="majorHAnsi"/>
                <w:sz w:val="24"/>
                <w:szCs w:val="24"/>
              </w:rPr>
              <w:t>fracción</w:t>
            </w:r>
            <w:proofErr w:type="gramEnd"/>
            <w:r w:rsidRPr="004B127E">
              <w:rPr>
                <w:rFonts w:asciiTheme="majorHAnsi" w:eastAsia="Times New Roman" w:hAnsiTheme="majorHAnsi" w:cstheme="majorHAnsi"/>
                <w:sz w:val="24"/>
                <w:szCs w:val="24"/>
              </w:rPr>
              <w:t xml:space="preserve"> IX de la Ley Orgánica de la Universidad Autónoma de Yucatán, pues se encuentra dentro del ámbito de sus facultades, competencias y funciones la celebración de convenios.</w:t>
            </w:r>
          </w:p>
        </w:tc>
      </w:tr>
      <w:tr w:rsidR="00C6216A" w:rsidRPr="004B127E" w:rsidTr="00CF0221">
        <w:trPr>
          <w:trHeight w:val="50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XXXIV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inventario de bienes muebles e inmuebles en posesión y propiedad;</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C6216A" w:rsidRPr="004B127E" w:rsidTr="00CF0221">
        <w:trPr>
          <w:trHeight w:val="123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Organismos Autónomos, quienes están obligados a responder dichas recomendaciones.</w:t>
            </w:r>
          </w:p>
        </w:tc>
      </w:tr>
      <w:tr w:rsidR="00C6216A" w:rsidRPr="004B127E" w:rsidTr="00CF0221">
        <w:trPr>
          <w:trHeight w:val="745"/>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XXXVI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resoluciones y laudos que se emitan en procesos o procedimientos seguidos en forma de juicio;</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de conformidad con lo señalado en los Lineamientos técnicos generales, todas las instituciones de educación superior públicas autónomas, incluirán en sus respectivos sitios de internet y en la Plataforma Nacional de Transparencia, las resoluciones emitidas por los tribunales universitarios, juntas o comisiones de honor, según corresponda.</w:t>
            </w:r>
          </w:p>
        </w:tc>
      </w:tr>
      <w:tr w:rsidR="00C6216A" w:rsidRPr="004B127E" w:rsidTr="00CF0221">
        <w:trPr>
          <w:trHeight w:val="25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XXXVII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mecanismos de participación ciudadana;</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toda vez que de conformidad con lo establecido en el artículo 5 fracción IV de la Ley Orgánica de la Universidad Autónoma de Yucatán, se encuentra dentro de sus facultades, competencias y funciones. Ya que la Universidad tiene atribuciones para desarrollar actividades con las que promueva directamente el desarrollo y el bienestar de su comunidad, siendo que en esta fracción deberá reportar los mecanismos que permitan, convoquen o fomenten la participación de las personas a través de opiniones, propuestas, manifestaciones, análisis, colaboraciones, entre otras; que estén relacionadas con la toma de decisiones de interés público y el quehacer de las instituciones.</w:t>
            </w:r>
          </w:p>
        </w:tc>
      </w:tr>
      <w:tr w:rsidR="00C6216A" w:rsidRPr="004B127E" w:rsidTr="00CF0221">
        <w:trPr>
          <w:trHeight w:val="67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XXXVIII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No le es aplicable, toda vez que de conformidad con lo establecido en el artículo 7 de la Ley Orgánica de la Universidad Autónoma de Yucatán, la generación de la información a la que se refiere esta fracción, no se encuentra dentro del ámbito de sus facultades, competencias y atribuciones, toda vez que éste no desarrolla, ni opera programas que impliquen el otorgamiento de apoyos en efectivo o en especie.</w:t>
            </w:r>
          </w:p>
        </w:tc>
      </w:tr>
      <w:tr w:rsidR="00C6216A" w:rsidRPr="004B127E" w:rsidTr="00CF0221">
        <w:trPr>
          <w:trHeight w:val="50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XXXIX</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actas y resoluciones del Comité de Transparencia de los sujetos obligados;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C6216A" w:rsidRPr="004B127E" w:rsidTr="00CF0221">
        <w:trPr>
          <w:trHeight w:val="920"/>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C6216A" w:rsidRPr="004B127E" w:rsidTr="00CF0221">
        <w:trPr>
          <w:trHeight w:val="61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estudios financiados con recursos públicos;</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toda vez que de conformidad con el artículo 5 fracción II de Ley Orgánica de la Universidad Autónoma de Yucatán, se encuentra dentro del ámbito de sus facultades, competencias y funciones; aunado a lo anterior, el sujeto obligado no se encuentra impedido a financiar estudios relacionados con el objeto para el que fue creado o con el cumplimiento del mismo.</w:t>
            </w:r>
          </w:p>
        </w:tc>
      </w:tr>
      <w:tr w:rsidR="00C6216A" w:rsidRPr="004B127E" w:rsidTr="00CF0221">
        <w:trPr>
          <w:trHeight w:val="53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listado de jubilados y pensionados y el monto que reciben;</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ya que de conformidad con el Reglamento para la Aplicación del Fondo de Jubilación del Personal Académico de la Universidad Autónoma de Yucatán, se encuentra dentro del ámbito de sus facultades, competencias y funciones.</w:t>
            </w:r>
          </w:p>
        </w:tc>
      </w:tr>
      <w:tr w:rsidR="00C6216A" w:rsidRPr="004B127E" w:rsidTr="00CF0221">
        <w:trPr>
          <w:trHeight w:val="147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tcBorders>
              <w:top w:val="single" w:sz="4" w:space="0" w:color="auto"/>
              <w:left w:val="single" w:sz="4" w:space="0" w:color="auto"/>
              <w:bottom w:val="single" w:sz="4" w:space="0" w:color="auto"/>
              <w:right w:val="single" w:sz="4" w:space="0" w:color="auto"/>
            </w:tcBorders>
            <w:vAlign w:val="center"/>
          </w:tcPr>
          <w:p w:rsidR="00C6216A" w:rsidRPr="004B127E" w:rsidRDefault="00C6216A" w:rsidP="00CF0221">
            <w:pPr>
              <w:spacing w:after="0" w:line="240" w:lineRule="auto"/>
              <w:jc w:val="both"/>
              <w:rPr>
                <w:rFonts w:asciiTheme="majorHAnsi" w:eastAsia="Times New Roman" w:hAnsiTheme="majorHAnsi" w:cstheme="majorHAnsi"/>
                <w:sz w:val="24"/>
                <w:szCs w:val="24"/>
                <w:highlight w:val="yellow"/>
                <w:lang w:eastAsia="es-MX"/>
              </w:rPr>
            </w:pPr>
            <w:r w:rsidRPr="004B127E">
              <w:rPr>
                <w:rFonts w:asciiTheme="majorHAnsi" w:eastAsia="Times New Roman" w:hAnsiTheme="majorHAnsi" w:cstheme="majorHAnsi"/>
                <w:sz w:val="24"/>
                <w:szCs w:val="24"/>
                <w:lang w:eastAsia="es-MX"/>
              </w:rPr>
              <w:t>Le es aplicable de conformidad con lo dispuesto en el artículo 25 de la Ley Orgánica de la Universidad Autónoma de Yucatán, donde se señala la forma en que se integra el patrimonio de la Universidad.</w:t>
            </w:r>
          </w:p>
        </w:tc>
      </w:tr>
      <w:tr w:rsidR="00C6216A" w:rsidRPr="004B127E" w:rsidTr="00CF0221">
        <w:trPr>
          <w:trHeight w:val="756"/>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XLIV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Donaciones hechas a terceros en dinero o en especie;</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toda vez que de conformidad con lo señalado en los artículos 3 fracción IV y 7 </w:t>
            </w:r>
            <w:proofErr w:type="gramStart"/>
            <w:r w:rsidRPr="004B127E">
              <w:rPr>
                <w:rFonts w:asciiTheme="majorHAnsi" w:eastAsia="Times New Roman" w:hAnsiTheme="majorHAnsi" w:cstheme="majorHAnsi"/>
                <w:sz w:val="24"/>
                <w:szCs w:val="24"/>
                <w:lang w:eastAsia="es-MX"/>
              </w:rPr>
              <w:t>fracción</w:t>
            </w:r>
            <w:proofErr w:type="gramEnd"/>
            <w:r w:rsidRPr="004B127E">
              <w:rPr>
                <w:rFonts w:asciiTheme="majorHAnsi" w:eastAsia="Times New Roman" w:hAnsiTheme="majorHAnsi" w:cstheme="majorHAnsi"/>
                <w:sz w:val="24"/>
                <w:szCs w:val="24"/>
                <w:lang w:eastAsia="es-MX"/>
              </w:rPr>
              <w:t xml:space="preserve"> III de la Ley de Bienes del Estado de Yucatán, se encuentra dentro del ámbito de sus competencias, facultades o funciones.</w:t>
            </w:r>
          </w:p>
        </w:tc>
      </w:tr>
      <w:tr w:rsidR="00C6216A" w:rsidRPr="004B127E" w:rsidTr="00CF0221">
        <w:trPr>
          <w:trHeight w:val="780"/>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XLV</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El catálogo de disposición y guía de archivo documental;</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3F5CC8" w:rsidP="00CF0221">
            <w:pPr>
              <w:spacing w:after="0" w:line="240" w:lineRule="auto"/>
              <w:jc w:val="both"/>
              <w:rPr>
                <w:rFonts w:asciiTheme="majorHAnsi" w:eastAsia="Times New Roman" w:hAnsiTheme="majorHAnsi" w:cstheme="majorHAnsi"/>
                <w:b/>
                <w:sz w:val="24"/>
                <w:szCs w:val="24"/>
                <w:lang w:eastAsia="es-MX"/>
              </w:rPr>
            </w:pPr>
            <w:r w:rsidRPr="003F5CC8">
              <w:rPr>
                <w:rFonts w:asciiTheme="majorHAnsi" w:eastAsia="Times New Roman" w:hAnsiTheme="majorHAnsi" w:cstheme="majorHAnsi"/>
                <w:sz w:val="24"/>
                <w:szCs w:val="24"/>
                <w:lang w:eastAsia="es-MX"/>
              </w:rPr>
              <w:t>Le es aplicable, 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 aunado a lo anterior, de conformidad con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C6216A" w:rsidRPr="004B127E" w:rsidTr="00CF0221">
        <w:trPr>
          <w:trHeight w:val="1036"/>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XLVI</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w:t>
            </w:r>
          </w:p>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 xml:space="preserve">En el caso de que el sujeto obligado no haya llevado a cabo ningún tipo de sesión del que se deriven actas, opiniones y recomendaciones por parte de los consejos consultivos, o que no cuente con esta figura, de conformidad con los Lineamientos técnicos generales deberá especificarlo mediante una leyenda motivada, fundamentada y actualizada al periodo correspondiente. </w:t>
            </w:r>
          </w:p>
        </w:tc>
      </w:tr>
      <w:tr w:rsidR="00C6216A" w:rsidRPr="004B127E" w:rsidTr="00CF0221">
        <w:trPr>
          <w:trHeight w:val="123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XLVII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color w:val="000000"/>
                <w:sz w:val="24"/>
                <w:szCs w:val="24"/>
                <w:lang w:eastAsia="es-MX"/>
              </w:rPr>
            </w:pPr>
            <w:r w:rsidRPr="004B127E">
              <w:rPr>
                <w:rFonts w:asciiTheme="majorHAnsi" w:eastAsia="Times New Roman" w:hAnsiTheme="majorHAnsi" w:cstheme="majorHAnsi"/>
                <w:color w:val="000000"/>
                <w:sz w:val="24"/>
                <w:szCs w:val="24"/>
                <w:lang w:eastAsia="es-MX"/>
              </w:rPr>
              <w:t xml:space="preserve">No le es aplicable, toda vez que no se encuentra dentro de su ámbito de competencias, facultades o funciones; ya que </w:t>
            </w:r>
            <w:r w:rsidRPr="004B127E">
              <w:rPr>
                <w:rFonts w:asciiTheme="majorHAnsi" w:hAnsiTheme="majorHAnsi" w:cstheme="majorHAnsi"/>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C6216A" w:rsidRPr="004B127E" w:rsidTr="00CF0221">
        <w:trPr>
          <w:trHeight w:val="123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center"/>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XLVIII</w:t>
            </w:r>
          </w:p>
        </w:tc>
        <w:tc>
          <w:tcPr>
            <w:tcW w:w="4106"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tcBorders>
              <w:top w:val="single" w:sz="4" w:space="0" w:color="auto"/>
              <w:left w:val="single" w:sz="4" w:space="0" w:color="auto"/>
              <w:bottom w:val="single" w:sz="4" w:space="0" w:color="auto"/>
              <w:right w:val="single" w:sz="4" w:space="0" w:color="auto"/>
            </w:tcBorders>
            <w:vAlign w:val="center"/>
            <w:hideMark/>
          </w:tcPr>
          <w:p w:rsidR="00C6216A" w:rsidRPr="004B127E" w:rsidRDefault="00C6216A" w:rsidP="00CF0221">
            <w:pPr>
              <w:spacing w:after="0" w:line="240" w:lineRule="auto"/>
              <w:jc w:val="both"/>
              <w:rPr>
                <w:rFonts w:asciiTheme="majorHAnsi" w:eastAsia="Times New Roman" w:hAnsiTheme="majorHAnsi" w:cstheme="majorHAnsi"/>
                <w:sz w:val="24"/>
                <w:szCs w:val="24"/>
                <w:lang w:eastAsia="es-MX"/>
              </w:rPr>
            </w:pPr>
            <w:r w:rsidRPr="004B127E">
              <w:rPr>
                <w:rFonts w:asciiTheme="majorHAnsi" w:eastAsia="Times New Roman" w:hAnsiTheme="majorHAnsi" w:cstheme="majorHAnsi"/>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C6216A" w:rsidRPr="004B127E" w:rsidRDefault="00C6216A" w:rsidP="00CC2452">
      <w:pPr>
        <w:shd w:val="clear" w:color="auto" w:fill="FFFFFF" w:themeFill="background1"/>
        <w:rPr>
          <w:rFonts w:asciiTheme="majorHAnsi" w:hAnsiTheme="majorHAnsi" w:cstheme="majorHAnsi"/>
          <w:b/>
          <w:color w:val="000000"/>
          <w:sz w:val="24"/>
          <w:szCs w:val="24"/>
          <w:shd w:val="clear" w:color="auto" w:fill="FFFFFF"/>
        </w:rPr>
      </w:pPr>
    </w:p>
    <w:p w:rsidR="00C6216A" w:rsidRPr="004B127E" w:rsidRDefault="00CF0221" w:rsidP="00CF0221">
      <w:pPr>
        <w:shd w:val="clear" w:color="auto" w:fill="FFFFFF" w:themeFill="background1"/>
        <w:jc w:val="both"/>
        <w:rPr>
          <w:rFonts w:asciiTheme="majorHAnsi" w:hAnsiTheme="majorHAnsi" w:cstheme="majorHAnsi"/>
          <w:color w:val="000000"/>
          <w:sz w:val="24"/>
          <w:szCs w:val="24"/>
          <w:shd w:val="clear" w:color="auto" w:fill="FFFFFF"/>
        </w:rPr>
      </w:pPr>
      <w:r w:rsidRPr="004B127E">
        <w:rPr>
          <w:rFonts w:asciiTheme="majorHAnsi" w:hAnsiTheme="majorHAnsi" w:cstheme="majorHAnsi"/>
          <w:b/>
          <w:color w:val="000000"/>
          <w:sz w:val="24"/>
          <w:szCs w:val="24"/>
          <w:shd w:val="clear" w:color="auto" w:fill="FFFFFF"/>
        </w:rPr>
        <w:t>SÉPTIMO.-</w:t>
      </w:r>
      <w:r w:rsidR="00C6216A" w:rsidRPr="004B127E">
        <w:rPr>
          <w:rFonts w:asciiTheme="majorHAnsi" w:hAnsiTheme="majorHAnsi" w:cstheme="majorHAnsi"/>
          <w:b/>
          <w:color w:val="000000"/>
          <w:sz w:val="24"/>
          <w:szCs w:val="24"/>
          <w:shd w:val="clear" w:color="auto" w:fill="FFFFFF"/>
        </w:rPr>
        <w:t xml:space="preserve"> </w:t>
      </w:r>
      <w:r w:rsidR="00F00160" w:rsidRPr="004B127E">
        <w:rPr>
          <w:rFonts w:asciiTheme="majorHAnsi" w:hAnsiTheme="majorHAnsi" w:cstheme="majorHAnsi"/>
          <w:color w:val="000000"/>
          <w:sz w:val="24"/>
          <w:szCs w:val="24"/>
          <w:shd w:val="clear" w:color="auto" w:fill="FFFFFF"/>
        </w:rPr>
        <w:t xml:space="preserve">De conformidad con lo señalado en el artículo primero de la Ley Orgánica de la Universidad Autónoma de Yucatán, </w:t>
      </w:r>
      <w:r w:rsidR="00F00160" w:rsidRPr="004B127E">
        <w:rPr>
          <w:rFonts w:asciiTheme="majorHAnsi" w:hAnsiTheme="majorHAnsi" w:cstheme="majorHAnsi"/>
          <w:sz w:val="24"/>
          <w:szCs w:val="24"/>
        </w:rPr>
        <w:t xml:space="preserve">la Universidad de Yucatán es una institución de enseñanza superior, Autónoma por Ley, descentralizada del Estado, para organizar, administrar y desarrollar sus fines, con plena capacidad, personalidad jurídica y patrimonio propio; por tal motivo, le serán aplicables todas y cada una de las obligaciones </w:t>
      </w:r>
      <w:r w:rsidRPr="004B127E">
        <w:rPr>
          <w:rFonts w:asciiTheme="majorHAnsi" w:hAnsiTheme="majorHAnsi" w:cstheme="majorHAnsi"/>
          <w:sz w:val="24"/>
          <w:szCs w:val="24"/>
        </w:rPr>
        <w:t>referidas en el artículo 75 de la Ley general de transparencia.</w:t>
      </w:r>
    </w:p>
    <w:p w:rsidR="00942CA0" w:rsidRPr="004B127E" w:rsidRDefault="00942CA0" w:rsidP="003209F0">
      <w:pPr>
        <w:spacing w:after="160" w:line="259" w:lineRule="auto"/>
        <w:rPr>
          <w:rFonts w:asciiTheme="majorHAnsi" w:hAnsiTheme="majorHAnsi" w:cstheme="majorHAnsi"/>
          <w:sz w:val="24"/>
          <w:szCs w:val="24"/>
        </w:rPr>
      </w:pPr>
      <w:r w:rsidRPr="004B127E">
        <w:rPr>
          <w:rFonts w:asciiTheme="majorHAnsi" w:hAnsiTheme="majorHAnsi" w:cstheme="majorHAnsi"/>
          <w:sz w:val="24"/>
          <w:szCs w:val="24"/>
        </w:rPr>
        <w:br w:type="page"/>
      </w:r>
    </w:p>
    <w:p w:rsidR="00E618FF" w:rsidRPr="004B127E" w:rsidRDefault="00E618FF" w:rsidP="003209F0">
      <w:pPr>
        <w:spacing w:after="0" w:line="240" w:lineRule="auto"/>
        <w:rPr>
          <w:rFonts w:asciiTheme="majorHAnsi" w:hAnsiTheme="majorHAnsi" w:cstheme="majorHAnsi"/>
          <w:sz w:val="24"/>
          <w:szCs w:val="24"/>
        </w:rPr>
      </w:pPr>
    </w:p>
    <w:p w:rsidR="00C10F91" w:rsidRPr="004B127E" w:rsidRDefault="00C10F91"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sz w:val="24"/>
          <w:szCs w:val="24"/>
        </w:rPr>
        <w:t>En tal razón, se acuerda:</w:t>
      </w:r>
    </w:p>
    <w:p w:rsidR="00C10F91" w:rsidRPr="004B127E" w:rsidRDefault="00C10F91" w:rsidP="003209F0">
      <w:pPr>
        <w:spacing w:after="0" w:line="240" w:lineRule="auto"/>
        <w:jc w:val="both"/>
        <w:rPr>
          <w:rFonts w:asciiTheme="majorHAnsi" w:eastAsia="Arial" w:hAnsiTheme="majorHAnsi" w:cstheme="majorHAnsi"/>
          <w:sz w:val="24"/>
          <w:szCs w:val="24"/>
        </w:rPr>
      </w:pPr>
    </w:p>
    <w:p w:rsidR="00C10F91" w:rsidRPr="004B127E" w:rsidRDefault="00C10F91"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PRIMERO.- </w:t>
      </w:r>
      <w:r w:rsidRPr="004B127E">
        <w:rPr>
          <w:rFonts w:asciiTheme="majorHAnsi" w:eastAsia="Arial" w:hAnsiTheme="majorHAnsi" w:cstheme="majorHAnsi"/>
          <w:sz w:val="24"/>
          <w:szCs w:val="24"/>
        </w:rPr>
        <w:t>Se aprueba</w:t>
      </w:r>
      <w:r w:rsidR="00CF0221" w:rsidRPr="004B127E">
        <w:rPr>
          <w:rFonts w:asciiTheme="majorHAnsi" w:eastAsia="Arial" w:hAnsiTheme="majorHAnsi" w:cstheme="majorHAnsi"/>
          <w:sz w:val="24"/>
          <w:szCs w:val="24"/>
        </w:rPr>
        <w:t xml:space="preserve"> la tabla </w:t>
      </w:r>
      <w:r w:rsidR="00EB36F2" w:rsidRPr="004B127E">
        <w:rPr>
          <w:rFonts w:asciiTheme="majorHAnsi" w:eastAsia="Arial" w:hAnsiTheme="majorHAnsi" w:cstheme="majorHAnsi"/>
          <w:sz w:val="24"/>
          <w:szCs w:val="24"/>
        </w:rPr>
        <w:t>de aplicabilidad de las obligaciones de transparencia comunes de l</w:t>
      </w:r>
      <w:r w:rsidR="00CF0221" w:rsidRPr="004B127E">
        <w:rPr>
          <w:rFonts w:asciiTheme="majorHAnsi" w:eastAsia="Arial" w:hAnsiTheme="majorHAnsi" w:cstheme="majorHAnsi"/>
          <w:sz w:val="24"/>
          <w:szCs w:val="24"/>
        </w:rPr>
        <w:t>a Universidad Autónoma de Yucatán</w:t>
      </w:r>
      <w:r w:rsidRPr="004B127E">
        <w:rPr>
          <w:rFonts w:asciiTheme="majorHAnsi" w:eastAsia="Arial" w:hAnsiTheme="majorHAnsi" w:cstheme="majorHAnsi"/>
          <w:sz w:val="24"/>
          <w:szCs w:val="24"/>
        </w:rPr>
        <w:t xml:space="preserve">, de conformidad </w:t>
      </w:r>
      <w:r w:rsidR="001F06C3" w:rsidRPr="004B127E">
        <w:rPr>
          <w:rFonts w:asciiTheme="majorHAnsi" w:eastAsia="Arial" w:hAnsiTheme="majorHAnsi" w:cstheme="majorHAnsi"/>
          <w:sz w:val="24"/>
          <w:szCs w:val="24"/>
        </w:rPr>
        <w:t>con el considerando</w:t>
      </w:r>
      <w:r w:rsidRPr="004B127E">
        <w:rPr>
          <w:rFonts w:asciiTheme="majorHAnsi" w:eastAsia="Arial" w:hAnsiTheme="majorHAnsi" w:cstheme="majorHAnsi"/>
          <w:sz w:val="24"/>
          <w:szCs w:val="24"/>
        </w:rPr>
        <w:t xml:space="preserve"> </w:t>
      </w:r>
      <w:r w:rsidR="0085476E" w:rsidRPr="004B127E">
        <w:rPr>
          <w:rFonts w:asciiTheme="majorHAnsi" w:eastAsia="Arial" w:hAnsiTheme="majorHAnsi" w:cstheme="majorHAnsi"/>
          <w:sz w:val="24"/>
          <w:szCs w:val="24"/>
        </w:rPr>
        <w:t>sexto</w:t>
      </w:r>
      <w:r w:rsidR="00CF0221" w:rsidRPr="004B127E">
        <w:rPr>
          <w:rFonts w:asciiTheme="majorHAnsi" w:eastAsia="Arial" w:hAnsiTheme="majorHAnsi" w:cstheme="majorHAnsi"/>
          <w:sz w:val="24"/>
          <w:szCs w:val="24"/>
        </w:rPr>
        <w:t>; y se determina que le serán aplicables las obligaciones de transparencia específicas referidas en el artículo 75 de la Ley general de transparencia, de conformidad con lo señalado en el considerando séptimo.</w:t>
      </w:r>
    </w:p>
    <w:p w:rsidR="00C10F91" w:rsidRPr="004B127E" w:rsidRDefault="00C10F91" w:rsidP="003209F0">
      <w:pPr>
        <w:spacing w:after="0" w:line="240" w:lineRule="auto"/>
        <w:jc w:val="both"/>
        <w:rPr>
          <w:rFonts w:asciiTheme="majorHAnsi" w:eastAsia="Arial" w:hAnsiTheme="majorHAnsi" w:cstheme="majorHAnsi"/>
          <w:sz w:val="24"/>
          <w:szCs w:val="24"/>
        </w:rPr>
      </w:pPr>
    </w:p>
    <w:p w:rsidR="00EB36F2" w:rsidRPr="004B127E" w:rsidRDefault="0050662C" w:rsidP="003209F0">
      <w:pPr>
        <w:spacing w:after="0" w:line="240" w:lineRule="auto"/>
        <w:jc w:val="both"/>
        <w:rPr>
          <w:rFonts w:asciiTheme="majorHAnsi" w:eastAsia="Arial" w:hAnsiTheme="majorHAnsi" w:cstheme="majorHAnsi"/>
          <w:b/>
          <w:sz w:val="24"/>
          <w:szCs w:val="24"/>
        </w:rPr>
      </w:pPr>
      <w:r w:rsidRPr="004B127E">
        <w:rPr>
          <w:rFonts w:asciiTheme="majorHAnsi" w:eastAsia="Arial" w:hAnsiTheme="majorHAnsi" w:cstheme="majorHAnsi"/>
          <w:b/>
          <w:sz w:val="24"/>
          <w:szCs w:val="24"/>
        </w:rPr>
        <w:t xml:space="preserve">SEGUNDO.- </w:t>
      </w:r>
      <w:r w:rsidR="00EB36F2" w:rsidRPr="004B127E">
        <w:rPr>
          <w:rFonts w:asciiTheme="majorHAnsi" w:eastAsia="Arial" w:hAnsiTheme="majorHAnsi" w:cstheme="majorHAnsi"/>
          <w:sz w:val="24"/>
          <w:szCs w:val="24"/>
        </w:rPr>
        <w:t>Se ordena a l</w:t>
      </w:r>
      <w:r w:rsidR="003E4B85" w:rsidRPr="004B127E">
        <w:rPr>
          <w:rFonts w:asciiTheme="majorHAnsi" w:eastAsia="Arial" w:hAnsiTheme="majorHAnsi" w:cstheme="majorHAnsi"/>
          <w:sz w:val="24"/>
          <w:szCs w:val="24"/>
        </w:rPr>
        <w:t>a Universidad Autónoma de Yucatán</w:t>
      </w:r>
      <w:r w:rsidR="0085476E" w:rsidRPr="004B127E">
        <w:rPr>
          <w:rFonts w:asciiTheme="majorHAnsi" w:eastAsia="Arial" w:hAnsiTheme="majorHAnsi" w:cstheme="majorHAnsi"/>
          <w:sz w:val="24"/>
          <w:szCs w:val="24"/>
        </w:rPr>
        <w:t>,</w:t>
      </w:r>
      <w:r w:rsidR="003E4B85" w:rsidRPr="004B127E">
        <w:rPr>
          <w:rFonts w:asciiTheme="majorHAnsi" w:eastAsia="Arial" w:hAnsiTheme="majorHAnsi" w:cstheme="majorHAnsi"/>
          <w:sz w:val="24"/>
          <w:szCs w:val="24"/>
        </w:rPr>
        <w:t xml:space="preserve"> modificar su tabla</w:t>
      </w:r>
      <w:r w:rsidR="00EB36F2" w:rsidRPr="004B127E">
        <w:rPr>
          <w:rFonts w:asciiTheme="majorHAnsi" w:eastAsia="Arial" w:hAnsiTheme="majorHAnsi" w:cstheme="majorHAnsi"/>
          <w:sz w:val="24"/>
          <w:szCs w:val="24"/>
        </w:rPr>
        <w:t xml:space="preserve"> de aplicabilidad</w:t>
      </w:r>
      <w:r w:rsidR="00AB0565" w:rsidRPr="004B127E">
        <w:rPr>
          <w:rFonts w:asciiTheme="majorHAnsi" w:eastAsia="Arial" w:hAnsiTheme="majorHAnsi" w:cstheme="majorHAnsi"/>
          <w:sz w:val="24"/>
          <w:szCs w:val="24"/>
        </w:rPr>
        <w:t xml:space="preserve"> de conformidad con lo señalado en </w:t>
      </w:r>
      <w:r w:rsidR="003E4B85" w:rsidRPr="004B127E">
        <w:rPr>
          <w:rFonts w:asciiTheme="majorHAnsi" w:eastAsia="Arial" w:hAnsiTheme="majorHAnsi" w:cstheme="majorHAnsi"/>
          <w:sz w:val="24"/>
          <w:szCs w:val="24"/>
        </w:rPr>
        <w:t>los</w:t>
      </w:r>
      <w:r w:rsidR="00AB0565" w:rsidRPr="004B127E">
        <w:rPr>
          <w:rFonts w:asciiTheme="majorHAnsi" w:eastAsia="Arial" w:hAnsiTheme="majorHAnsi" w:cstheme="majorHAnsi"/>
          <w:sz w:val="24"/>
          <w:szCs w:val="24"/>
        </w:rPr>
        <w:t xml:space="preserve"> considerando</w:t>
      </w:r>
      <w:r w:rsidR="003E4B85" w:rsidRPr="004B127E">
        <w:rPr>
          <w:rFonts w:asciiTheme="majorHAnsi" w:eastAsia="Arial" w:hAnsiTheme="majorHAnsi" w:cstheme="majorHAnsi"/>
          <w:sz w:val="24"/>
          <w:szCs w:val="24"/>
        </w:rPr>
        <w:t>s</w:t>
      </w:r>
      <w:r w:rsidR="00AB0565" w:rsidRPr="004B127E">
        <w:rPr>
          <w:rFonts w:asciiTheme="majorHAnsi" w:eastAsia="Arial" w:hAnsiTheme="majorHAnsi" w:cstheme="majorHAnsi"/>
          <w:sz w:val="24"/>
          <w:szCs w:val="24"/>
        </w:rPr>
        <w:t xml:space="preserve"> </w:t>
      </w:r>
      <w:r w:rsidR="0085476E" w:rsidRPr="004B127E">
        <w:rPr>
          <w:rFonts w:asciiTheme="majorHAnsi" w:eastAsia="Arial" w:hAnsiTheme="majorHAnsi" w:cstheme="majorHAnsi"/>
          <w:sz w:val="24"/>
          <w:szCs w:val="24"/>
        </w:rPr>
        <w:t>sexto</w:t>
      </w:r>
      <w:r w:rsidR="003E4B85" w:rsidRPr="004B127E">
        <w:rPr>
          <w:rFonts w:asciiTheme="majorHAnsi" w:eastAsia="Arial" w:hAnsiTheme="majorHAnsi" w:cstheme="majorHAnsi"/>
          <w:sz w:val="24"/>
          <w:szCs w:val="24"/>
        </w:rPr>
        <w:t xml:space="preserve"> y séptimo</w:t>
      </w:r>
      <w:r w:rsidR="00AB0565" w:rsidRPr="004B127E">
        <w:rPr>
          <w:rFonts w:asciiTheme="majorHAnsi" w:eastAsia="Arial" w:hAnsiTheme="majorHAnsi" w:cstheme="majorHAnsi"/>
          <w:sz w:val="24"/>
          <w:szCs w:val="24"/>
        </w:rPr>
        <w:t>,</w:t>
      </w:r>
      <w:r w:rsidR="003E4B85" w:rsidRPr="004B127E">
        <w:rPr>
          <w:rFonts w:asciiTheme="majorHAnsi" w:eastAsia="Arial" w:hAnsiTheme="majorHAnsi" w:cstheme="majorHAnsi"/>
          <w:sz w:val="24"/>
          <w:szCs w:val="24"/>
        </w:rPr>
        <w:t xml:space="preserve"> y que ésta sea aprobada</w:t>
      </w:r>
      <w:r w:rsidR="00EB36F2" w:rsidRPr="004B127E">
        <w:rPr>
          <w:rFonts w:asciiTheme="majorHAnsi" w:eastAsia="Arial" w:hAnsiTheme="majorHAnsi" w:cstheme="majorHAnsi"/>
          <w:sz w:val="24"/>
          <w:szCs w:val="24"/>
        </w:rPr>
        <w:t xml:space="preserve"> por su</w:t>
      </w:r>
      <w:r w:rsidR="003E4B85" w:rsidRPr="004B127E">
        <w:rPr>
          <w:rFonts w:asciiTheme="majorHAnsi" w:eastAsia="Arial" w:hAnsiTheme="majorHAnsi" w:cstheme="majorHAnsi"/>
          <w:sz w:val="24"/>
          <w:szCs w:val="24"/>
        </w:rPr>
        <w:t xml:space="preserve"> comité</w:t>
      </w:r>
      <w:r w:rsidR="00EB36F2" w:rsidRPr="004B127E">
        <w:rPr>
          <w:rFonts w:asciiTheme="majorHAnsi" w:eastAsia="Arial" w:hAnsiTheme="majorHAnsi" w:cstheme="majorHAnsi"/>
          <w:sz w:val="24"/>
          <w:szCs w:val="24"/>
        </w:rPr>
        <w:t xml:space="preserve"> de transparencia, únicamente en lo que respecta a las áreas que posean o generen la información</w:t>
      </w:r>
      <w:r w:rsidR="009D6EBF" w:rsidRPr="004B127E">
        <w:rPr>
          <w:rFonts w:asciiTheme="majorHAnsi" w:eastAsia="Arial" w:hAnsiTheme="majorHAnsi" w:cstheme="majorHAnsi"/>
          <w:sz w:val="24"/>
          <w:szCs w:val="24"/>
        </w:rPr>
        <w:t>;</w:t>
      </w:r>
      <w:r w:rsidR="00EB36F2" w:rsidRPr="004B127E">
        <w:rPr>
          <w:rFonts w:asciiTheme="majorHAnsi" w:eastAsia="Arial" w:hAnsiTheme="majorHAnsi" w:cstheme="majorHAnsi"/>
          <w:sz w:val="24"/>
          <w:szCs w:val="24"/>
        </w:rPr>
        <w:t xml:space="preserve"> y que se publiquen en el sitio de internet del sujeto obligado</w:t>
      </w:r>
      <w:r w:rsidR="008A416E" w:rsidRPr="004B127E">
        <w:rPr>
          <w:rFonts w:asciiTheme="majorHAnsi" w:eastAsia="Arial" w:hAnsiTheme="majorHAnsi" w:cstheme="majorHAnsi"/>
          <w:sz w:val="24"/>
          <w:szCs w:val="24"/>
        </w:rPr>
        <w:t xml:space="preserve"> y en la Plataforma Nacional de Transparencia, en el apartado dispuesto para el último párrafo del artículo 70 de la Ley general de transparencia</w:t>
      </w:r>
      <w:r w:rsidR="00EB36F2" w:rsidRPr="004B127E">
        <w:rPr>
          <w:rFonts w:asciiTheme="majorHAnsi" w:eastAsia="Arial" w:hAnsiTheme="majorHAnsi" w:cstheme="majorHAnsi"/>
          <w:sz w:val="24"/>
          <w:szCs w:val="24"/>
        </w:rPr>
        <w:t xml:space="preserve">, </w:t>
      </w:r>
      <w:r w:rsidR="000414AD" w:rsidRPr="004B127E">
        <w:rPr>
          <w:rFonts w:asciiTheme="majorHAnsi" w:eastAsia="Arial" w:hAnsiTheme="majorHAnsi" w:cstheme="majorHAnsi"/>
          <w:sz w:val="24"/>
          <w:szCs w:val="24"/>
        </w:rPr>
        <w:t xml:space="preserve">en un plazo máximo de 15 días hábiles, contados a </w:t>
      </w:r>
      <w:r w:rsidR="00905A05" w:rsidRPr="004B127E">
        <w:rPr>
          <w:rFonts w:asciiTheme="majorHAnsi" w:eastAsia="Arial" w:hAnsiTheme="majorHAnsi" w:cstheme="majorHAnsi"/>
          <w:sz w:val="24"/>
          <w:szCs w:val="24"/>
        </w:rPr>
        <w:t>partir del día siguiente de la aprobación</w:t>
      </w:r>
      <w:r w:rsidR="000414AD" w:rsidRPr="004B127E">
        <w:rPr>
          <w:rFonts w:asciiTheme="majorHAnsi" w:eastAsia="Arial" w:hAnsiTheme="majorHAnsi" w:cstheme="majorHAnsi"/>
          <w:sz w:val="24"/>
          <w:szCs w:val="24"/>
        </w:rPr>
        <w:t xml:space="preserve"> del presente</w:t>
      </w:r>
      <w:r w:rsidR="00EB36F2" w:rsidRPr="004B127E">
        <w:rPr>
          <w:rFonts w:asciiTheme="majorHAnsi" w:eastAsia="Arial" w:hAnsiTheme="majorHAnsi" w:cstheme="majorHAnsi"/>
          <w:sz w:val="24"/>
          <w:szCs w:val="24"/>
        </w:rPr>
        <w:t>.</w:t>
      </w:r>
    </w:p>
    <w:p w:rsidR="000414AD" w:rsidRPr="004B127E" w:rsidRDefault="000414AD" w:rsidP="003209F0">
      <w:pPr>
        <w:spacing w:after="0" w:line="240" w:lineRule="auto"/>
        <w:jc w:val="both"/>
        <w:rPr>
          <w:rFonts w:asciiTheme="majorHAnsi" w:eastAsia="Arial" w:hAnsiTheme="majorHAnsi" w:cstheme="majorHAnsi"/>
          <w:sz w:val="24"/>
          <w:szCs w:val="24"/>
        </w:rPr>
      </w:pPr>
    </w:p>
    <w:p w:rsidR="0050662C" w:rsidRPr="004B127E" w:rsidRDefault="0050662C" w:rsidP="003209F0">
      <w:pPr>
        <w:spacing w:after="0" w:line="240" w:lineRule="auto"/>
        <w:jc w:val="both"/>
        <w:rPr>
          <w:rFonts w:asciiTheme="majorHAnsi" w:hAnsiTheme="majorHAnsi" w:cstheme="majorHAnsi"/>
          <w:sz w:val="24"/>
          <w:szCs w:val="24"/>
        </w:rPr>
      </w:pPr>
      <w:r w:rsidRPr="004B127E">
        <w:rPr>
          <w:rFonts w:asciiTheme="majorHAnsi" w:eastAsia="Arial" w:hAnsiTheme="majorHAnsi" w:cstheme="majorHAnsi"/>
          <w:b/>
          <w:sz w:val="24"/>
          <w:szCs w:val="24"/>
        </w:rPr>
        <w:t xml:space="preserve">TERCERO.- </w:t>
      </w:r>
      <w:r w:rsidRPr="004B127E">
        <w:rPr>
          <w:rFonts w:asciiTheme="majorHAnsi" w:eastAsia="Arial" w:hAnsiTheme="majorHAnsi" w:cstheme="majorHAnsi"/>
          <w:sz w:val="24"/>
          <w:szCs w:val="24"/>
        </w:rPr>
        <w:t xml:space="preserve">Se ordena a la Secretaría Ejecutiva del Instituto Estatal de Transparencia, Acceso a la Información Pública y Protección de Datos Personales, para que en un plazo máximo de </w:t>
      </w:r>
      <w:r w:rsidR="002E0491" w:rsidRPr="004B127E">
        <w:rPr>
          <w:rFonts w:asciiTheme="majorHAnsi" w:eastAsia="Arial" w:hAnsiTheme="majorHAnsi" w:cstheme="majorHAnsi"/>
          <w:sz w:val="24"/>
          <w:szCs w:val="24"/>
        </w:rPr>
        <w:t>10</w:t>
      </w:r>
      <w:r w:rsidRPr="004B127E">
        <w:rPr>
          <w:rFonts w:asciiTheme="majorHAnsi" w:eastAsia="Arial" w:hAnsiTheme="majorHAnsi" w:cstheme="majorHAnsi"/>
          <w:sz w:val="24"/>
          <w:szCs w:val="24"/>
        </w:rPr>
        <w:t xml:space="preserve"> días </w:t>
      </w:r>
      <w:r w:rsidR="008A416E" w:rsidRPr="004B127E">
        <w:rPr>
          <w:rFonts w:asciiTheme="majorHAnsi" w:eastAsia="Arial" w:hAnsiTheme="majorHAnsi" w:cstheme="majorHAnsi"/>
          <w:sz w:val="24"/>
          <w:szCs w:val="24"/>
        </w:rPr>
        <w:t>hábiles</w:t>
      </w:r>
      <w:r w:rsidRPr="004B127E">
        <w:rPr>
          <w:rFonts w:asciiTheme="majorHAnsi" w:eastAsia="Arial" w:hAnsiTheme="majorHAnsi" w:cstheme="majorHAnsi"/>
          <w:sz w:val="24"/>
          <w:szCs w:val="24"/>
        </w:rPr>
        <w:t xml:space="preserve">, contados a </w:t>
      </w:r>
      <w:r w:rsidR="00905A05" w:rsidRPr="004B127E">
        <w:rPr>
          <w:rFonts w:asciiTheme="majorHAnsi" w:eastAsia="Arial" w:hAnsiTheme="majorHAnsi" w:cstheme="majorHAnsi"/>
          <w:sz w:val="24"/>
          <w:szCs w:val="24"/>
        </w:rPr>
        <w:t>partir del día siguiente de la aprobación</w:t>
      </w:r>
      <w:r w:rsidRPr="004B127E">
        <w:rPr>
          <w:rFonts w:asciiTheme="majorHAnsi" w:eastAsia="Arial" w:hAnsiTheme="majorHAnsi" w:cstheme="majorHAnsi"/>
          <w:sz w:val="24"/>
          <w:szCs w:val="24"/>
        </w:rPr>
        <w:t xml:space="preserve"> del presente</w:t>
      </w:r>
      <w:r w:rsidR="00103D9E" w:rsidRPr="004B127E">
        <w:rPr>
          <w:rFonts w:asciiTheme="majorHAnsi" w:eastAsia="Arial" w:hAnsiTheme="majorHAnsi" w:cstheme="majorHAnsi"/>
          <w:sz w:val="24"/>
          <w:szCs w:val="24"/>
        </w:rPr>
        <w:t>,</w:t>
      </w:r>
      <w:r w:rsidR="000414AD" w:rsidRPr="004B127E">
        <w:rPr>
          <w:rFonts w:asciiTheme="majorHAnsi" w:eastAsia="Arial" w:hAnsiTheme="majorHAnsi" w:cstheme="majorHAnsi"/>
          <w:sz w:val="24"/>
          <w:szCs w:val="24"/>
        </w:rPr>
        <w:t xml:space="preserve"> notifique a l</w:t>
      </w:r>
      <w:r w:rsidR="003E4B85" w:rsidRPr="004B127E">
        <w:rPr>
          <w:rFonts w:asciiTheme="majorHAnsi" w:eastAsia="Arial" w:hAnsiTheme="majorHAnsi" w:cstheme="majorHAnsi"/>
          <w:sz w:val="24"/>
          <w:szCs w:val="24"/>
        </w:rPr>
        <w:t>a Universidad Autónoma de Yucatán</w:t>
      </w:r>
      <w:r w:rsidR="000414AD" w:rsidRPr="004B127E">
        <w:rPr>
          <w:rFonts w:asciiTheme="majorHAnsi" w:eastAsia="Arial" w:hAnsiTheme="majorHAnsi" w:cstheme="majorHAnsi"/>
          <w:sz w:val="24"/>
          <w:szCs w:val="24"/>
        </w:rPr>
        <w:t>, el acuerdo</w:t>
      </w:r>
      <w:r w:rsidR="00103D9E" w:rsidRPr="004B127E">
        <w:rPr>
          <w:rFonts w:asciiTheme="majorHAnsi" w:eastAsia="Arial" w:hAnsiTheme="majorHAnsi" w:cstheme="majorHAnsi"/>
          <w:sz w:val="24"/>
          <w:szCs w:val="24"/>
        </w:rPr>
        <w:t xml:space="preserve"> que hoy nos ocupa</w:t>
      </w:r>
      <w:r w:rsidRPr="004B127E">
        <w:rPr>
          <w:rFonts w:asciiTheme="majorHAnsi" w:hAnsiTheme="majorHAnsi" w:cstheme="majorHAnsi"/>
          <w:sz w:val="24"/>
          <w:szCs w:val="24"/>
        </w:rPr>
        <w:t>.</w:t>
      </w:r>
    </w:p>
    <w:p w:rsidR="0050662C" w:rsidRPr="004B127E" w:rsidRDefault="0050662C" w:rsidP="003209F0">
      <w:pPr>
        <w:spacing w:after="0" w:line="240" w:lineRule="auto"/>
        <w:jc w:val="both"/>
        <w:rPr>
          <w:rFonts w:asciiTheme="majorHAnsi" w:hAnsiTheme="majorHAnsi" w:cstheme="majorHAnsi"/>
          <w:sz w:val="24"/>
          <w:szCs w:val="24"/>
        </w:rPr>
      </w:pPr>
    </w:p>
    <w:p w:rsidR="00545E0A" w:rsidRPr="004B127E" w:rsidRDefault="0050662C"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CUARTO.- </w:t>
      </w:r>
      <w:r w:rsidR="00905A05" w:rsidRPr="004B127E">
        <w:rPr>
          <w:rFonts w:asciiTheme="majorHAnsi" w:eastAsia="Arial" w:hAnsiTheme="majorHAnsi" w:cstheme="majorHAnsi"/>
          <w:sz w:val="24"/>
          <w:szCs w:val="24"/>
        </w:rPr>
        <w:t xml:space="preserve">Publíquese </w:t>
      </w:r>
      <w:r w:rsidR="000414AD" w:rsidRPr="004B127E">
        <w:rPr>
          <w:rFonts w:asciiTheme="majorHAnsi" w:eastAsia="Arial" w:hAnsiTheme="majorHAnsi" w:cstheme="majorHAnsi"/>
          <w:sz w:val="24"/>
          <w:szCs w:val="24"/>
        </w:rPr>
        <w:t>en el sitio de internet de este órgano garante</w:t>
      </w:r>
      <w:r w:rsidRPr="004B127E">
        <w:rPr>
          <w:rFonts w:asciiTheme="majorHAnsi" w:eastAsia="Arial" w:hAnsiTheme="majorHAnsi" w:cstheme="majorHAnsi"/>
          <w:sz w:val="24"/>
          <w:szCs w:val="24"/>
        </w:rPr>
        <w:t>.</w:t>
      </w:r>
    </w:p>
    <w:p w:rsidR="0085476E" w:rsidRPr="004B127E" w:rsidRDefault="0085476E" w:rsidP="003209F0">
      <w:pPr>
        <w:spacing w:after="0" w:line="240" w:lineRule="auto"/>
        <w:jc w:val="both"/>
        <w:rPr>
          <w:rFonts w:asciiTheme="majorHAnsi" w:eastAsia="Arial" w:hAnsiTheme="majorHAnsi" w:cstheme="majorHAnsi"/>
          <w:sz w:val="24"/>
          <w:szCs w:val="24"/>
        </w:rPr>
      </w:pPr>
    </w:p>
    <w:p w:rsidR="0085476E" w:rsidRPr="004B127E" w:rsidRDefault="0085476E" w:rsidP="003209F0">
      <w:pPr>
        <w:spacing w:after="0" w:line="240" w:lineRule="auto"/>
        <w:jc w:val="both"/>
        <w:rPr>
          <w:rFonts w:asciiTheme="majorHAnsi" w:eastAsia="Arial" w:hAnsiTheme="majorHAnsi" w:cstheme="majorHAnsi"/>
          <w:sz w:val="24"/>
          <w:szCs w:val="24"/>
        </w:rPr>
      </w:pPr>
      <w:r w:rsidRPr="004B127E">
        <w:rPr>
          <w:rFonts w:asciiTheme="majorHAnsi" w:eastAsia="Arial" w:hAnsiTheme="majorHAnsi" w:cstheme="majorHAnsi"/>
          <w:b/>
          <w:sz w:val="24"/>
          <w:szCs w:val="24"/>
        </w:rPr>
        <w:t xml:space="preserve">QUINTO.- </w:t>
      </w:r>
      <w:r w:rsidRPr="004B127E">
        <w:rPr>
          <w:rFonts w:asciiTheme="majorHAnsi" w:eastAsia="Arial" w:hAnsiTheme="majorHAnsi" w:cstheme="majorHAnsi"/>
          <w:sz w:val="24"/>
          <w:szCs w:val="24"/>
        </w:rPr>
        <w:t>Cúmplase.</w:t>
      </w:r>
    </w:p>
    <w:tbl>
      <w:tblPr>
        <w:tblW w:w="0" w:type="auto"/>
        <w:tblLook w:val="04A0" w:firstRow="1" w:lastRow="0" w:firstColumn="1" w:lastColumn="0" w:noHBand="0" w:noVBand="1"/>
      </w:tblPr>
      <w:tblGrid>
        <w:gridCol w:w="4414"/>
        <w:gridCol w:w="4414"/>
      </w:tblGrid>
      <w:tr w:rsidR="0044045B" w:rsidRPr="004B127E" w:rsidTr="0044045B">
        <w:tc>
          <w:tcPr>
            <w:tcW w:w="8828" w:type="dxa"/>
            <w:gridSpan w:val="2"/>
            <w:shd w:val="clear" w:color="auto" w:fill="auto"/>
          </w:tcPr>
          <w:p w:rsidR="0044045B" w:rsidRPr="004B127E" w:rsidRDefault="0044045B" w:rsidP="003209F0">
            <w:pPr>
              <w:spacing w:after="0" w:line="240" w:lineRule="auto"/>
              <w:rPr>
                <w:rFonts w:asciiTheme="majorHAnsi" w:hAnsiTheme="majorHAnsi" w:cstheme="majorHAnsi"/>
                <w:b/>
                <w:sz w:val="24"/>
                <w:szCs w:val="24"/>
              </w:rPr>
            </w:pPr>
          </w:p>
          <w:p w:rsidR="0044045B" w:rsidRPr="004B127E" w:rsidRDefault="0044045B" w:rsidP="003209F0">
            <w:pPr>
              <w:spacing w:after="0" w:line="240" w:lineRule="auto"/>
              <w:jc w:val="center"/>
              <w:rPr>
                <w:rFonts w:asciiTheme="majorHAnsi" w:hAnsiTheme="majorHAnsi" w:cstheme="majorHAnsi"/>
                <w:b/>
                <w:sz w:val="24"/>
                <w:szCs w:val="24"/>
              </w:rPr>
            </w:pPr>
          </w:p>
          <w:p w:rsidR="0044045B" w:rsidRPr="004B127E" w:rsidRDefault="0044045B" w:rsidP="003209F0">
            <w:pPr>
              <w:spacing w:after="0" w:line="240" w:lineRule="auto"/>
              <w:jc w:val="center"/>
              <w:rPr>
                <w:rFonts w:asciiTheme="majorHAnsi" w:hAnsiTheme="majorHAnsi" w:cstheme="majorHAnsi"/>
                <w:b/>
                <w:bCs/>
                <w:sz w:val="24"/>
                <w:szCs w:val="24"/>
              </w:rPr>
            </w:pPr>
          </w:p>
          <w:p w:rsidR="0044045B" w:rsidRPr="004B127E" w:rsidRDefault="0044045B" w:rsidP="003209F0">
            <w:pPr>
              <w:spacing w:after="0" w:line="240" w:lineRule="auto"/>
              <w:jc w:val="center"/>
              <w:rPr>
                <w:rFonts w:asciiTheme="majorHAnsi" w:hAnsiTheme="majorHAnsi" w:cstheme="majorHAnsi"/>
                <w:b/>
                <w:bCs/>
                <w:sz w:val="24"/>
                <w:szCs w:val="24"/>
              </w:rPr>
            </w:pPr>
          </w:p>
          <w:p w:rsidR="0044045B" w:rsidRPr="004B127E" w:rsidRDefault="0044045B" w:rsidP="003209F0">
            <w:pPr>
              <w:spacing w:after="0" w:line="240" w:lineRule="auto"/>
              <w:jc w:val="center"/>
              <w:rPr>
                <w:rFonts w:asciiTheme="majorHAnsi" w:hAnsiTheme="majorHAnsi" w:cstheme="majorHAnsi"/>
                <w:b/>
                <w:bCs/>
                <w:sz w:val="24"/>
                <w:szCs w:val="24"/>
              </w:rPr>
            </w:pPr>
            <w:r w:rsidRPr="004B127E">
              <w:rPr>
                <w:rFonts w:asciiTheme="majorHAnsi" w:hAnsiTheme="majorHAnsi" w:cstheme="majorHAnsi"/>
                <w:b/>
                <w:bCs/>
                <w:sz w:val="24"/>
                <w:szCs w:val="24"/>
              </w:rPr>
              <w:t>LICDA. SUSANA AGUILAR COVARRUBIAS</w:t>
            </w:r>
          </w:p>
          <w:p w:rsidR="0044045B" w:rsidRPr="004B127E" w:rsidRDefault="0044045B"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sz w:val="24"/>
                <w:szCs w:val="24"/>
              </w:rPr>
              <w:t>COMISIONADA PRESIDENTA</w:t>
            </w:r>
          </w:p>
        </w:tc>
      </w:tr>
      <w:tr w:rsidR="0044045B" w:rsidRPr="004B127E" w:rsidTr="0044045B">
        <w:tc>
          <w:tcPr>
            <w:tcW w:w="4414" w:type="dxa"/>
            <w:shd w:val="clear" w:color="auto" w:fill="auto"/>
          </w:tcPr>
          <w:p w:rsidR="0044045B" w:rsidRPr="004B127E" w:rsidRDefault="0044045B" w:rsidP="003209F0">
            <w:pPr>
              <w:spacing w:after="0" w:line="240" w:lineRule="auto"/>
              <w:jc w:val="center"/>
              <w:rPr>
                <w:rFonts w:asciiTheme="majorHAnsi" w:hAnsiTheme="majorHAnsi" w:cstheme="majorHAnsi"/>
                <w:b/>
                <w:bCs/>
                <w:sz w:val="24"/>
                <w:szCs w:val="24"/>
              </w:rPr>
            </w:pPr>
          </w:p>
          <w:p w:rsidR="0044045B" w:rsidRPr="004B127E" w:rsidRDefault="0044045B" w:rsidP="003209F0">
            <w:pPr>
              <w:spacing w:after="0" w:line="240" w:lineRule="auto"/>
              <w:jc w:val="center"/>
              <w:rPr>
                <w:rFonts w:asciiTheme="majorHAnsi" w:hAnsiTheme="majorHAnsi" w:cstheme="majorHAnsi"/>
                <w:b/>
                <w:bCs/>
                <w:sz w:val="24"/>
                <w:szCs w:val="24"/>
              </w:rPr>
            </w:pPr>
          </w:p>
          <w:p w:rsidR="0044045B" w:rsidRPr="004B127E" w:rsidRDefault="0044045B" w:rsidP="003209F0">
            <w:pPr>
              <w:spacing w:after="0" w:line="240" w:lineRule="auto"/>
              <w:jc w:val="center"/>
              <w:rPr>
                <w:rFonts w:asciiTheme="majorHAnsi" w:hAnsiTheme="majorHAnsi" w:cstheme="majorHAnsi"/>
                <w:b/>
                <w:bCs/>
                <w:sz w:val="24"/>
                <w:szCs w:val="24"/>
              </w:rPr>
            </w:pPr>
          </w:p>
          <w:p w:rsidR="00AD126B" w:rsidRPr="004B127E" w:rsidRDefault="00AD126B" w:rsidP="003209F0">
            <w:pPr>
              <w:spacing w:after="0" w:line="240" w:lineRule="auto"/>
              <w:jc w:val="center"/>
              <w:rPr>
                <w:rFonts w:asciiTheme="majorHAnsi" w:hAnsiTheme="majorHAnsi" w:cstheme="majorHAnsi"/>
                <w:b/>
                <w:bCs/>
                <w:sz w:val="24"/>
                <w:szCs w:val="24"/>
              </w:rPr>
            </w:pPr>
          </w:p>
          <w:p w:rsidR="0044045B" w:rsidRPr="004B127E" w:rsidRDefault="0044045B" w:rsidP="003209F0">
            <w:pPr>
              <w:spacing w:after="0" w:line="240" w:lineRule="auto"/>
              <w:rPr>
                <w:rFonts w:asciiTheme="majorHAnsi" w:hAnsiTheme="majorHAnsi" w:cstheme="majorHAnsi"/>
                <w:b/>
                <w:bCs/>
                <w:sz w:val="24"/>
                <w:szCs w:val="24"/>
              </w:rPr>
            </w:pPr>
            <w:r w:rsidRPr="004B127E">
              <w:rPr>
                <w:rFonts w:asciiTheme="majorHAnsi" w:hAnsiTheme="majorHAnsi" w:cstheme="majorHAnsi"/>
                <w:b/>
                <w:bCs/>
                <w:sz w:val="24"/>
                <w:szCs w:val="24"/>
              </w:rPr>
              <w:t>LICDA. MARÍA EUGENIA SANSORES RUZ</w:t>
            </w:r>
          </w:p>
          <w:p w:rsidR="0044045B" w:rsidRPr="004B127E" w:rsidRDefault="0044045B"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bCs/>
                <w:sz w:val="24"/>
                <w:szCs w:val="24"/>
              </w:rPr>
              <w:t>COMISIONADA</w:t>
            </w:r>
          </w:p>
        </w:tc>
        <w:tc>
          <w:tcPr>
            <w:tcW w:w="4414" w:type="dxa"/>
            <w:shd w:val="clear" w:color="auto" w:fill="auto"/>
          </w:tcPr>
          <w:p w:rsidR="0044045B" w:rsidRPr="004B127E" w:rsidRDefault="0044045B" w:rsidP="003209F0">
            <w:pPr>
              <w:spacing w:after="0" w:line="240" w:lineRule="auto"/>
              <w:jc w:val="center"/>
              <w:rPr>
                <w:rFonts w:asciiTheme="majorHAnsi" w:hAnsiTheme="majorHAnsi" w:cstheme="majorHAnsi"/>
                <w:b/>
                <w:bCs/>
                <w:sz w:val="24"/>
                <w:szCs w:val="24"/>
              </w:rPr>
            </w:pPr>
          </w:p>
          <w:p w:rsidR="0044045B" w:rsidRPr="004B127E" w:rsidRDefault="0044045B" w:rsidP="003209F0">
            <w:pPr>
              <w:spacing w:after="0" w:line="240" w:lineRule="auto"/>
              <w:jc w:val="center"/>
              <w:rPr>
                <w:rFonts w:asciiTheme="majorHAnsi" w:hAnsiTheme="majorHAnsi" w:cstheme="majorHAnsi"/>
                <w:b/>
                <w:bCs/>
                <w:sz w:val="24"/>
                <w:szCs w:val="24"/>
              </w:rPr>
            </w:pPr>
          </w:p>
          <w:p w:rsidR="0044045B" w:rsidRPr="004B127E" w:rsidRDefault="0044045B" w:rsidP="003209F0">
            <w:pPr>
              <w:spacing w:after="0" w:line="240" w:lineRule="auto"/>
              <w:jc w:val="center"/>
              <w:rPr>
                <w:rFonts w:asciiTheme="majorHAnsi" w:hAnsiTheme="majorHAnsi" w:cstheme="majorHAnsi"/>
                <w:b/>
                <w:bCs/>
                <w:sz w:val="24"/>
                <w:szCs w:val="24"/>
              </w:rPr>
            </w:pPr>
          </w:p>
          <w:p w:rsidR="00AD126B" w:rsidRPr="004B127E" w:rsidRDefault="00AD126B" w:rsidP="003209F0">
            <w:pPr>
              <w:spacing w:after="0" w:line="240" w:lineRule="auto"/>
              <w:jc w:val="center"/>
              <w:rPr>
                <w:rFonts w:asciiTheme="majorHAnsi" w:hAnsiTheme="majorHAnsi" w:cstheme="majorHAnsi"/>
                <w:b/>
                <w:bCs/>
                <w:sz w:val="24"/>
                <w:szCs w:val="24"/>
              </w:rPr>
            </w:pPr>
          </w:p>
          <w:p w:rsidR="0044045B" w:rsidRPr="004B127E" w:rsidRDefault="0044045B"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sz w:val="24"/>
                <w:szCs w:val="24"/>
              </w:rPr>
              <w:t>LIC. ALDRIN MARTÍN BRICEÑO CONRADO</w:t>
            </w:r>
          </w:p>
          <w:p w:rsidR="0044045B" w:rsidRPr="004B127E" w:rsidRDefault="0044045B"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bCs/>
                <w:sz w:val="24"/>
                <w:szCs w:val="24"/>
              </w:rPr>
              <w:t>COMISIONADO</w:t>
            </w:r>
          </w:p>
        </w:tc>
      </w:tr>
    </w:tbl>
    <w:p w:rsidR="0044045B" w:rsidRPr="004B127E" w:rsidRDefault="0044045B" w:rsidP="003209F0">
      <w:pPr>
        <w:spacing w:after="0" w:line="240" w:lineRule="auto"/>
        <w:jc w:val="both"/>
        <w:rPr>
          <w:rFonts w:asciiTheme="majorHAnsi" w:eastAsia="Arial" w:hAnsiTheme="majorHAnsi" w:cstheme="majorHAnsi"/>
          <w:sz w:val="24"/>
          <w:szCs w:val="24"/>
        </w:rPr>
      </w:pPr>
    </w:p>
    <w:p w:rsidR="00244A84" w:rsidRPr="004B127E" w:rsidRDefault="00244A84" w:rsidP="003209F0">
      <w:pPr>
        <w:spacing w:after="0" w:line="240" w:lineRule="auto"/>
        <w:jc w:val="both"/>
        <w:rPr>
          <w:rFonts w:asciiTheme="majorHAnsi" w:hAnsiTheme="majorHAnsi" w:cstheme="majorHAnsi"/>
          <w:sz w:val="24"/>
          <w:szCs w:val="24"/>
        </w:rPr>
        <w:sectPr w:rsidR="00244A84" w:rsidRPr="004B127E" w:rsidSect="00580E0D">
          <w:headerReference w:type="default" r:id="rId8"/>
          <w:footerReference w:type="default" r:id="rId9"/>
          <w:type w:val="continuous"/>
          <w:pgSz w:w="12240" w:h="15840"/>
          <w:pgMar w:top="1417" w:right="1701" w:bottom="1417" w:left="1701" w:header="720" w:footer="720" w:gutter="0"/>
          <w:cols w:space="720"/>
        </w:sectPr>
      </w:pPr>
    </w:p>
    <w:p w:rsidR="008A416E" w:rsidRPr="004B127E" w:rsidRDefault="008A416E"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sz w:val="24"/>
          <w:szCs w:val="24"/>
        </w:rPr>
        <w:t>ANEXO 1</w:t>
      </w:r>
    </w:p>
    <w:p w:rsidR="00942CA0" w:rsidRPr="004B127E" w:rsidRDefault="00AD6CA4" w:rsidP="003209F0">
      <w:pPr>
        <w:spacing w:after="0" w:line="240" w:lineRule="auto"/>
        <w:jc w:val="center"/>
        <w:rPr>
          <w:rFonts w:asciiTheme="majorHAnsi" w:hAnsiTheme="majorHAnsi" w:cstheme="majorHAnsi"/>
          <w:b/>
          <w:sz w:val="24"/>
          <w:szCs w:val="24"/>
        </w:rPr>
      </w:pPr>
      <w:r w:rsidRPr="004B127E">
        <w:rPr>
          <w:rFonts w:asciiTheme="majorHAnsi" w:hAnsiTheme="majorHAnsi" w:cstheme="majorHAnsi"/>
          <w:b/>
          <w:sz w:val="24"/>
          <w:szCs w:val="24"/>
        </w:rPr>
        <w:t>Tabla</w:t>
      </w:r>
      <w:r w:rsidR="008A416E" w:rsidRPr="004B127E">
        <w:rPr>
          <w:rFonts w:asciiTheme="majorHAnsi" w:hAnsiTheme="majorHAnsi" w:cstheme="majorHAnsi"/>
          <w:b/>
          <w:sz w:val="24"/>
          <w:szCs w:val="24"/>
        </w:rPr>
        <w:t xml:space="preserve"> de aplicabilidad de obligaciones de</w:t>
      </w:r>
      <w:r w:rsidRPr="004B127E">
        <w:rPr>
          <w:rFonts w:asciiTheme="majorHAnsi" w:hAnsiTheme="majorHAnsi" w:cstheme="majorHAnsi"/>
          <w:b/>
          <w:sz w:val="24"/>
          <w:szCs w:val="24"/>
        </w:rPr>
        <w:t xml:space="preserve"> transparencia comunes remitida</w:t>
      </w:r>
      <w:r w:rsidR="008A416E" w:rsidRPr="004B127E">
        <w:rPr>
          <w:rFonts w:asciiTheme="majorHAnsi" w:hAnsiTheme="majorHAnsi" w:cstheme="majorHAnsi"/>
          <w:b/>
          <w:sz w:val="24"/>
          <w:szCs w:val="24"/>
        </w:rPr>
        <w:t xml:space="preserve"> por l</w:t>
      </w:r>
      <w:r w:rsidRPr="004B127E">
        <w:rPr>
          <w:rFonts w:asciiTheme="majorHAnsi" w:hAnsiTheme="majorHAnsi" w:cstheme="majorHAnsi"/>
          <w:b/>
          <w:sz w:val="24"/>
          <w:szCs w:val="24"/>
        </w:rPr>
        <w:t>a Universidad Autónoma de Yucatán</w:t>
      </w:r>
    </w:p>
    <w:p w:rsidR="00660632" w:rsidRPr="004B127E" w:rsidRDefault="00660632" w:rsidP="003209F0">
      <w:pPr>
        <w:spacing w:after="0" w:line="240" w:lineRule="auto"/>
        <w:jc w:val="center"/>
        <w:rPr>
          <w:rFonts w:asciiTheme="majorHAnsi" w:hAnsiTheme="majorHAnsi" w:cstheme="majorHAnsi"/>
          <w:b/>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1410"/>
        <w:gridCol w:w="1701"/>
        <w:gridCol w:w="1701"/>
        <w:gridCol w:w="1559"/>
        <w:gridCol w:w="1843"/>
        <w:gridCol w:w="2918"/>
        <w:gridCol w:w="1856"/>
      </w:tblGrid>
      <w:tr w:rsidR="00474CE3" w:rsidRPr="004B127E" w:rsidTr="002F3F50">
        <w:trPr>
          <w:cantSplit/>
          <w:trHeight w:val="1260"/>
          <w:tblHeade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DBE5F1"/>
            <w:noWrap/>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Clave</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Sujeto Obligado</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Fecha en que se presenta ante el INAIP</w:t>
            </w:r>
          </w:p>
        </w:tc>
        <w:tc>
          <w:tcPr>
            <w:tcW w:w="1559"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Fecha de la última actualización</w:t>
            </w:r>
          </w:p>
        </w:tc>
        <w:tc>
          <w:tcPr>
            <w:tcW w:w="1843"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Fecha de aprobación por el Comité de Transparencia.</w:t>
            </w:r>
          </w:p>
        </w:tc>
        <w:tc>
          <w:tcPr>
            <w:tcW w:w="2918"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Fracciones que indicaron que les aplica.</w:t>
            </w:r>
          </w:p>
        </w:tc>
        <w:tc>
          <w:tcPr>
            <w:tcW w:w="1856"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474CE3" w:rsidRPr="004B127E" w:rsidRDefault="00474CE3" w:rsidP="00B818A5">
            <w:pPr>
              <w:spacing w:after="0" w:line="240" w:lineRule="auto"/>
              <w:jc w:val="center"/>
              <w:rPr>
                <w:rFonts w:asciiTheme="majorHAnsi" w:eastAsia="Times New Roman" w:hAnsiTheme="majorHAnsi" w:cstheme="majorHAnsi"/>
                <w:b/>
                <w:bCs/>
                <w:color w:val="000000"/>
                <w:sz w:val="24"/>
                <w:szCs w:val="24"/>
                <w:lang w:eastAsia="es-MX"/>
              </w:rPr>
            </w:pPr>
            <w:r w:rsidRPr="004B127E">
              <w:rPr>
                <w:rFonts w:asciiTheme="majorHAnsi" w:eastAsia="Times New Roman" w:hAnsiTheme="majorHAnsi" w:cstheme="majorHAnsi"/>
                <w:b/>
                <w:bCs/>
                <w:color w:val="000000"/>
                <w:sz w:val="24"/>
                <w:szCs w:val="24"/>
                <w:lang w:eastAsia="es-MX"/>
              </w:rPr>
              <w:t>Fracciones que indicaron que no les aplica.</w:t>
            </w:r>
          </w:p>
        </w:tc>
      </w:tr>
      <w:tr w:rsidR="00AD6CA4" w:rsidRPr="004B127E" w:rsidTr="002F3F50">
        <w:trPr>
          <w:cantSplit/>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45" w:type="dxa"/>
              <w:bottom w:w="0" w:type="dxa"/>
              <w:right w:w="45" w:type="dxa"/>
            </w:tcMar>
            <w:vAlign w:val="center"/>
            <w:hideMark/>
          </w:tcPr>
          <w:p w:rsidR="00AD6CA4" w:rsidRPr="004B127E" w:rsidRDefault="00AD6CA4" w:rsidP="004B127E">
            <w:pPr>
              <w:spacing w:after="0" w:line="240" w:lineRule="auto"/>
              <w:jc w:val="center"/>
              <w:rPr>
                <w:rFonts w:asciiTheme="majorHAnsi" w:hAnsiTheme="majorHAnsi" w:cstheme="majorHAnsi"/>
                <w:color w:val="000000"/>
                <w:sz w:val="24"/>
                <w:szCs w:val="24"/>
              </w:rPr>
            </w:pPr>
            <w:r w:rsidRPr="004B127E">
              <w:rPr>
                <w:rFonts w:asciiTheme="majorHAnsi" w:hAnsiTheme="majorHAnsi" w:cstheme="majorHAnsi"/>
                <w:color w:val="000000"/>
                <w:sz w:val="24"/>
                <w:szCs w:val="24"/>
              </w:rPr>
              <w:t>31-07-01-001</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color w:val="000000"/>
                <w:sz w:val="24"/>
                <w:szCs w:val="24"/>
              </w:rPr>
            </w:pPr>
            <w:r w:rsidRPr="004B127E">
              <w:rPr>
                <w:rFonts w:asciiTheme="majorHAnsi" w:hAnsiTheme="majorHAnsi" w:cstheme="majorHAnsi"/>
                <w:color w:val="000000"/>
                <w:sz w:val="24"/>
                <w:szCs w:val="24"/>
              </w:rPr>
              <w:t>Universidad Autónoma de Yucatán.</w:t>
            </w:r>
          </w:p>
        </w:tc>
        <w:tc>
          <w:tcPr>
            <w:tcW w:w="1701"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sz w:val="24"/>
                <w:szCs w:val="24"/>
              </w:rPr>
            </w:pPr>
            <w:r w:rsidRPr="004B127E">
              <w:rPr>
                <w:rFonts w:asciiTheme="majorHAnsi" w:hAnsiTheme="majorHAnsi" w:cstheme="majorHAnsi"/>
                <w:sz w:val="24"/>
                <w:szCs w:val="24"/>
              </w:rPr>
              <w:t>06 de junio de 2016</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sz w:val="24"/>
                <w:szCs w:val="24"/>
              </w:rPr>
            </w:pPr>
            <w:r w:rsidRPr="004B127E">
              <w:rPr>
                <w:rFonts w:asciiTheme="majorHAnsi" w:hAnsiTheme="majorHAnsi" w:cstheme="majorHAnsi"/>
                <w:sz w:val="24"/>
                <w:szCs w:val="24"/>
              </w:rPr>
              <w:t>-</w:t>
            </w:r>
          </w:p>
        </w:tc>
        <w:tc>
          <w:tcPr>
            <w:tcW w:w="184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sz w:val="24"/>
                <w:szCs w:val="24"/>
              </w:rPr>
            </w:pPr>
            <w:r w:rsidRPr="004B127E">
              <w:rPr>
                <w:rFonts w:asciiTheme="majorHAnsi" w:hAnsiTheme="majorHAnsi" w:cstheme="majorHAnsi"/>
                <w:sz w:val="24"/>
                <w:szCs w:val="24"/>
              </w:rPr>
              <w:t>-</w:t>
            </w:r>
          </w:p>
        </w:tc>
        <w:tc>
          <w:tcPr>
            <w:tcW w:w="2918"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color w:val="000000"/>
                <w:sz w:val="24"/>
                <w:szCs w:val="24"/>
              </w:rPr>
            </w:pPr>
            <w:r w:rsidRPr="004B127E">
              <w:rPr>
                <w:rFonts w:asciiTheme="majorHAnsi" w:hAnsiTheme="majorHAnsi" w:cstheme="majorHAnsi"/>
                <w:color w:val="000000"/>
                <w:sz w:val="24"/>
                <w:szCs w:val="24"/>
              </w:rPr>
              <w:t>I, II, III, IV, V, VI, VII, VIII, IX, X, XI, XIII, XVI, XVII, XVIII, XIX, XX, XXI, XXII, XXIII, XXIV, XXV, XXVI, XXVII (Indicó que le aplica parcialmente), XXVIII, XXIX, XXX, XXXI, XXXII, XXXIII, XXXIV, XXXVII, XXXIX, XLI, XLII, XLIII, XLIV, XLV, XLVI, XLVIII.</w:t>
            </w:r>
          </w:p>
        </w:tc>
        <w:tc>
          <w:tcPr>
            <w:tcW w:w="185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AD6CA4" w:rsidRPr="004B127E" w:rsidRDefault="00AD6CA4" w:rsidP="004B127E">
            <w:pPr>
              <w:spacing w:line="240" w:lineRule="auto"/>
              <w:jc w:val="center"/>
              <w:rPr>
                <w:rFonts w:asciiTheme="majorHAnsi" w:hAnsiTheme="majorHAnsi" w:cstheme="majorHAnsi"/>
                <w:color w:val="000000"/>
                <w:sz w:val="24"/>
                <w:szCs w:val="24"/>
              </w:rPr>
            </w:pPr>
            <w:r w:rsidRPr="004B127E">
              <w:rPr>
                <w:rFonts w:asciiTheme="majorHAnsi" w:hAnsiTheme="majorHAnsi" w:cstheme="majorHAnsi"/>
                <w:color w:val="000000"/>
                <w:sz w:val="24"/>
                <w:szCs w:val="24"/>
              </w:rPr>
              <w:t>XII, XIV, XV, XXXV, XXXVI, XXXVIII, XL, XLVII.</w:t>
            </w:r>
          </w:p>
        </w:tc>
      </w:tr>
    </w:tbl>
    <w:p w:rsidR="00474CE3" w:rsidRPr="004B127E" w:rsidRDefault="00474CE3" w:rsidP="003209F0">
      <w:pPr>
        <w:spacing w:after="0" w:line="240" w:lineRule="auto"/>
        <w:jc w:val="center"/>
        <w:rPr>
          <w:rFonts w:asciiTheme="majorHAnsi" w:hAnsiTheme="majorHAnsi" w:cstheme="majorHAnsi"/>
          <w:b/>
          <w:sz w:val="24"/>
          <w:szCs w:val="24"/>
        </w:rPr>
      </w:pPr>
    </w:p>
    <w:sectPr w:rsidR="00474CE3" w:rsidRPr="004B127E" w:rsidSect="00244A84">
      <w:type w:val="continuous"/>
      <w:pgSz w:w="15840" w:h="12240" w:orient="landscape"/>
      <w:pgMar w:top="1701" w:right="1418"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38" w:rsidRDefault="00C76938">
      <w:pPr>
        <w:spacing w:after="0" w:line="240" w:lineRule="auto"/>
      </w:pPr>
      <w:r>
        <w:separator/>
      </w:r>
    </w:p>
  </w:endnote>
  <w:endnote w:type="continuationSeparator" w:id="0">
    <w:p w:rsidR="00C76938" w:rsidRDefault="00C7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3540"/>
      <w:docPartObj>
        <w:docPartGallery w:val="Page Numbers (Bottom of Page)"/>
        <w:docPartUnique/>
      </w:docPartObj>
    </w:sdtPr>
    <w:sdtEndPr/>
    <w:sdtContent>
      <w:p w:rsidR="00CF0221" w:rsidRDefault="00CF0221">
        <w:pPr>
          <w:pStyle w:val="Piedepgina"/>
          <w:jc w:val="right"/>
        </w:pPr>
        <w:r>
          <w:fldChar w:fldCharType="begin"/>
        </w:r>
        <w:r>
          <w:instrText xml:space="preserve"> PAGE   \* MERGEFORMAT </w:instrText>
        </w:r>
        <w:r>
          <w:fldChar w:fldCharType="separate"/>
        </w:r>
        <w:r w:rsidR="00F77218">
          <w:rPr>
            <w:noProof/>
          </w:rPr>
          <w:t>1</w:t>
        </w:r>
        <w:r>
          <w:rPr>
            <w:noProof/>
          </w:rPr>
          <w:fldChar w:fldCharType="end"/>
        </w:r>
      </w:p>
    </w:sdtContent>
  </w:sdt>
  <w:p w:rsidR="00CF0221" w:rsidRDefault="00CF02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38" w:rsidRDefault="00C76938">
      <w:pPr>
        <w:spacing w:after="0" w:line="240" w:lineRule="auto"/>
      </w:pPr>
      <w:r>
        <w:separator/>
      </w:r>
    </w:p>
  </w:footnote>
  <w:footnote w:type="continuationSeparator" w:id="0">
    <w:p w:rsidR="00C76938" w:rsidRDefault="00C76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21" w:rsidRDefault="00CF0221">
    <w:pPr>
      <w:pStyle w:val="Encabezado"/>
    </w:pPr>
    <w:r>
      <w:rPr>
        <w:noProof/>
        <w:lang w:eastAsia="es-MX"/>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CF0221" w:rsidRDefault="00CF02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7"/>
    <w:rsid w:val="000012E5"/>
    <w:rsid w:val="00004EDF"/>
    <w:rsid w:val="000071D7"/>
    <w:rsid w:val="0001395C"/>
    <w:rsid w:val="00013F16"/>
    <w:rsid w:val="00020AD8"/>
    <w:rsid w:val="0002140A"/>
    <w:rsid w:val="000215CF"/>
    <w:rsid w:val="000276BF"/>
    <w:rsid w:val="000317AB"/>
    <w:rsid w:val="00031A83"/>
    <w:rsid w:val="000321FA"/>
    <w:rsid w:val="000340E5"/>
    <w:rsid w:val="000414AD"/>
    <w:rsid w:val="000454BF"/>
    <w:rsid w:val="000479CD"/>
    <w:rsid w:val="000540BD"/>
    <w:rsid w:val="0005547B"/>
    <w:rsid w:val="000561A7"/>
    <w:rsid w:val="00067719"/>
    <w:rsid w:val="000756D6"/>
    <w:rsid w:val="00075EBF"/>
    <w:rsid w:val="00081527"/>
    <w:rsid w:val="00084179"/>
    <w:rsid w:val="00084E1D"/>
    <w:rsid w:val="00085008"/>
    <w:rsid w:val="000919AC"/>
    <w:rsid w:val="000925B9"/>
    <w:rsid w:val="0009262C"/>
    <w:rsid w:val="00092C59"/>
    <w:rsid w:val="00092FC7"/>
    <w:rsid w:val="000962B8"/>
    <w:rsid w:val="000977A4"/>
    <w:rsid w:val="000A1022"/>
    <w:rsid w:val="000A1C54"/>
    <w:rsid w:val="000A32F2"/>
    <w:rsid w:val="000A4A38"/>
    <w:rsid w:val="000A69E1"/>
    <w:rsid w:val="000B13A0"/>
    <w:rsid w:val="000B290E"/>
    <w:rsid w:val="000B2C6B"/>
    <w:rsid w:val="000B6899"/>
    <w:rsid w:val="000C04E5"/>
    <w:rsid w:val="000D1CA5"/>
    <w:rsid w:val="000D1D47"/>
    <w:rsid w:val="000D2DD5"/>
    <w:rsid w:val="000D3188"/>
    <w:rsid w:val="000E1784"/>
    <w:rsid w:val="000E456D"/>
    <w:rsid w:val="000E467C"/>
    <w:rsid w:val="000E6D6D"/>
    <w:rsid w:val="000E7B9F"/>
    <w:rsid w:val="000F0C05"/>
    <w:rsid w:val="000F4D33"/>
    <w:rsid w:val="00103D9E"/>
    <w:rsid w:val="00104F81"/>
    <w:rsid w:val="0010693C"/>
    <w:rsid w:val="00107072"/>
    <w:rsid w:val="00107390"/>
    <w:rsid w:val="001109EE"/>
    <w:rsid w:val="00114868"/>
    <w:rsid w:val="001158E2"/>
    <w:rsid w:val="001160AC"/>
    <w:rsid w:val="00116E3B"/>
    <w:rsid w:val="0011797E"/>
    <w:rsid w:val="00121A35"/>
    <w:rsid w:val="00126C25"/>
    <w:rsid w:val="0013214A"/>
    <w:rsid w:val="001433DD"/>
    <w:rsid w:val="00144A0F"/>
    <w:rsid w:val="00146FC7"/>
    <w:rsid w:val="0015074F"/>
    <w:rsid w:val="00150B8D"/>
    <w:rsid w:val="00152A49"/>
    <w:rsid w:val="0015307D"/>
    <w:rsid w:val="001556BA"/>
    <w:rsid w:val="00157959"/>
    <w:rsid w:val="0016053B"/>
    <w:rsid w:val="00161514"/>
    <w:rsid w:val="00163E09"/>
    <w:rsid w:val="001643EA"/>
    <w:rsid w:val="001648EE"/>
    <w:rsid w:val="00165E01"/>
    <w:rsid w:val="001744A7"/>
    <w:rsid w:val="00176082"/>
    <w:rsid w:val="001809D9"/>
    <w:rsid w:val="00181101"/>
    <w:rsid w:val="00192E51"/>
    <w:rsid w:val="00193374"/>
    <w:rsid w:val="00193D6C"/>
    <w:rsid w:val="00195029"/>
    <w:rsid w:val="001971EB"/>
    <w:rsid w:val="001A0F52"/>
    <w:rsid w:val="001A3D76"/>
    <w:rsid w:val="001A3F93"/>
    <w:rsid w:val="001A5928"/>
    <w:rsid w:val="001A6B69"/>
    <w:rsid w:val="001A742E"/>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E0BE1"/>
    <w:rsid w:val="001E4551"/>
    <w:rsid w:val="001E7478"/>
    <w:rsid w:val="001F06C3"/>
    <w:rsid w:val="001F2821"/>
    <w:rsid w:val="001F4541"/>
    <w:rsid w:val="0020546F"/>
    <w:rsid w:val="00214F0A"/>
    <w:rsid w:val="00216830"/>
    <w:rsid w:val="002259C5"/>
    <w:rsid w:val="00234D8D"/>
    <w:rsid w:val="002413D1"/>
    <w:rsid w:val="00242D91"/>
    <w:rsid w:val="00244A84"/>
    <w:rsid w:val="00244BD3"/>
    <w:rsid w:val="00253E8D"/>
    <w:rsid w:val="002601A3"/>
    <w:rsid w:val="0026020B"/>
    <w:rsid w:val="00260D66"/>
    <w:rsid w:val="0026202F"/>
    <w:rsid w:val="00263828"/>
    <w:rsid w:val="00266580"/>
    <w:rsid w:val="0026712D"/>
    <w:rsid w:val="00267257"/>
    <w:rsid w:val="002747FA"/>
    <w:rsid w:val="00280CC3"/>
    <w:rsid w:val="0028142D"/>
    <w:rsid w:val="00284647"/>
    <w:rsid w:val="002847A4"/>
    <w:rsid w:val="0028747C"/>
    <w:rsid w:val="002918D2"/>
    <w:rsid w:val="00295DD9"/>
    <w:rsid w:val="00296FB5"/>
    <w:rsid w:val="002A0AC3"/>
    <w:rsid w:val="002A16A1"/>
    <w:rsid w:val="002A2785"/>
    <w:rsid w:val="002A4397"/>
    <w:rsid w:val="002A74C9"/>
    <w:rsid w:val="002B4AAB"/>
    <w:rsid w:val="002B5977"/>
    <w:rsid w:val="002B704F"/>
    <w:rsid w:val="002B73D4"/>
    <w:rsid w:val="002C4F4E"/>
    <w:rsid w:val="002C5689"/>
    <w:rsid w:val="002D06E6"/>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3857"/>
    <w:rsid w:val="00316253"/>
    <w:rsid w:val="003162C9"/>
    <w:rsid w:val="003164A3"/>
    <w:rsid w:val="003209F0"/>
    <w:rsid w:val="00330A4A"/>
    <w:rsid w:val="00330D38"/>
    <w:rsid w:val="00333E10"/>
    <w:rsid w:val="0033618C"/>
    <w:rsid w:val="00340D7B"/>
    <w:rsid w:val="0035013D"/>
    <w:rsid w:val="003516E9"/>
    <w:rsid w:val="00351DD9"/>
    <w:rsid w:val="0035215C"/>
    <w:rsid w:val="00354281"/>
    <w:rsid w:val="00362C25"/>
    <w:rsid w:val="00367B19"/>
    <w:rsid w:val="003714F8"/>
    <w:rsid w:val="003730AC"/>
    <w:rsid w:val="00373F25"/>
    <w:rsid w:val="003816E8"/>
    <w:rsid w:val="00390282"/>
    <w:rsid w:val="00390694"/>
    <w:rsid w:val="0039456A"/>
    <w:rsid w:val="003A01CC"/>
    <w:rsid w:val="003A0AF3"/>
    <w:rsid w:val="003A2131"/>
    <w:rsid w:val="003A6170"/>
    <w:rsid w:val="003A6412"/>
    <w:rsid w:val="003A780D"/>
    <w:rsid w:val="003A7A47"/>
    <w:rsid w:val="003B008B"/>
    <w:rsid w:val="003B243D"/>
    <w:rsid w:val="003B2AC9"/>
    <w:rsid w:val="003B5FE4"/>
    <w:rsid w:val="003C29B3"/>
    <w:rsid w:val="003C2E39"/>
    <w:rsid w:val="003C457B"/>
    <w:rsid w:val="003C473D"/>
    <w:rsid w:val="003D3DAD"/>
    <w:rsid w:val="003D602D"/>
    <w:rsid w:val="003D7C83"/>
    <w:rsid w:val="003E06C3"/>
    <w:rsid w:val="003E417F"/>
    <w:rsid w:val="003E4B85"/>
    <w:rsid w:val="003E6DEA"/>
    <w:rsid w:val="003E7A6E"/>
    <w:rsid w:val="003E7C2B"/>
    <w:rsid w:val="003F1F58"/>
    <w:rsid w:val="003F2145"/>
    <w:rsid w:val="003F2201"/>
    <w:rsid w:val="003F2C7A"/>
    <w:rsid w:val="003F3270"/>
    <w:rsid w:val="003F34A4"/>
    <w:rsid w:val="003F3634"/>
    <w:rsid w:val="003F4DF1"/>
    <w:rsid w:val="003F5031"/>
    <w:rsid w:val="003F585E"/>
    <w:rsid w:val="003F5CC8"/>
    <w:rsid w:val="003F7952"/>
    <w:rsid w:val="003F7DA1"/>
    <w:rsid w:val="00401D14"/>
    <w:rsid w:val="00401E35"/>
    <w:rsid w:val="00402EAD"/>
    <w:rsid w:val="004037A1"/>
    <w:rsid w:val="00410B7D"/>
    <w:rsid w:val="004215DC"/>
    <w:rsid w:val="0042185C"/>
    <w:rsid w:val="00422341"/>
    <w:rsid w:val="00423747"/>
    <w:rsid w:val="004254F3"/>
    <w:rsid w:val="00426A12"/>
    <w:rsid w:val="00432D76"/>
    <w:rsid w:val="0044045B"/>
    <w:rsid w:val="0044347C"/>
    <w:rsid w:val="004516DC"/>
    <w:rsid w:val="004527E5"/>
    <w:rsid w:val="0045325F"/>
    <w:rsid w:val="00454513"/>
    <w:rsid w:val="0046034C"/>
    <w:rsid w:val="004607DB"/>
    <w:rsid w:val="004634F1"/>
    <w:rsid w:val="00466359"/>
    <w:rsid w:val="00466C12"/>
    <w:rsid w:val="004704D3"/>
    <w:rsid w:val="00474CE3"/>
    <w:rsid w:val="004755A1"/>
    <w:rsid w:val="00480FE1"/>
    <w:rsid w:val="00482ABC"/>
    <w:rsid w:val="004838F7"/>
    <w:rsid w:val="00490AE1"/>
    <w:rsid w:val="004952DE"/>
    <w:rsid w:val="004A00AB"/>
    <w:rsid w:val="004A0293"/>
    <w:rsid w:val="004A1A73"/>
    <w:rsid w:val="004A1E30"/>
    <w:rsid w:val="004A40A8"/>
    <w:rsid w:val="004A433D"/>
    <w:rsid w:val="004A493A"/>
    <w:rsid w:val="004B127E"/>
    <w:rsid w:val="004B2313"/>
    <w:rsid w:val="004B5713"/>
    <w:rsid w:val="004B5F8E"/>
    <w:rsid w:val="004B709E"/>
    <w:rsid w:val="004C4C5D"/>
    <w:rsid w:val="004D012A"/>
    <w:rsid w:val="004D1FE1"/>
    <w:rsid w:val="004D287E"/>
    <w:rsid w:val="004E1AB3"/>
    <w:rsid w:val="004E79E1"/>
    <w:rsid w:val="004F4FE2"/>
    <w:rsid w:val="004F6C82"/>
    <w:rsid w:val="004F75B6"/>
    <w:rsid w:val="005060B8"/>
    <w:rsid w:val="0050662C"/>
    <w:rsid w:val="00507203"/>
    <w:rsid w:val="005073CE"/>
    <w:rsid w:val="00510DA9"/>
    <w:rsid w:val="00520A77"/>
    <w:rsid w:val="00526642"/>
    <w:rsid w:val="00530A72"/>
    <w:rsid w:val="0053148D"/>
    <w:rsid w:val="00534718"/>
    <w:rsid w:val="005404C9"/>
    <w:rsid w:val="005453F5"/>
    <w:rsid w:val="00545E0A"/>
    <w:rsid w:val="00546A08"/>
    <w:rsid w:val="00551F8B"/>
    <w:rsid w:val="00556E42"/>
    <w:rsid w:val="005604F7"/>
    <w:rsid w:val="005611FC"/>
    <w:rsid w:val="00561D42"/>
    <w:rsid w:val="005700C1"/>
    <w:rsid w:val="00570CCA"/>
    <w:rsid w:val="005730BC"/>
    <w:rsid w:val="00573E01"/>
    <w:rsid w:val="00574205"/>
    <w:rsid w:val="00580068"/>
    <w:rsid w:val="00580E0D"/>
    <w:rsid w:val="005821FD"/>
    <w:rsid w:val="00582AA2"/>
    <w:rsid w:val="00585098"/>
    <w:rsid w:val="00591107"/>
    <w:rsid w:val="005914F2"/>
    <w:rsid w:val="0059597A"/>
    <w:rsid w:val="005A01B3"/>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3135"/>
    <w:rsid w:val="005F3418"/>
    <w:rsid w:val="00601076"/>
    <w:rsid w:val="00604B18"/>
    <w:rsid w:val="00606985"/>
    <w:rsid w:val="006136C0"/>
    <w:rsid w:val="00614800"/>
    <w:rsid w:val="00614B14"/>
    <w:rsid w:val="006159DD"/>
    <w:rsid w:val="00620069"/>
    <w:rsid w:val="00621EB7"/>
    <w:rsid w:val="0062501A"/>
    <w:rsid w:val="00627058"/>
    <w:rsid w:val="006311FC"/>
    <w:rsid w:val="00635ED9"/>
    <w:rsid w:val="0064431C"/>
    <w:rsid w:val="006455A2"/>
    <w:rsid w:val="00647639"/>
    <w:rsid w:val="006476EF"/>
    <w:rsid w:val="00657BBD"/>
    <w:rsid w:val="00660632"/>
    <w:rsid w:val="00670F83"/>
    <w:rsid w:val="00671C05"/>
    <w:rsid w:val="00673CCF"/>
    <w:rsid w:val="006747BB"/>
    <w:rsid w:val="006772C5"/>
    <w:rsid w:val="00677D06"/>
    <w:rsid w:val="006806C4"/>
    <w:rsid w:val="0068252D"/>
    <w:rsid w:val="006848E0"/>
    <w:rsid w:val="0069163F"/>
    <w:rsid w:val="00691B34"/>
    <w:rsid w:val="00696615"/>
    <w:rsid w:val="006967AC"/>
    <w:rsid w:val="006A1DB5"/>
    <w:rsid w:val="006A20CD"/>
    <w:rsid w:val="006A30CF"/>
    <w:rsid w:val="006A45B7"/>
    <w:rsid w:val="006A7BDA"/>
    <w:rsid w:val="006B1B9E"/>
    <w:rsid w:val="006B2575"/>
    <w:rsid w:val="006B48DD"/>
    <w:rsid w:val="006C04EE"/>
    <w:rsid w:val="006C0633"/>
    <w:rsid w:val="006C36AF"/>
    <w:rsid w:val="006C3719"/>
    <w:rsid w:val="006C4DCC"/>
    <w:rsid w:val="006C5CC3"/>
    <w:rsid w:val="006C5E73"/>
    <w:rsid w:val="006D20CC"/>
    <w:rsid w:val="006D290B"/>
    <w:rsid w:val="006E5411"/>
    <w:rsid w:val="006F1F41"/>
    <w:rsid w:val="006F221C"/>
    <w:rsid w:val="006F2C34"/>
    <w:rsid w:val="006F3ACC"/>
    <w:rsid w:val="00701099"/>
    <w:rsid w:val="00702913"/>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62917"/>
    <w:rsid w:val="00771BC4"/>
    <w:rsid w:val="00771E39"/>
    <w:rsid w:val="00772938"/>
    <w:rsid w:val="0077790E"/>
    <w:rsid w:val="0078249F"/>
    <w:rsid w:val="00783ADD"/>
    <w:rsid w:val="00790144"/>
    <w:rsid w:val="007922B9"/>
    <w:rsid w:val="007B0595"/>
    <w:rsid w:val="007B1E58"/>
    <w:rsid w:val="007B6AFB"/>
    <w:rsid w:val="007C13DC"/>
    <w:rsid w:val="007C3054"/>
    <w:rsid w:val="007C38B1"/>
    <w:rsid w:val="007C5CCB"/>
    <w:rsid w:val="007D1CDD"/>
    <w:rsid w:val="007D6BA5"/>
    <w:rsid w:val="007E0ACA"/>
    <w:rsid w:val="007E2638"/>
    <w:rsid w:val="007E27D0"/>
    <w:rsid w:val="007E37CC"/>
    <w:rsid w:val="007E69EE"/>
    <w:rsid w:val="007E6A9E"/>
    <w:rsid w:val="007E77DE"/>
    <w:rsid w:val="007E7ACF"/>
    <w:rsid w:val="007F0AD1"/>
    <w:rsid w:val="007F4425"/>
    <w:rsid w:val="007F5208"/>
    <w:rsid w:val="007F5A92"/>
    <w:rsid w:val="007F5CA6"/>
    <w:rsid w:val="007F6B68"/>
    <w:rsid w:val="0080055D"/>
    <w:rsid w:val="00801827"/>
    <w:rsid w:val="00803B99"/>
    <w:rsid w:val="008041E6"/>
    <w:rsid w:val="0080554C"/>
    <w:rsid w:val="00807346"/>
    <w:rsid w:val="008106CF"/>
    <w:rsid w:val="00810F7A"/>
    <w:rsid w:val="008164F0"/>
    <w:rsid w:val="00821618"/>
    <w:rsid w:val="00824569"/>
    <w:rsid w:val="00826E6D"/>
    <w:rsid w:val="00833E35"/>
    <w:rsid w:val="00835870"/>
    <w:rsid w:val="00836E3C"/>
    <w:rsid w:val="008434A1"/>
    <w:rsid w:val="00844F15"/>
    <w:rsid w:val="00845CD4"/>
    <w:rsid w:val="00847D11"/>
    <w:rsid w:val="0085000A"/>
    <w:rsid w:val="00851856"/>
    <w:rsid w:val="00853B09"/>
    <w:rsid w:val="0085476E"/>
    <w:rsid w:val="00854A65"/>
    <w:rsid w:val="00862C7F"/>
    <w:rsid w:val="00866BBD"/>
    <w:rsid w:val="00867C7B"/>
    <w:rsid w:val="008705C5"/>
    <w:rsid w:val="00870623"/>
    <w:rsid w:val="00875E38"/>
    <w:rsid w:val="00881E2E"/>
    <w:rsid w:val="008859EB"/>
    <w:rsid w:val="00885B48"/>
    <w:rsid w:val="0088677F"/>
    <w:rsid w:val="008930E0"/>
    <w:rsid w:val="00894D29"/>
    <w:rsid w:val="00897802"/>
    <w:rsid w:val="00897BFB"/>
    <w:rsid w:val="008A0080"/>
    <w:rsid w:val="008A2B9F"/>
    <w:rsid w:val="008A3F69"/>
    <w:rsid w:val="008A416E"/>
    <w:rsid w:val="008A4824"/>
    <w:rsid w:val="008A64B0"/>
    <w:rsid w:val="008A6627"/>
    <w:rsid w:val="008B0115"/>
    <w:rsid w:val="008B080C"/>
    <w:rsid w:val="008B2026"/>
    <w:rsid w:val="008B39DF"/>
    <w:rsid w:val="008C39A9"/>
    <w:rsid w:val="008C7107"/>
    <w:rsid w:val="008C7C20"/>
    <w:rsid w:val="008D0CF9"/>
    <w:rsid w:val="008E16E5"/>
    <w:rsid w:val="008F2872"/>
    <w:rsid w:val="008F493B"/>
    <w:rsid w:val="008F5EEE"/>
    <w:rsid w:val="00901D59"/>
    <w:rsid w:val="00902388"/>
    <w:rsid w:val="00905181"/>
    <w:rsid w:val="00905A05"/>
    <w:rsid w:val="009128C7"/>
    <w:rsid w:val="009160F1"/>
    <w:rsid w:val="00921F09"/>
    <w:rsid w:val="0092213D"/>
    <w:rsid w:val="009252CA"/>
    <w:rsid w:val="009275CE"/>
    <w:rsid w:val="009311F7"/>
    <w:rsid w:val="00931A05"/>
    <w:rsid w:val="00934A0F"/>
    <w:rsid w:val="009361A7"/>
    <w:rsid w:val="00937F61"/>
    <w:rsid w:val="009417C6"/>
    <w:rsid w:val="00942CA0"/>
    <w:rsid w:val="00943267"/>
    <w:rsid w:val="0094360B"/>
    <w:rsid w:val="00944A5B"/>
    <w:rsid w:val="0094610A"/>
    <w:rsid w:val="00946C5E"/>
    <w:rsid w:val="009522D6"/>
    <w:rsid w:val="009543DE"/>
    <w:rsid w:val="0095597A"/>
    <w:rsid w:val="00956729"/>
    <w:rsid w:val="00957999"/>
    <w:rsid w:val="009605DD"/>
    <w:rsid w:val="009606C4"/>
    <w:rsid w:val="0096423A"/>
    <w:rsid w:val="00964D20"/>
    <w:rsid w:val="009713D6"/>
    <w:rsid w:val="00974298"/>
    <w:rsid w:val="00974575"/>
    <w:rsid w:val="009762E1"/>
    <w:rsid w:val="00983142"/>
    <w:rsid w:val="0098404B"/>
    <w:rsid w:val="00984552"/>
    <w:rsid w:val="00987BFB"/>
    <w:rsid w:val="0099788B"/>
    <w:rsid w:val="009B3613"/>
    <w:rsid w:val="009B4A9B"/>
    <w:rsid w:val="009B5F17"/>
    <w:rsid w:val="009B7D5D"/>
    <w:rsid w:val="009C0C3E"/>
    <w:rsid w:val="009C1415"/>
    <w:rsid w:val="009C5C25"/>
    <w:rsid w:val="009C79D3"/>
    <w:rsid w:val="009C7ECC"/>
    <w:rsid w:val="009D3474"/>
    <w:rsid w:val="009D5EB5"/>
    <w:rsid w:val="009D6EBF"/>
    <w:rsid w:val="009E1728"/>
    <w:rsid w:val="009F16AA"/>
    <w:rsid w:val="009F1E55"/>
    <w:rsid w:val="009F518E"/>
    <w:rsid w:val="009F650A"/>
    <w:rsid w:val="00A01E09"/>
    <w:rsid w:val="00A027E9"/>
    <w:rsid w:val="00A034CF"/>
    <w:rsid w:val="00A04712"/>
    <w:rsid w:val="00A04C06"/>
    <w:rsid w:val="00A1491D"/>
    <w:rsid w:val="00A16D01"/>
    <w:rsid w:val="00A1788B"/>
    <w:rsid w:val="00A210FE"/>
    <w:rsid w:val="00A269A1"/>
    <w:rsid w:val="00A30416"/>
    <w:rsid w:val="00A31801"/>
    <w:rsid w:val="00A34D90"/>
    <w:rsid w:val="00A41505"/>
    <w:rsid w:val="00A43891"/>
    <w:rsid w:val="00A4487E"/>
    <w:rsid w:val="00A456C6"/>
    <w:rsid w:val="00A46318"/>
    <w:rsid w:val="00A50515"/>
    <w:rsid w:val="00A50D4A"/>
    <w:rsid w:val="00A51F17"/>
    <w:rsid w:val="00A5583B"/>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604C"/>
    <w:rsid w:val="00A97FF8"/>
    <w:rsid w:val="00AA502E"/>
    <w:rsid w:val="00AB0565"/>
    <w:rsid w:val="00AB46AF"/>
    <w:rsid w:val="00AB5CB7"/>
    <w:rsid w:val="00AC1E38"/>
    <w:rsid w:val="00AC4F49"/>
    <w:rsid w:val="00AC62EE"/>
    <w:rsid w:val="00AC6D42"/>
    <w:rsid w:val="00AC7E7A"/>
    <w:rsid w:val="00AD126B"/>
    <w:rsid w:val="00AD3753"/>
    <w:rsid w:val="00AD40B1"/>
    <w:rsid w:val="00AD5C53"/>
    <w:rsid w:val="00AD6CA4"/>
    <w:rsid w:val="00AE042A"/>
    <w:rsid w:val="00AE2131"/>
    <w:rsid w:val="00AE308A"/>
    <w:rsid w:val="00AE64A0"/>
    <w:rsid w:val="00AF047D"/>
    <w:rsid w:val="00AF0C7A"/>
    <w:rsid w:val="00AF23E6"/>
    <w:rsid w:val="00AF3343"/>
    <w:rsid w:val="00AF58E7"/>
    <w:rsid w:val="00AF7D95"/>
    <w:rsid w:val="00B002A4"/>
    <w:rsid w:val="00B01658"/>
    <w:rsid w:val="00B0635A"/>
    <w:rsid w:val="00B06490"/>
    <w:rsid w:val="00B1430B"/>
    <w:rsid w:val="00B223F6"/>
    <w:rsid w:val="00B2369A"/>
    <w:rsid w:val="00B2425C"/>
    <w:rsid w:val="00B24F1C"/>
    <w:rsid w:val="00B2591D"/>
    <w:rsid w:val="00B2708E"/>
    <w:rsid w:val="00B3227A"/>
    <w:rsid w:val="00B33254"/>
    <w:rsid w:val="00B344C0"/>
    <w:rsid w:val="00B4073D"/>
    <w:rsid w:val="00B42CA5"/>
    <w:rsid w:val="00B431B0"/>
    <w:rsid w:val="00B453B5"/>
    <w:rsid w:val="00B46B78"/>
    <w:rsid w:val="00B5141E"/>
    <w:rsid w:val="00B523F3"/>
    <w:rsid w:val="00B5250D"/>
    <w:rsid w:val="00B54AE7"/>
    <w:rsid w:val="00B56B19"/>
    <w:rsid w:val="00B60444"/>
    <w:rsid w:val="00B62DDF"/>
    <w:rsid w:val="00B667B0"/>
    <w:rsid w:val="00B66B74"/>
    <w:rsid w:val="00B70140"/>
    <w:rsid w:val="00B8058A"/>
    <w:rsid w:val="00B80A72"/>
    <w:rsid w:val="00B818A5"/>
    <w:rsid w:val="00B871AA"/>
    <w:rsid w:val="00B9156B"/>
    <w:rsid w:val="00B93606"/>
    <w:rsid w:val="00B93C43"/>
    <w:rsid w:val="00B93CB9"/>
    <w:rsid w:val="00B959BC"/>
    <w:rsid w:val="00B95E7E"/>
    <w:rsid w:val="00B97883"/>
    <w:rsid w:val="00B97AE8"/>
    <w:rsid w:val="00B97AF5"/>
    <w:rsid w:val="00BA28F0"/>
    <w:rsid w:val="00BA2FEB"/>
    <w:rsid w:val="00BB1218"/>
    <w:rsid w:val="00BC046D"/>
    <w:rsid w:val="00BC696D"/>
    <w:rsid w:val="00BD1C35"/>
    <w:rsid w:val="00BD63B2"/>
    <w:rsid w:val="00BD787B"/>
    <w:rsid w:val="00BE45E0"/>
    <w:rsid w:val="00BE5DD4"/>
    <w:rsid w:val="00BF2B94"/>
    <w:rsid w:val="00BF2C09"/>
    <w:rsid w:val="00BF44CD"/>
    <w:rsid w:val="00BF5B57"/>
    <w:rsid w:val="00C01F2A"/>
    <w:rsid w:val="00C0259E"/>
    <w:rsid w:val="00C042D9"/>
    <w:rsid w:val="00C10F91"/>
    <w:rsid w:val="00C11BA1"/>
    <w:rsid w:val="00C13D1C"/>
    <w:rsid w:val="00C20F21"/>
    <w:rsid w:val="00C22901"/>
    <w:rsid w:val="00C23BAE"/>
    <w:rsid w:val="00C27C05"/>
    <w:rsid w:val="00C30344"/>
    <w:rsid w:val="00C31020"/>
    <w:rsid w:val="00C31F39"/>
    <w:rsid w:val="00C36E52"/>
    <w:rsid w:val="00C40DCC"/>
    <w:rsid w:val="00C43492"/>
    <w:rsid w:val="00C44869"/>
    <w:rsid w:val="00C51C63"/>
    <w:rsid w:val="00C52138"/>
    <w:rsid w:val="00C534C4"/>
    <w:rsid w:val="00C60219"/>
    <w:rsid w:val="00C6057E"/>
    <w:rsid w:val="00C6216A"/>
    <w:rsid w:val="00C6362C"/>
    <w:rsid w:val="00C64396"/>
    <w:rsid w:val="00C64B1C"/>
    <w:rsid w:val="00C6621E"/>
    <w:rsid w:val="00C66BB5"/>
    <w:rsid w:val="00C67365"/>
    <w:rsid w:val="00C72CE5"/>
    <w:rsid w:val="00C74906"/>
    <w:rsid w:val="00C7654E"/>
    <w:rsid w:val="00C76938"/>
    <w:rsid w:val="00C77110"/>
    <w:rsid w:val="00C83A34"/>
    <w:rsid w:val="00C83F72"/>
    <w:rsid w:val="00C83FC1"/>
    <w:rsid w:val="00C841F4"/>
    <w:rsid w:val="00C84F03"/>
    <w:rsid w:val="00C90720"/>
    <w:rsid w:val="00C96377"/>
    <w:rsid w:val="00C97021"/>
    <w:rsid w:val="00C971EF"/>
    <w:rsid w:val="00CA65AD"/>
    <w:rsid w:val="00CA6BA6"/>
    <w:rsid w:val="00CA6D0F"/>
    <w:rsid w:val="00CB6B36"/>
    <w:rsid w:val="00CC193E"/>
    <w:rsid w:val="00CC2452"/>
    <w:rsid w:val="00CC380D"/>
    <w:rsid w:val="00CC5C3D"/>
    <w:rsid w:val="00CD2C73"/>
    <w:rsid w:val="00CD3508"/>
    <w:rsid w:val="00CD6D25"/>
    <w:rsid w:val="00CE01B8"/>
    <w:rsid w:val="00CF0221"/>
    <w:rsid w:val="00CF3DE3"/>
    <w:rsid w:val="00CF5992"/>
    <w:rsid w:val="00CF786B"/>
    <w:rsid w:val="00D12955"/>
    <w:rsid w:val="00D1463B"/>
    <w:rsid w:val="00D1657B"/>
    <w:rsid w:val="00D178F4"/>
    <w:rsid w:val="00D21E38"/>
    <w:rsid w:val="00D25B7C"/>
    <w:rsid w:val="00D2666F"/>
    <w:rsid w:val="00D26888"/>
    <w:rsid w:val="00D33A34"/>
    <w:rsid w:val="00D343E9"/>
    <w:rsid w:val="00D36E39"/>
    <w:rsid w:val="00D414E3"/>
    <w:rsid w:val="00D43BD4"/>
    <w:rsid w:val="00D4400C"/>
    <w:rsid w:val="00D467E5"/>
    <w:rsid w:val="00D4693B"/>
    <w:rsid w:val="00D534E9"/>
    <w:rsid w:val="00D5624B"/>
    <w:rsid w:val="00D577BF"/>
    <w:rsid w:val="00D60A6A"/>
    <w:rsid w:val="00D619D5"/>
    <w:rsid w:val="00D63AF7"/>
    <w:rsid w:val="00D70332"/>
    <w:rsid w:val="00D71729"/>
    <w:rsid w:val="00D7253B"/>
    <w:rsid w:val="00D73A05"/>
    <w:rsid w:val="00D74ACA"/>
    <w:rsid w:val="00D74F02"/>
    <w:rsid w:val="00D7586C"/>
    <w:rsid w:val="00D76707"/>
    <w:rsid w:val="00D8010F"/>
    <w:rsid w:val="00D804B0"/>
    <w:rsid w:val="00D813A4"/>
    <w:rsid w:val="00D85455"/>
    <w:rsid w:val="00D90379"/>
    <w:rsid w:val="00D94442"/>
    <w:rsid w:val="00DA3693"/>
    <w:rsid w:val="00DB19F5"/>
    <w:rsid w:val="00DB3F8A"/>
    <w:rsid w:val="00DB66A8"/>
    <w:rsid w:val="00DB66E8"/>
    <w:rsid w:val="00DB6CF6"/>
    <w:rsid w:val="00DB7FB5"/>
    <w:rsid w:val="00DC4A2F"/>
    <w:rsid w:val="00DC4CF8"/>
    <w:rsid w:val="00DD203F"/>
    <w:rsid w:val="00DD540C"/>
    <w:rsid w:val="00DD5722"/>
    <w:rsid w:val="00DE15F6"/>
    <w:rsid w:val="00DE168C"/>
    <w:rsid w:val="00DE410C"/>
    <w:rsid w:val="00DE4F2D"/>
    <w:rsid w:val="00DE5278"/>
    <w:rsid w:val="00DF0DDB"/>
    <w:rsid w:val="00DF7F7E"/>
    <w:rsid w:val="00E122FC"/>
    <w:rsid w:val="00E1259A"/>
    <w:rsid w:val="00E13DAF"/>
    <w:rsid w:val="00E172E1"/>
    <w:rsid w:val="00E312A1"/>
    <w:rsid w:val="00E374EF"/>
    <w:rsid w:val="00E42CB8"/>
    <w:rsid w:val="00E450F3"/>
    <w:rsid w:val="00E45DF0"/>
    <w:rsid w:val="00E47ECC"/>
    <w:rsid w:val="00E47F23"/>
    <w:rsid w:val="00E50092"/>
    <w:rsid w:val="00E525BA"/>
    <w:rsid w:val="00E6086D"/>
    <w:rsid w:val="00E618FF"/>
    <w:rsid w:val="00E6237B"/>
    <w:rsid w:val="00E67522"/>
    <w:rsid w:val="00E72261"/>
    <w:rsid w:val="00E75F17"/>
    <w:rsid w:val="00E762D8"/>
    <w:rsid w:val="00E826E8"/>
    <w:rsid w:val="00E83981"/>
    <w:rsid w:val="00E83BCA"/>
    <w:rsid w:val="00E852FA"/>
    <w:rsid w:val="00E87EF2"/>
    <w:rsid w:val="00E904B4"/>
    <w:rsid w:val="00E96F9E"/>
    <w:rsid w:val="00E9762C"/>
    <w:rsid w:val="00EA574B"/>
    <w:rsid w:val="00EB3198"/>
    <w:rsid w:val="00EB36F2"/>
    <w:rsid w:val="00EB72A4"/>
    <w:rsid w:val="00EB7C65"/>
    <w:rsid w:val="00EC29A9"/>
    <w:rsid w:val="00EC4C0B"/>
    <w:rsid w:val="00ED26B2"/>
    <w:rsid w:val="00ED398D"/>
    <w:rsid w:val="00ED64A1"/>
    <w:rsid w:val="00ED7F39"/>
    <w:rsid w:val="00EE0550"/>
    <w:rsid w:val="00EF2CC8"/>
    <w:rsid w:val="00EF6259"/>
    <w:rsid w:val="00EF73A3"/>
    <w:rsid w:val="00EF74F2"/>
    <w:rsid w:val="00F00160"/>
    <w:rsid w:val="00F044C8"/>
    <w:rsid w:val="00F04F4B"/>
    <w:rsid w:val="00F054DA"/>
    <w:rsid w:val="00F06549"/>
    <w:rsid w:val="00F10665"/>
    <w:rsid w:val="00F107FE"/>
    <w:rsid w:val="00F224D8"/>
    <w:rsid w:val="00F2284B"/>
    <w:rsid w:val="00F22C76"/>
    <w:rsid w:val="00F24BCE"/>
    <w:rsid w:val="00F25B69"/>
    <w:rsid w:val="00F337CE"/>
    <w:rsid w:val="00F35CF4"/>
    <w:rsid w:val="00F3652C"/>
    <w:rsid w:val="00F36C64"/>
    <w:rsid w:val="00F405BD"/>
    <w:rsid w:val="00F4138E"/>
    <w:rsid w:val="00F42317"/>
    <w:rsid w:val="00F44026"/>
    <w:rsid w:val="00F5442D"/>
    <w:rsid w:val="00F609C8"/>
    <w:rsid w:val="00F63A0D"/>
    <w:rsid w:val="00F71174"/>
    <w:rsid w:val="00F729F5"/>
    <w:rsid w:val="00F729FE"/>
    <w:rsid w:val="00F77218"/>
    <w:rsid w:val="00F83B17"/>
    <w:rsid w:val="00F86FA7"/>
    <w:rsid w:val="00F91AA5"/>
    <w:rsid w:val="00FA0B01"/>
    <w:rsid w:val="00FA0D53"/>
    <w:rsid w:val="00FA1B9A"/>
    <w:rsid w:val="00FA2A85"/>
    <w:rsid w:val="00FA36C7"/>
    <w:rsid w:val="00FA76CF"/>
    <w:rsid w:val="00FB114E"/>
    <w:rsid w:val="00FB1B66"/>
    <w:rsid w:val="00FB275A"/>
    <w:rsid w:val="00FB2DB0"/>
    <w:rsid w:val="00FB3D7D"/>
    <w:rsid w:val="00FB5474"/>
    <w:rsid w:val="00FC29A3"/>
    <w:rsid w:val="00FC474E"/>
    <w:rsid w:val="00FC4880"/>
    <w:rsid w:val="00FC58FF"/>
    <w:rsid w:val="00FC7186"/>
    <w:rsid w:val="00FD66DA"/>
    <w:rsid w:val="00FE0B4C"/>
    <w:rsid w:val="00FE51DB"/>
    <w:rsid w:val="00FF2381"/>
    <w:rsid w:val="00FF6122"/>
    <w:rsid w:val="00FF6A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0070AA-F325-4B8F-953C-2ADB285D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274287643">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9F495-2154-456F-8699-97C8517A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6147</Words>
  <Characters>33813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Asistente S.E</cp:lastModifiedBy>
  <cp:revision>3</cp:revision>
  <cp:lastPrinted>2017-07-21T15:43:00Z</cp:lastPrinted>
  <dcterms:created xsi:type="dcterms:W3CDTF">2017-09-12T21:00:00Z</dcterms:created>
  <dcterms:modified xsi:type="dcterms:W3CDTF">2017-09-13T14:42:00Z</dcterms:modified>
</cp:coreProperties>
</file>