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3666" w14:textId="77777777" w:rsidR="00E91877" w:rsidRPr="001A3D24" w:rsidRDefault="00E91877" w:rsidP="001A3D24">
      <w:pPr>
        <w:pStyle w:val="Ttulo"/>
        <w:jc w:val="both"/>
        <w:rPr>
          <w:rFonts w:eastAsia="Arial"/>
          <w:sz w:val="36"/>
          <w:szCs w:val="36"/>
        </w:rPr>
      </w:pPr>
      <w:bookmarkStart w:id="0" w:name="_GoBack"/>
      <w:bookmarkEnd w:id="0"/>
      <w:r w:rsidRPr="001A3D24">
        <w:rPr>
          <w:rFonts w:eastAsia="Arial"/>
          <w:sz w:val="36"/>
          <w:szCs w:val="36"/>
        </w:rPr>
        <w:t xml:space="preserve">RECOMENDACIONES TÉCNICAS PARA LA INTEGRACIÓN Y CONSERVACIÓN DEL EXPEDIENTE DE LAS SOLICITUDES DE ACCESO A LA INFORMACIÓN </w:t>
      </w:r>
    </w:p>
    <w:p w14:paraId="7A219D86" w14:textId="77777777" w:rsidR="00B5132D" w:rsidRPr="001A3D24" w:rsidRDefault="00B5132D" w:rsidP="001A3D24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76A51FE7" w14:textId="1C42F83A" w:rsidR="00B5132D" w:rsidRPr="001A3D24" w:rsidRDefault="00EC06AA" w:rsidP="001A3D24">
      <w:pPr>
        <w:spacing w:line="240" w:lineRule="auto"/>
        <w:jc w:val="center"/>
        <w:rPr>
          <w:rFonts w:asciiTheme="majorHAnsi" w:eastAsia="Arial" w:hAnsiTheme="majorHAnsi" w:cstheme="majorHAnsi"/>
          <w:b/>
          <w:bCs/>
          <w:sz w:val="36"/>
          <w:szCs w:val="36"/>
        </w:rPr>
      </w:pPr>
      <w:r w:rsidRPr="001A3D24">
        <w:rPr>
          <w:rFonts w:asciiTheme="majorHAnsi" w:eastAsia="Arial" w:hAnsiTheme="majorHAnsi" w:cstheme="majorHAnsi"/>
          <w:b/>
          <w:bCs/>
          <w:sz w:val="36"/>
          <w:szCs w:val="36"/>
        </w:rPr>
        <w:t>CONSIDERANDOS</w:t>
      </w:r>
    </w:p>
    <w:p w14:paraId="37C5D56F" w14:textId="77777777" w:rsidR="009B0F17" w:rsidRPr="001A3D24" w:rsidRDefault="0033395B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b/>
          <w:bCs/>
          <w:sz w:val="24"/>
          <w:szCs w:val="24"/>
        </w:rPr>
        <w:t>Primero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.- </w:t>
      </w:r>
      <w:r w:rsidR="006421A4" w:rsidRPr="001A3D24">
        <w:rPr>
          <w:rFonts w:asciiTheme="majorHAnsi" w:eastAsia="Arial" w:hAnsiTheme="majorHAnsi" w:cstheme="majorHAnsi"/>
          <w:sz w:val="24"/>
          <w:szCs w:val="24"/>
        </w:rPr>
        <w:t>Que d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e conformidad con lo dispuesto en el 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 xml:space="preserve">Titulo Séptimo, 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Capítulo I</w:t>
      </w:r>
      <w:r w:rsidR="006421A4" w:rsidRPr="001A3D24">
        <w:rPr>
          <w:rFonts w:asciiTheme="majorHAnsi" w:eastAsia="Arial" w:hAnsiTheme="majorHAnsi" w:cstheme="majorHAnsi"/>
          <w:sz w:val="24"/>
          <w:szCs w:val="24"/>
        </w:rPr>
        <w:t>,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 Del procedimiento de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a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cceso a la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i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nformación, de la Ley General de Transparencia y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A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cceso a la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I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nformación Pública, así como en el Título Séptimo, capítulo único de la Ley de Transparencia y Acceso a la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I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nformación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P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ública del Estado de Yucatán, el procedimiento para ejercer el derecho de acceso a la información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,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 inicia con la presentación de la solicitud de acceso a la información y concluye con la entrega de la información, 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según</w:t>
      </w:r>
      <w:r w:rsidR="00351135" w:rsidRPr="001A3D24">
        <w:rPr>
          <w:rFonts w:asciiTheme="majorHAnsi" w:eastAsia="Arial" w:hAnsiTheme="majorHAnsi" w:cstheme="majorHAnsi"/>
          <w:sz w:val="24"/>
          <w:szCs w:val="24"/>
        </w:rPr>
        <w:t xml:space="preserve"> proceda</w:t>
      </w:r>
      <w:r w:rsidR="003344EE" w:rsidRPr="001A3D24">
        <w:rPr>
          <w:rFonts w:asciiTheme="majorHAnsi" w:eastAsia="Arial" w:hAnsiTheme="majorHAnsi" w:cstheme="majorHAnsi"/>
          <w:sz w:val="24"/>
          <w:szCs w:val="24"/>
        </w:rPr>
        <w:t>,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351135" w:rsidRPr="001A3D24">
        <w:rPr>
          <w:rFonts w:asciiTheme="majorHAnsi" w:eastAsia="Arial" w:hAnsiTheme="majorHAnsi" w:cstheme="majorHAnsi"/>
          <w:sz w:val="24"/>
          <w:szCs w:val="24"/>
        </w:rPr>
        <w:t>atendiendo a los supuestos establecidos en dicha normativa</w:t>
      </w:r>
      <w:r w:rsidR="006421A4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3B99C82F" w14:textId="4F6C15E6" w:rsidR="003E6275" w:rsidRPr="001A3D24" w:rsidRDefault="003E6275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proofErr w:type="gramStart"/>
      <w:r w:rsidRPr="001A3D24">
        <w:rPr>
          <w:rFonts w:asciiTheme="majorHAnsi" w:eastAsia="Arial" w:hAnsiTheme="majorHAnsi" w:cstheme="majorHAnsi"/>
          <w:b/>
          <w:bCs/>
          <w:sz w:val="24"/>
          <w:szCs w:val="24"/>
        </w:rPr>
        <w:t>Segundo</w:t>
      </w:r>
      <w:r w:rsidRPr="001A3D24">
        <w:rPr>
          <w:rFonts w:asciiTheme="majorHAnsi" w:eastAsia="Arial" w:hAnsiTheme="majorHAnsi" w:cstheme="majorHAnsi"/>
          <w:sz w:val="24"/>
          <w:szCs w:val="24"/>
        </w:rPr>
        <w:t>.-</w:t>
      </w:r>
      <w:proofErr w:type="gramEnd"/>
      <w:r w:rsidRPr="001A3D24">
        <w:rPr>
          <w:rFonts w:asciiTheme="majorHAnsi" w:eastAsia="Arial" w:hAnsiTheme="majorHAnsi" w:cstheme="majorHAnsi"/>
          <w:sz w:val="24"/>
          <w:szCs w:val="24"/>
        </w:rPr>
        <w:t xml:space="preserve"> Que el artículo 134 de la Ley General, señala que los sujetos obligados establecerán la forma y términos en </w:t>
      </w:r>
      <w:r w:rsidR="001A3D24">
        <w:rPr>
          <w:rFonts w:asciiTheme="majorHAnsi" w:eastAsia="Arial" w:hAnsiTheme="majorHAnsi" w:cstheme="majorHAnsi"/>
          <w:sz w:val="24"/>
          <w:szCs w:val="24"/>
        </w:rPr>
        <w:t xml:space="preserve">los </w:t>
      </w:r>
      <w:r w:rsidRPr="001A3D24">
        <w:rPr>
          <w:rFonts w:asciiTheme="majorHAnsi" w:eastAsia="Arial" w:hAnsiTheme="majorHAnsi" w:cstheme="majorHAnsi"/>
          <w:sz w:val="24"/>
          <w:szCs w:val="24"/>
        </w:rPr>
        <w:t>que darán trámite interno a las solicitudes en materia de acceso a la información.</w:t>
      </w:r>
    </w:p>
    <w:p w14:paraId="15A18A25" w14:textId="633D9278" w:rsidR="00292353" w:rsidRPr="001A3D24" w:rsidRDefault="003E6275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proofErr w:type="gramStart"/>
      <w:r w:rsidRPr="001A3D24">
        <w:rPr>
          <w:rFonts w:asciiTheme="majorHAnsi" w:eastAsia="Arial" w:hAnsiTheme="majorHAnsi" w:cstheme="majorHAnsi"/>
          <w:b/>
          <w:bCs/>
          <w:sz w:val="24"/>
          <w:szCs w:val="24"/>
        </w:rPr>
        <w:t>Tercero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.-</w:t>
      </w:r>
      <w:proofErr w:type="gramEnd"/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A3D24">
        <w:rPr>
          <w:rFonts w:asciiTheme="majorHAnsi" w:eastAsia="Arial" w:hAnsiTheme="majorHAnsi" w:cstheme="majorHAnsi"/>
          <w:sz w:val="24"/>
          <w:szCs w:val="24"/>
        </w:rPr>
        <w:t>P</w:t>
      </w:r>
      <w:r w:rsidR="00B5132D" w:rsidRPr="001A3D24">
        <w:rPr>
          <w:rFonts w:asciiTheme="majorHAnsi" w:eastAsia="Arial" w:hAnsiTheme="majorHAnsi" w:cstheme="majorHAnsi"/>
          <w:sz w:val="24"/>
          <w:szCs w:val="24"/>
        </w:rPr>
        <w:t>ara documentar todo acto que se derive del ejercicio de facultades, competencias o funciones</w:t>
      </w:r>
      <w:r w:rsidR="00B0656C" w:rsidRPr="001A3D24">
        <w:rPr>
          <w:rFonts w:asciiTheme="majorHAnsi" w:eastAsia="Arial" w:hAnsiTheme="majorHAnsi" w:cstheme="majorHAnsi"/>
          <w:sz w:val="24"/>
          <w:szCs w:val="24"/>
        </w:rPr>
        <w:t xml:space="preserve">, es necesario 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 xml:space="preserve">contar con archivos 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administrativos actualizados, </w:t>
      </w:r>
      <w:r w:rsidR="00991D93" w:rsidRPr="001A3D24">
        <w:rPr>
          <w:rFonts w:asciiTheme="majorHAnsi" w:eastAsia="Arial" w:hAnsiTheme="majorHAnsi" w:cstheme="majorHAnsi"/>
          <w:sz w:val="24"/>
          <w:szCs w:val="24"/>
        </w:rPr>
        <w:t>dotados de fiabilidad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 xml:space="preserve"> que reflejen asuntos completos y </w:t>
      </w:r>
      <w:r w:rsidR="009A0A6C" w:rsidRPr="001A3D24">
        <w:rPr>
          <w:rFonts w:asciiTheme="majorHAnsi" w:eastAsia="Arial" w:hAnsiTheme="majorHAnsi" w:cstheme="majorHAnsi"/>
          <w:sz w:val="24"/>
          <w:szCs w:val="24"/>
        </w:rPr>
        <w:t>concluidos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713D6376" w14:textId="480CE397" w:rsidR="00EC06AA" w:rsidRPr="001A3D24" w:rsidRDefault="003E6275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proofErr w:type="gramStart"/>
      <w:r w:rsidRPr="001A3D24">
        <w:rPr>
          <w:rFonts w:asciiTheme="majorHAnsi" w:eastAsia="Arial" w:hAnsiTheme="majorHAnsi" w:cstheme="majorHAnsi"/>
          <w:b/>
          <w:bCs/>
          <w:sz w:val="24"/>
          <w:szCs w:val="24"/>
        </w:rPr>
        <w:t>Cuarto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.-</w:t>
      </w:r>
      <w:proofErr w:type="gramEnd"/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A3D24">
        <w:rPr>
          <w:rFonts w:asciiTheme="majorHAnsi" w:eastAsia="Arial" w:hAnsiTheme="majorHAnsi" w:cstheme="majorHAnsi"/>
          <w:sz w:val="24"/>
          <w:szCs w:val="24"/>
        </w:rPr>
        <w:t>P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 xml:space="preserve">ara </w:t>
      </w:r>
      <w:r w:rsidR="006421A4" w:rsidRPr="001A3D24">
        <w:rPr>
          <w:rFonts w:asciiTheme="majorHAnsi" w:eastAsia="Arial" w:hAnsiTheme="majorHAnsi" w:cstheme="majorHAnsi"/>
          <w:sz w:val="24"/>
          <w:szCs w:val="24"/>
        </w:rPr>
        <w:t>hacer eficiente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 xml:space="preserve"> el </w:t>
      </w:r>
      <w:r w:rsidR="001A3D24">
        <w:rPr>
          <w:rFonts w:asciiTheme="majorHAnsi" w:eastAsia="Arial" w:hAnsiTheme="majorHAnsi" w:cstheme="majorHAnsi"/>
          <w:sz w:val="24"/>
          <w:szCs w:val="24"/>
        </w:rPr>
        <w:t xml:space="preserve">proceso de </w:t>
      </w:r>
      <w:r w:rsidR="00292353" w:rsidRPr="001A3D24">
        <w:rPr>
          <w:rFonts w:asciiTheme="majorHAnsi" w:eastAsia="Arial" w:hAnsiTheme="majorHAnsi" w:cstheme="majorHAnsi"/>
          <w:sz w:val="24"/>
          <w:szCs w:val="24"/>
        </w:rPr>
        <w:t xml:space="preserve">acceso a la información, es importante </w:t>
      </w:r>
      <w:r w:rsidR="0081419D" w:rsidRPr="001A3D24">
        <w:rPr>
          <w:rFonts w:asciiTheme="majorHAnsi" w:eastAsia="Arial" w:hAnsiTheme="majorHAnsi" w:cstheme="majorHAnsi"/>
          <w:sz w:val="24"/>
          <w:szCs w:val="24"/>
        </w:rPr>
        <w:t>integrar de manera adecuada los expedientes de las solicitudes de acceso a la información</w:t>
      </w:r>
      <w:r w:rsidR="00530C65" w:rsidRPr="001A3D24">
        <w:rPr>
          <w:rFonts w:asciiTheme="majorHAnsi" w:eastAsia="Arial" w:hAnsiTheme="majorHAnsi" w:cstheme="majorHAnsi"/>
          <w:sz w:val="24"/>
          <w:szCs w:val="24"/>
        </w:rPr>
        <w:t xml:space="preserve"> del Inaip Yucatán, por lo que 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resulta necesario</w:t>
      </w:r>
      <w:r w:rsidR="00FE29BD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6421A4" w:rsidRPr="001A3D24">
        <w:rPr>
          <w:rFonts w:asciiTheme="majorHAnsi" w:eastAsia="Arial" w:hAnsiTheme="majorHAnsi" w:cstheme="majorHAnsi"/>
          <w:sz w:val="24"/>
          <w:szCs w:val="24"/>
        </w:rPr>
        <w:t>identificar</w:t>
      </w:r>
      <w:r w:rsidR="00FE29BD" w:rsidRPr="001A3D24">
        <w:rPr>
          <w:rFonts w:asciiTheme="majorHAnsi" w:eastAsia="Arial" w:hAnsiTheme="majorHAnsi" w:cstheme="majorHAnsi"/>
          <w:sz w:val="24"/>
          <w:szCs w:val="24"/>
        </w:rPr>
        <w:t xml:space="preserve"> los </w:t>
      </w:r>
      <w:r w:rsidR="00B0656C" w:rsidRPr="001A3D24">
        <w:rPr>
          <w:rFonts w:asciiTheme="majorHAnsi" w:eastAsia="Arial" w:hAnsiTheme="majorHAnsi" w:cstheme="majorHAnsi"/>
          <w:sz w:val="24"/>
          <w:szCs w:val="24"/>
        </w:rPr>
        <w:t xml:space="preserve">documentos que </w:t>
      </w:r>
      <w:r w:rsidR="00530C65" w:rsidRPr="001A3D24">
        <w:rPr>
          <w:rFonts w:asciiTheme="majorHAnsi" w:eastAsia="Arial" w:hAnsiTheme="majorHAnsi" w:cstheme="majorHAnsi"/>
          <w:sz w:val="24"/>
          <w:szCs w:val="24"/>
        </w:rPr>
        <w:t>lo</w:t>
      </w:r>
      <w:r w:rsidR="001A3D24">
        <w:rPr>
          <w:rFonts w:asciiTheme="majorHAnsi" w:eastAsia="Arial" w:hAnsiTheme="majorHAnsi" w:cstheme="majorHAnsi"/>
          <w:sz w:val="24"/>
          <w:szCs w:val="24"/>
        </w:rPr>
        <w:t>s</w:t>
      </w:r>
      <w:r w:rsidR="00B0656C" w:rsidRPr="001A3D24">
        <w:rPr>
          <w:rFonts w:asciiTheme="majorHAnsi" w:eastAsia="Arial" w:hAnsiTheme="majorHAnsi" w:cstheme="majorHAnsi"/>
          <w:sz w:val="24"/>
          <w:szCs w:val="24"/>
        </w:rPr>
        <w:t xml:space="preserve"> integra</w:t>
      </w:r>
      <w:r w:rsidR="00530C65" w:rsidRPr="001A3D24">
        <w:rPr>
          <w:rFonts w:asciiTheme="majorHAnsi" w:eastAsia="Arial" w:hAnsiTheme="majorHAnsi" w:cstheme="majorHAnsi"/>
          <w:sz w:val="24"/>
          <w:szCs w:val="24"/>
        </w:rPr>
        <w:t>n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 xml:space="preserve">, de acuerdo con </w:t>
      </w:r>
      <w:r w:rsidR="00FE29BD" w:rsidRPr="001A3D24">
        <w:rPr>
          <w:rFonts w:asciiTheme="majorHAnsi" w:eastAsia="Arial" w:hAnsiTheme="majorHAnsi" w:cstheme="majorHAnsi"/>
          <w:sz w:val="24"/>
          <w:szCs w:val="24"/>
        </w:rPr>
        <w:t xml:space="preserve">las </w:t>
      </w:r>
      <w:r w:rsidR="009B0F17" w:rsidRPr="001A3D24">
        <w:rPr>
          <w:rFonts w:asciiTheme="majorHAnsi" w:eastAsia="Arial" w:hAnsiTheme="majorHAnsi" w:cstheme="majorHAnsi"/>
          <w:sz w:val="24"/>
          <w:szCs w:val="24"/>
        </w:rPr>
        <w:t>siguientes</w:t>
      </w:r>
      <w:r w:rsidR="00FE29BD" w:rsidRPr="001A3D24">
        <w:rPr>
          <w:rFonts w:asciiTheme="majorHAnsi" w:eastAsia="Arial" w:hAnsiTheme="majorHAnsi" w:cstheme="majorHAnsi"/>
          <w:sz w:val="24"/>
          <w:szCs w:val="24"/>
        </w:rPr>
        <w:t>:</w:t>
      </w:r>
    </w:p>
    <w:p w14:paraId="5B1DA4A5" w14:textId="3183EBB4" w:rsidR="00FE29BD" w:rsidRPr="001A3D24" w:rsidRDefault="00FE29BD" w:rsidP="001A3D24">
      <w:pPr>
        <w:spacing w:line="240" w:lineRule="auto"/>
        <w:jc w:val="center"/>
        <w:rPr>
          <w:rFonts w:asciiTheme="majorHAnsi" w:eastAsia="Arial" w:hAnsiTheme="majorHAnsi" w:cstheme="majorHAnsi"/>
          <w:b/>
          <w:bCs/>
          <w:sz w:val="36"/>
          <w:szCs w:val="36"/>
        </w:rPr>
      </w:pPr>
      <w:r w:rsidRPr="001A3D24">
        <w:rPr>
          <w:rFonts w:asciiTheme="majorHAnsi" w:eastAsia="Arial" w:hAnsiTheme="majorHAnsi" w:cstheme="majorHAnsi"/>
          <w:b/>
          <w:bCs/>
          <w:sz w:val="36"/>
          <w:szCs w:val="36"/>
        </w:rPr>
        <w:t>Recomendaciones técnicas para la integración y conservación de los expedientes de las solicitudes de acceso a la información</w:t>
      </w:r>
    </w:p>
    <w:p w14:paraId="1B4234AC" w14:textId="77777777" w:rsidR="001220FD" w:rsidRPr="001A3D24" w:rsidRDefault="001220FD" w:rsidP="001A3D24">
      <w:pPr>
        <w:spacing w:after="0" w:line="240" w:lineRule="auto"/>
        <w:jc w:val="both"/>
        <w:rPr>
          <w:rFonts w:asciiTheme="majorHAnsi" w:eastAsia="Arial" w:hAnsiTheme="majorHAnsi" w:cstheme="majorHAnsi"/>
          <w:i/>
          <w:iCs/>
          <w:sz w:val="24"/>
          <w:szCs w:val="24"/>
        </w:rPr>
      </w:pPr>
    </w:p>
    <w:p w14:paraId="55EB5F15" w14:textId="77777777" w:rsidR="00231351" w:rsidRPr="001A3D24" w:rsidRDefault="001220FD" w:rsidP="001A3D24">
      <w:pPr>
        <w:pStyle w:val="Prrafodelista"/>
        <w:numPr>
          <w:ilvl w:val="0"/>
          <w:numId w:val="3"/>
        </w:numPr>
        <w:spacing w:line="240" w:lineRule="auto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1A3D24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De la integración </w:t>
      </w:r>
    </w:p>
    <w:p w14:paraId="41AB9619" w14:textId="77777777" w:rsidR="00960260" w:rsidRPr="001A3D24" w:rsidRDefault="00231351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De acuerdo con los </w:t>
      </w:r>
      <w:r w:rsidR="0097429D" w:rsidRPr="001A3D24">
        <w:rPr>
          <w:rFonts w:asciiTheme="majorHAnsi" w:eastAsia="Arial" w:hAnsiTheme="majorHAnsi" w:cstheme="majorHAnsi"/>
          <w:sz w:val="24"/>
          <w:szCs w:val="24"/>
        </w:rPr>
        <w:t xml:space="preserve">términos señalados en </w:t>
      </w:r>
      <w:r w:rsidRPr="001A3D24">
        <w:rPr>
          <w:rFonts w:asciiTheme="majorHAnsi" w:eastAsia="Arial" w:hAnsiTheme="majorHAnsi" w:cstheme="majorHAnsi"/>
          <w:sz w:val="24"/>
          <w:szCs w:val="24"/>
        </w:rPr>
        <w:t>las disposiciones aplicables</w:t>
      </w:r>
      <w:r w:rsidR="0097429D" w:rsidRPr="001A3D24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390397" w:rsidRPr="001A3D24">
        <w:rPr>
          <w:rFonts w:asciiTheme="majorHAnsi" w:eastAsia="Arial" w:hAnsiTheme="majorHAnsi" w:cstheme="majorHAnsi"/>
          <w:sz w:val="24"/>
          <w:szCs w:val="24"/>
        </w:rPr>
        <w:t>la integración de los expedientes de las soli</w:t>
      </w:r>
      <w:r w:rsidR="00896FCD" w:rsidRPr="001A3D24">
        <w:rPr>
          <w:rFonts w:asciiTheme="majorHAnsi" w:eastAsia="Arial" w:hAnsiTheme="majorHAnsi" w:cstheme="majorHAnsi"/>
          <w:sz w:val="24"/>
          <w:szCs w:val="24"/>
        </w:rPr>
        <w:t>citudes</w:t>
      </w:r>
      <w:r w:rsidR="00390397" w:rsidRPr="001A3D24">
        <w:rPr>
          <w:rFonts w:asciiTheme="majorHAnsi" w:eastAsia="Arial" w:hAnsiTheme="majorHAnsi" w:cstheme="majorHAnsi"/>
          <w:sz w:val="24"/>
          <w:szCs w:val="24"/>
        </w:rPr>
        <w:t xml:space="preserve"> de acceso a la información</w:t>
      </w:r>
      <w:r w:rsidR="00896FCD" w:rsidRPr="001A3D24">
        <w:rPr>
          <w:rFonts w:asciiTheme="majorHAnsi" w:eastAsia="Arial" w:hAnsiTheme="majorHAnsi" w:cstheme="majorHAnsi"/>
          <w:sz w:val="24"/>
          <w:szCs w:val="24"/>
        </w:rPr>
        <w:t>,</w:t>
      </w:r>
      <w:r w:rsidR="00390397" w:rsidRPr="001A3D24">
        <w:rPr>
          <w:rFonts w:asciiTheme="majorHAnsi" w:eastAsia="Arial" w:hAnsiTheme="majorHAnsi" w:cstheme="majorHAnsi"/>
          <w:sz w:val="24"/>
          <w:szCs w:val="24"/>
        </w:rPr>
        <w:t xml:space="preserve"> at</w:t>
      </w:r>
      <w:r w:rsidR="00896FCD" w:rsidRPr="001A3D24">
        <w:rPr>
          <w:rFonts w:asciiTheme="majorHAnsi" w:eastAsia="Arial" w:hAnsiTheme="majorHAnsi" w:cstheme="majorHAnsi"/>
          <w:sz w:val="24"/>
          <w:szCs w:val="24"/>
        </w:rPr>
        <w:t>ienden</w:t>
      </w:r>
      <w:r w:rsidR="00390397" w:rsidRPr="001A3D24">
        <w:rPr>
          <w:rFonts w:asciiTheme="majorHAnsi" w:eastAsia="Arial" w:hAnsiTheme="majorHAnsi" w:cstheme="majorHAnsi"/>
          <w:sz w:val="24"/>
          <w:szCs w:val="24"/>
        </w:rPr>
        <w:t xml:space="preserve"> a los siguientes supuestos:</w:t>
      </w:r>
    </w:p>
    <w:p w14:paraId="6EAA2561" w14:textId="645CA408" w:rsidR="00362D70" w:rsidRDefault="00390397" w:rsidP="001A3D24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lastRenderedPageBreak/>
        <w:t xml:space="preserve">Cuando la información solicitada </w:t>
      </w:r>
      <w:r w:rsidR="00896FCD" w:rsidRPr="001A3D24">
        <w:rPr>
          <w:rFonts w:asciiTheme="majorHAnsi" w:eastAsia="Arial" w:hAnsiTheme="majorHAnsi" w:cstheme="majorHAnsi"/>
          <w:sz w:val="24"/>
          <w:szCs w:val="24"/>
        </w:rPr>
        <w:t xml:space="preserve">es pública y </w:t>
      </w:r>
      <w:r w:rsidRPr="001A3D24">
        <w:rPr>
          <w:rFonts w:asciiTheme="majorHAnsi" w:eastAsia="Arial" w:hAnsiTheme="majorHAnsi" w:cstheme="majorHAnsi"/>
          <w:sz w:val="24"/>
          <w:szCs w:val="24"/>
        </w:rPr>
        <w:t>se encuentr</w:t>
      </w:r>
      <w:r w:rsidR="00362D70" w:rsidRPr="001A3D24">
        <w:rPr>
          <w:rFonts w:asciiTheme="majorHAnsi" w:eastAsia="Arial" w:hAnsiTheme="majorHAnsi" w:cstheme="majorHAnsi"/>
          <w:sz w:val="24"/>
          <w:szCs w:val="24"/>
        </w:rPr>
        <w:t>e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en los archivos del sujeto obligado</w:t>
      </w:r>
      <w:r w:rsidR="00362D70" w:rsidRPr="001A3D24">
        <w:rPr>
          <w:rFonts w:asciiTheme="majorHAnsi" w:eastAsia="Arial" w:hAnsiTheme="majorHAnsi" w:cstheme="majorHAnsi"/>
          <w:sz w:val="24"/>
          <w:szCs w:val="24"/>
        </w:rPr>
        <w:t xml:space="preserve">, el expediente 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deberá</w:t>
      </w:r>
      <w:r w:rsidR="00362D70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2C688A" w:rsidRPr="001A3D24">
        <w:rPr>
          <w:rFonts w:asciiTheme="majorHAnsi" w:eastAsia="Arial" w:hAnsiTheme="majorHAnsi" w:cstheme="majorHAnsi"/>
          <w:sz w:val="24"/>
          <w:szCs w:val="24"/>
        </w:rPr>
        <w:t xml:space="preserve">contener </w:t>
      </w:r>
      <w:r w:rsidR="00362D70" w:rsidRPr="001A3D24">
        <w:rPr>
          <w:rFonts w:asciiTheme="majorHAnsi" w:eastAsia="Arial" w:hAnsiTheme="majorHAnsi" w:cstheme="majorHAnsi"/>
          <w:sz w:val="24"/>
          <w:szCs w:val="24"/>
        </w:rPr>
        <w:t>los siguientes documentos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:</w:t>
      </w:r>
    </w:p>
    <w:p w14:paraId="510DA2C5" w14:textId="77777777" w:rsidR="001A3D24" w:rsidRPr="001A3D24" w:rsidRDefault="001A3D24" w:rsidP="001A3D24">
      <w:pPr>
        <w:pStyle w:val="Prrafodelista"/>
        <w:spacing w:line="240" w:lineRule="auto"/>
        <w:ind w:left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068F473" w14:textId="77777777" w:rsidR="00292309" w:rsidRPr="001A3D24" w:rsidRDefault="00292309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acuse de la solicitud, con número de folio.</w:t>
      </w:r>
    </w:p>
    <w:p w14:paraId="25769D25" w14:textId="77777777" w:rsidR="00362D70" w:rsidRPr="001A3D24" w:rsidRDefault="00362D70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remitido al área o áreas responsables de la información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, a través del cual se les requiere la documentación correspondiente para atender a la solicitud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52776537" w14:textId="77777777" w:rsidR="00362D70" w:rsidRPr="001A3D24" w:rsidRDefault="00362D70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n su caso, e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l oficio o </w:t>
      </w:r>
      <w:r w:rsidR="00AA6296" w:rsidRPr="001A3D24">
        <w:rPr>
          <w:rFonts w:asciiTheme="majorHAnsi" w:eastAsia="Arial" w:hAnsiTheme="majorHAnsi" w:cstheme="majorHAnsi"/>
          <w:sz w:val="24"/>
          <w:szCs w:val="24"/>
        </w:rPr>
        <w:t>memorándum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de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“requerimiento de información adicional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, dirigido al particular</w:t>
      </w:r>
      <w:r w:rsidR="002C688A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4972C17A" w14:textId="77777777" w:rsidR="00362D70" w:rsidRPr="001A3D24" w:rsidRDefault="00362D70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La respuesta </w:t>
      </w:r>
      <w:r w:rsidR="002C688A" w:rsidRPr="001A3D24">
        <w:rPr>
          <w:rFonts w:asciiTheme="majorHAnsi" w:eastAsia="Arial" w:hAnsiTheme="majorHAnsi" w:cstheme="majorHAnsi"/>
          <w:sz w:val="24"/>
          <w:szCs w:val="24"/>
        </w:rPr>
        <w:t>del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solicitante para atender el “requerimiento de información adicional”</w:t>
      </w:r>
      <w:r w:rsidR="00292309" w:rsidRPr="001A3D24">
        <w:rPr>
          <w:rFonts w:asciiTheme="majorHAnsi" w:eastAsia="Arial" w:hAnsiTheme="majorHAnsi" w:cstheme="majorHAnsi"/>
          <w:sz w:val="24"/>
          <w:szCs w:val="24"/>
        </w:rPr>
        <w:t>, en su caso.</w:t>
      </w:r>
    </w:p>
    <w:p w14:paraId="52753EA2" w14:textId="77777777" w:rsidR="00362D70" w:rsidRPr="001A3D24" w:rsidRDefault="00362D70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El oficio o </w:t>
      </w:r>
      <w:r w:rsidR="00AA6296" w:rsidRPr="001A3D24">
        <w:rPr>
          <w:rFonts w:asciiTheme="majorHAnsi" w:eastAsia="Arial" w:hAnsiTheme="majorHAnsi" w:cstheme="majorHAnsi"/>
          <w:sz w:val="24"/>
          <w:szCs w:val="24"/>
        </w:rPr>
        <w:t>memorándum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que contenga la o las respuestas de las áreas</w:t>
      </w:r>
      <w:r w:rsidR="00AA6296" w:rsidRPr="001A3D24">
        <w:rPr>
          <w:rFonts w:asciiTheme="majorHAnsi" w:eastAsia="Arial" w:hAnsiTheme="majorHAnsi" w:cstheme="majorHAnsi"/>
          <w:sz w:val="24"/>
          <w:szCs w:val="24"/>
        </w:rPr>
        <w:t>, para atender la solicitud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76F0BA78" w14:textId="5422F0E3" w:rsidR="00292309" w:rsidRPr="001A3D24" w:rsidRDefault="00292309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La resolución de la Unidad de </w:t>
      </w:r>
      <w:r w:rsidR="001A3D24">
        <w:rPr>
          <w:rFonts w:asciiTheme="majorHAnsi" w:eastAsia="Arial" w:hAnsiTheme="majorHAnsi" w:cstheme="majorHAnsi"/>
          <w:sz w:val="24"/>
          <w:szCs w:val="24"/>
        </w:rPr>
        <w:t>T</w:t>
      </w:r>
      <w:r w:rsidRPr="001A3D24">
        <w:rPr>
          <w:rFonts w:asciiTheme="majorHAnsi" w:eastAsia="Arial" w:hAnsiTheme="majorHAnsi" w:cstheme="majorHAnsi"/>
          <w:sz w:val="24"/>
          <w:szCs w:val="24"/>
        </w:rPr>
        <w:t>ransparencia, mediante la cual se emite la respuesta al solicitante.</w:t>
      </w:r>
    </w:p>
    <w:p w14:paraId="0C2E83D6" w14:textId="5B800CCE" w:rsidR="00E14BDD" w:rsidRPr="001A3D24" w:rsidRDefault="00E14BDD" w:rsidP="001A3D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</w:t>
      </w:r>
      <w:r w:rsid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6F844E21" w14:textId="77777777" w:rsidR="00AA6296" w:rsidRPr="001A3D24" w:rsidRDefault="00AA6296" w:rsidP="001A3D24">
      <w:pPr>
        <w:pStyle w:val="Prrafodelista"/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41B63A54" w14:textId="56940F22" w:rsidR="00AA6296" w:rsidRDefault="00390397" w:rsidP="001A3D24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Cuando </w:t>
      </w:r>
      <w:r w:rsidR="00896FCD" w:rsidRPr="001A3D24">
        <w:rPr>
          <w:rFonts w:asciiTheme="majorHAnsi" w:eastAsia="Arial" w:hAnsiTheme="majorHAnsi" w:cstheme="majorHAnsi"/>
          <w:sz w:val="24"/>
          <w:szCs w:val="24"/>
        </w:rPr>
        <w:t>la información solicitada, es competencia de un sujeto obligado distinto:</w:t>
      </w:r>
    </w:p>
    <w:p w14:paraId="0915735B" w14:textId="77777777" w:rsidR="001A3D24" w:rsidRPr="001A3D24" w:rsidRDefault="001A3D24" w:rsidP="001A3D24">
      <w:pPr>
        <w:pStyle w:val="Prrafodelista"/>
        <w:spacing w:line="240" w:lineRule="auto"/>
        <w:ind w:left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6E8898D" w14:textId="77777777" w:rsidR="00292309" w:rsidRPr="001A3D24" w:rsidRDefault="00292309" w:rsidP="001A3D2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Acuse de la solicitud, con número de folio.</w:t>
      </w:r>
    </w:p>
    <w:p w14:paraId="21F1A251" w14:textId="77777777" w:rsidR="00AA6296" w:rsidRPr="001A3D24" w:rsidRDefault="00292309" w:rsidP="001A3D2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Resolución</w:t>
      </w:r>
      <w:r w:rsidR="00AA6296" w:rsidRPr="001A3D24">
        <w:rPr>
          <w:rFonts w:asciiTheme="majorHAnsi" w:eastAsia="Arial" w:hAnsiTheme="majorHAnsi" w:cstheme="majorHAnsi"/>
          <w:sz w:val="24"/>
          <w:szCs w:val="24"/>
        </w:rPr>
        <w:t xml:space="preserve"> de la Unidad de Transparencia 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en donde se declara la notoria incompetencia del sujeto obligado para atender la solicitud, y mediante la cual se orienta al particular, 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hacia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>e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>l sujeto obligado que pudiera ser competente para atender la solicitud correspondiente.</w:t>
      </w:r>
    </w:p>
    <w:p w14:paraId="4DECCAD4" w14:textId="0691F851" w:rsidR="00E14BDD" w:rsidRPr="001A3D24" w:rsidRDefault="00E14BDD" w:rsidP="001A3D2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</w:t>
      </w:r>
      <w:r w:rsidR="005543F6">
        <w:rPr>
          <w:rFonts w:asciiTheme="majorHAnsi" w:eastAsia="Arial" w:hAnsiTheme="majorHAnsi" w:cstheme="majorHAnsi"/>
          <w:sz w:val="24"/>
          <w:szCs w:val="24"/>
        </w:rPr>
        <w:t>.</w:t>
      </w:r>
    </w:p>
    <w:p w14:paraId="102DF2D9" w14:textId="77777777" w:rsidR="00E14BDD" w:rsidRPr="001A3D24" w:rsidRDefault="00E14BDD" w:rsidP="001A3D24">
      <w:pPr>
        <w:pStyle w:val="Prrafodelista"/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4DCA1B6A" w14:textId="088D191B" w:rsidR="00AA6296" w:rsidRDefault="00896FCD" w:rsidP="005543F6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543F6">
        <w:rPr>
          <w:rFonts w:asciiTheme="majorHAnsi" w:eastAsia="Arial" w:hAnsiTheme="majorHAnsi" w:cstheme="majorHAnsi"/>
          <w:sz w:val="24"/>
          <w:szCs w:val="24"/>
        </w:rPr>
        <w:t>Cuando la información solicitada, es reservada</w:t>
      </w:r>
      <w:r w:rsidR="005543F6">
        <w:rPr>
          <w:rFonts w:asciiTheme="majorHAnsi" w:eastAsia="Arial" w:hAnsiTheme="majorHAnsi" w:cstheme="majorHAnsi"/>
          <w:sz w:val="24"/>
          <w:szCs w:val="24"/>
        </w:rPr>
        <w:t>:</w:t>
      </w:r>
    </w:p>
    <w:p w14:paraId="2808D7CF" w14:textId="77777777" w:rsidR="005543F6" w:rsidRPr="005543F6" w:rsidRDefault="005543F6" w:rsidP="005543F6">
      <w:pPr>
        <w:pStyle w:val="Prrafodelista"/>
        <w:spacing w:line="240" w:lineRule="auto"/>
        <w:ind w:left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5D8A8E44" w14:textId="77777777" w:rsidR="00745489" w:rsidRPr="001A3D24" w:rsidRDefault="00745489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acuse de la solicitud con número de folio.</w:t>
      </w:r>
    </w:p>
    <w:p w14:paraId="2780C1F6" w14:textId="0360228F" w:rsidR="00055BF9" w:rsidRPr="001A3D24" w:rsidRDefault="00055BF9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remitido al área o áreas responsables de la información</w:t>
      </w:r>
      <w:r w:rsidR="00E14BDD" w:rsidRPr="001A3D24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>a través del cual se les requiere la documentación correspondiente para atender la solicitud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119DCC7E" w14:textId="77777777" w:rsidR="00055BF9" w:rsidRPr="001A3D24" w:rsidRDefault="00055BF9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El oficio o memorándum 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 xml:space="preserve">de respuesta 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del área 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en el 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que 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>realiza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>la clasificación de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 la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información 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>como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1A3D24">
        <w:rPr>
          <w:rFonts w:asciiTheme="majorHAnsi" w:eastAsia="Arial" w:hAnsiTheme="majorHAnsi" w:cstheme="majorHAnsi"/>
          <w:sz w:val="24"/>
          <w:szCs w:val="24"/>
        </w:rPr>
        <w:t>reservada</w:t>
      </w:r>
      <w:r w:rsidR="003E5CDB" w:rsidRPr="001A3D24">
        <w:rPr>
          <w:rFonts w:asciiTheme="majorHAnsi" w:eastAsia="Arial" w:hAnsiTheme="majorHAnsi" w:cstheme="majorHAnsi"/>
          <w:sz w:val="24"/>
          <w:szCs w:val="24"/>
        </w:rPr>
        <w:t>, por actualizarse una causal de reserva señalada en la Ley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6DBAB43E" w14:textId="77777777" w:rsidR="00055BF9" w:rsidRPr="001A3D24" w:rsidRDefault="00055BF9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en donde se solicita sesión del comité de transparencia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2EA1B0C0" w14:textId="77777777" w:rsidR="00055BF9" w:rsidRPr="001A3D24" w:rsidRDefault="00055BF9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Copia de</w:t>
      </w:r>
      <w:r w:rsidR="006B3A19" w:rsidRPr="001A3D24">
        <w:rPr>
          <w:rFonts w:asciiTheme="majorHAnsi" w:eastAsia="Arial" w:hAnsiTheme="majorHAnsi" w:cstheme="majorHAnsi"/>
          <w:sz w:val="24"/>
          <w:szCs w:val="24"/>
        </w:rPr>
        <w:t xml:space="preserve"> la resolución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6B3A19" w:rsidRPr="001A3D24">
        <w:rPr>
          <w:rFonts w:asciiTheme="majorHAnsi" w:eastAsia="Arial" w:hAnsiTheme="majorHAnsi" w:cstheme="majorHAnsi"/>
          <w:sz w:val="24"/>
          <w:szCs w:val="24"/>
        </w:rPr>
        <w:t xml:space="preserve">del </w:t>
      </w:r>
      <w:r w:rsidRPr="001A3D24">
        <w:rPr>
          <w:rFonts w:asciiTheme="majorHAnsi" w:eastAsia="Arial" w:hAnsiTheme="majorHAnsi" w:cstheme="majorHAnsi"/>
          <w:sz w:val="24"/>
          <w:szCs w:val="24"/>
        </w:rPr>
        <w:t>comité de transparencia</w:t>
      </w:r>
      <w:r w:rsidR="006B3A19" w:rsidRPr="001A3D24">
        <w:rPr>
          <w:rFonts w:asciiTheme="majorHAnsi" w:eastAsia="Arial" w:hAnsiTheme="majorHAnsi" w:cstheme="majorHAnsi"/>
          <w:sz w:val="24"/>
          <w:szCs w:val="24"/>
        </w:rPr>
        <w:t>, donde se confirma la clasificación de la información como reservada</w:t>
      </w:r>
      <w:r w:rsidR="004E1B37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0C0683E7" w14:textId="77777777" w:rsidR="00E14BDD" w:rsidRPr="001A3D24" w:rsidRDefault="00E14BDD" w:rsidP="001A3D2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</w:t>
      </w:r>
      <w:r w:rsidR="006B3A19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70FEF9B3" w14:textId="77777777" w:rsidR="00E14BDD" w:rsidRPr="001A3D24" w:rsidRDefault="00E14BDD" w:rsidP="001A3D24">
      <w:pPr>
        <w:pStyle w:val="Prrafodelista"/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BE3E7E" w14:textId="769A18E1" w:rsidR="00055BF9" w:rsidRDefault="00896FCD" w:rsidP="002E1128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E1128">
        <w:rPr>
          <w:rFonts w:asciiTheme="majorHAnsi" w:eastAsia="Arial" w:hAnsiTheme="majorHAnsi" w:cstheme="majorHAnsi"/>
          <w:sz w:val="24"/>
          <w:szCs w:val="24"/>
        </w:rPr>
        <w:t>Cuando la información solicitada, es confidencial:</w:t>
      </w:r>
    </w:p>
    <w:p w14:paraId="10B970D8" w14:textId="77777777" w:rsidR="002E1128" w:rsidRPr="002E1128" w:rsidRDefault="002E1128" w:rsidP="002E1128">
      <w:pPr>
        <w:pStyle w:val="Prrafodelista"/>
        <w:spacing w:line="240" w:lineRule="auto"/>
        <w:ind w:left="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D7021FF" w14:textId="77777777" w:rsidR="006B3A19" w:rsidRPr="001A3D24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acuse de la solicitud con número de folio.</w:t>
      </w:r>
    </w:p>
    <w:p w14:paraId="71D4EC48" w14:textId="443134A8" w:rsidR="006B3A19" w:rsidRPr="001A3D24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bookmarkStart w:id="1" w:name="_Hlk29980674"/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remitido al área o áreas responsables de la información, a través del cual se les requiere la documentación correspondiente para atender la solicitud</w:t>
      </w:r>
      <w:bookmarkEnd w:id="1"/>
      <w:r w:rsidRPr="001A3D24">
        <w:rPr>
          <w:rFonts w:asciiTheme="majorHAnsi" w:eastAsia="Arial" w:hAnsiTheme="majorHAnsi" w:cstheme="majorHAnsi"/>
          <w:sz w:val="24"/>
          <w:szCs w:val="24"/>
        </w:rPr>
        <w:t xml:space="preserve">. </w:t>
      </w:r>
    </w:p>
    <w:p w14:paraId="107977CA" w14:textId="77777777" w:rsidR="006B3A19" w:rsidRPr="001A3D24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de respuesta del área en el que realiza la clasificación de la información como confidencial, y en su caso, remite la información de las versiones públicas resultantes.</w:t>
      </w:r>
    </w:p>
    <w:p w14:paraId="1EF5325D" w14:textId="77777777" w:rsidR="006B3A19" w:rsidRPr="001A3D24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oficio o memorándum en donde se solicita sesión del comité de transparencia.</w:t>
      </w:r>
    </w:p>
    <w:p w14:paraId="3F99D32E" w14:textId="77777777" w:rsidR="006B3A19" w:rsidRPr="001A3D24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Copia de la resolución del comité de transparencia, donde se confirma la clasificación de la información como confidencial</w:t>
      </w:r>
      <w:r w:rsidR="00745489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0B476ACC" w14:textId="764FF04E" w:rsidR="006B3A19" w:rsidRDefault="006B3A19" w:rsidP="001A3D2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respuesta.</w:t>
      </w:r>
    </w:p>
    <w:p w14:paraId="73C2DCDD" w14:textId="77777777" w:rsidR="002E1128" w:rsidRPr="001A3D24" w:rsidRDefault="002E1128" w:rsidP="002E1128">
      <w:pPr>
        <w:pStyle w:val="Prrafodelista"/>
        <w:spacing w:line="240" w:lineRule="auto"/>
        <w:ind w:left="108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4DD8DAD7" w14:textId="15A0064B" w:rsidR="007E35F2" w:rsidRDefault="00896FCD" w:rsidP="002E1128">
      <w:pPr>
        <w:pStyle w:val="Prrafodelista"/>
        <w:numPr>
          <w:ilvl w:val="0"/>
          <w:numId w:val="15"/>
        </w:numPr>
        <w:spacing w:line="240" w:lineRule="auto"/>
        <w:ind w:left="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E1128">
        <w:rPr>
          <w:rFonts w:asciiTheme="majorHAnsi" w:eastAsia="Arial" w:hAnsiTheme="majorHAnsi" w:cstheme="majorHAnsi"/>
          <w:sz w:val="24"/>
          <w:szCs w:val="24"/>
        </w:rPr>
        <w:t>Cuando la información solicitada, es inexistente:</w:t>
      </w:r>
    </w:p>
    <w:p w14:paraId="371E3666" w14:textId="77777777" w:rsidR="002E1128" w:rsidRPr="002E1128" w:rsidRDefault="002E1128" w:rsidP="002E1128">
      <w:pPr>
        <w:pStyle w:val="Prrafodelista"/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35055EE" w14:textId="77777777" w:rsidR="00B30F0A" w:rsidRPr="001A3D24" w:rsidRDefault="00B30F0A" w:rsidP="001A3D2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El acuse de la solicitud, con número de folio.</w:t>
      </w:r>
    </w:p>
    <w:p w14:paraId="0BFD4D8D" w14:textId="7B491A89" w:rsidR="00EA45B0" w:rsidRPr="001A3D24" w:rsidRDefault="00EA45B0" w:rsidP="001A3D2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El oficio o memorándum remitido al área o áreas responsables de la información, a través del cual se les requiere la documentación correspondiente para atender la solicitud. </w:t>
      </w:r>
    </w:p>
    <w:p w14:paraId="0F94D5A5" w14:textId="77777777" w:rsidR="007E35F2" w:rsidRPr="001A3D24" w:rsidRDefault="007E35F2" w:rsidP="001A3D2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El oficio o memorándum en el que el área </w:t>
      </w:r>
      <w:r w:rsidR="00EA45B0" w:rsidRPr="001A3D24">
        <w:rPr>
          <w:rFonts w:asciiTheme="majorHAnsi" w:eastAsia="Arial" w:hAnsiTheme="majorHAnsi" w:cstheme="majorHAnsi"/>
          <w:sz w:val="24"/>
          <w:szCs w:val="24"/>
        </w:rPr>
        <w:t>realiza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la </w:t>
      </w:r>
      <w:r w:rsidR="00EA45B0" w:rsidRPr="001A3D24">
        <w:rPr>
          <w:rFonts w:asciiTheme="majorHAnsi" w:eastAsia="Arial" w:hAnsiTheme="majorHAnsi" w:cstheme="majorHAnsi"/>
          <w:sz w:val="24"/>
          <w:szCs w:val="24"/>
        </w:rPr>
        <w:t xml:space="preserve">declaración de </w:t>
      </w:r>
      <w:r w:rsidRPr="001A3D24">
        <w:rPr>
          <w:rFonts w:asciiTheme="majorHAnsi" w:eastAsia="Arial" w:hAnsiTheme="majorHAnsi" w:cstheme="majorHAnsi"/>
          <w:sz w:val="24"/>
          <w:szCs w:val="24"/>
        </w:rPr>
        <w:t>inexistencia de la información</w:t>
      </w:r>
      <w:r w:rsidR="00EA45B0" w:rsidRPr="001A3D24">
        <w:rPr>
          <w:rFonts w:asciiTheme="majorHAnsi" w:eastAsia="Arial" w:hAnsiTheme="majorHAnsi" w:cstheme="majorHAnsi"/>
          <w:sz w:val="24"/>
          <w:szCs w:val="24"/>
        </w:rPr>
        <w:t xml:space="preserve"> solicitada.</w:t>
      </w:r>
    </w:p>
    <w:p w14:paraId="5BD4CFFD" w14:textId="77777777" w:rsidR="007E35F2" w:rsidRPr="001A3D24" w:rsidRDefault="007E35F2" w:rsidP="001A3D2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Copia de </w:t>
      </w:r>
      <w:r w:rsidR="00EA45B0" w:rsidRPr="001A3D24">
        <w:rPr>
          <w:rFonts w:asciiTheme="majorHAnsi" w:eastAsia="Arial" w:hAnsiTheme="majorHAnsi" w:cstheme="majorHAnsi"/>
          <w:sz w:val="24"/>
          <w:szCs w:val="24"/>
        </w:rPr>
        <w:t xml:space="preserve">la resolución </w:t>
      </w:r>
      <w:r w:rsidRPr="001A3D24">
        <w:rPr>
          <w:rFonts w:asciiTheme="majorHAnsi" w:eastAsia="Arial" w:hAnsiTheme="majorHAnsi" w:cstheme="majorHAnsi"/>
          <w:sz w:val="24"/>
          <w:szCs w:val="24"/>
        </w:rPr>
        <w:t>del comité de transparencia</w:t>
      </w:r>
      <w:r w:rsidR="00EA45B0" w:rsidRPr="001A3D24">
        <w:rPr>
          <w:rFonts w:asciiTheme="majorHAnsi" w:eastAsia="Arial" w:hAnsiTheme="majorHAnsi" w:cstheme="majorHAnsi"/>
          <w:sz w:val="24"/>
          <w:szCs w:val="24"/>
        </w:rPr>
        <w:t>, donde se confirma la declaración de inexistencia de la información.</w:t>
      </w:r>
    </w:p>
    <w:p w14:paraId="0E3C0DD5" w14:textId="3E8BE597" w:rsidR="00EA45B0" w:rsidRPr="001A3D24" w:rsidRDefault="00EA45B0" w:rsidP="001A3D2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</w:t>
      </w:r>
      <w:r w:rsidR="002E1128">
        <w:rPr>
          <w:rFonts w:asciiTheme="majorHAnsi" w:eastAsia="Arial" w:hAnsiTheme="majorHAnsi" w:cstheme="majorHAnsi"/>
          <w:sz w:val="24"/>
          <w:szCs w:val="24"/>
        </w:rPr>
        <w:t>.</w:t>
      </w:r>
    </w:p>
    <w:p w14:paraId="30EB4D97" w14:textId="77777777" w:rsidR="00620376" w:rsidRPr="001A3D24" w:rsidRDefault="00620376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Cuando </w:t>
      </w:r>
      <w:r w:rsidR="0017158E" w:rsidRPr="001A3D24">
        <w:rPr>
          <w:rFonts w:asciiTheme="majorHAnsi" w:eastAsia="Arial" w:hAnsiTheme="majorHAnsi" w:cstheme="majorHAnsi"/>
          <w:sz w:val="24"/>
          <w:szCs w:val="24"/>
        </w:rPr>
        <w:t xml:space="preserve">derivado de la declaración de inexistencia de la información solicitada, </w:t>
      </w:r>
      <w:r w:rsidRPr="001A3D24">
        <w:rPr>
          <w:rFonts w:asciiTheme="majorHAnsi" w:eastAsia="Arial" w:hAnsiTheme="majorHAnsi" w:cstheme="majorHAnsi"/>
          <w:sz w:val="24"/>
          <w:szCs w:val="24"/>
        </w:rPr>
        <w:t>el comité de transparencia ordena generar la información</w:t>
      </w:r>
      <w:r w:rsidR="0017158E" w:rsidRPr="001A3D24">
        <w:rPr>
          <w:rFonts w:asciiTheme="majorHAnsi" w:eastAsia="Arial" w:hAnsiTheme="majorHAnsi" w:cstheme="majorHAnsi"/>
          <w:sz w:val="24"/>
          <w:szCs w:val="24"/>
        </w:rPr>
        <w:t>, adicionalmente deberá contener lo siguiente</w:t>
      </w:r>
      <w:r w:rsidRPr="001A3D24">
        <w:rPr>
          <w:rFonts w:asciiTheme="majorHAnsi" w:eastAsia="Arial" w:hAnsiTheme="majorHAnsi" w:cstheme="majorHAnsi"/>
          <w:sz w:val="24"/>
          <w:szCs w:val="24"/>
        </w:rPr>
        <w:t>:</w:t>
      </w:r>
    </w:p>
    <w:p w14:paraId="4E0C6FF3" w14:textId="77777777" w:rsidR="0017158E" w:rsidRPr="001A3D24" w:rsidRDefault="0017158E" w:rsidP="001A3D2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Copia de la resolución del Comité de transparencia en donde se confirma la declaración de inexistencia y se ordena generar o reponer la información, en su caso.</w:t>
      </w:r>
    </w:p>
    <w:p w14:paraId="4E2F8BCD" w14:textId="77777777" w:rsidR="00620376" w:rsidRPr="001A3D24" w:rsidRDefault="00620376" w:rsidP="001A3D2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Copia del oficio en donde se da vista al Órgano de control interno, en su caso.</w:t>
      </w:r>
    </w:p>
    <w:p w14:paraId="11131F1A" w14:textId="77777777" w:rsidR="003E6275" w:rsidRPr="001A3D24" w:rsidRDefault="0017158E" w:rsidP="001A3D2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>Constancia de notificación de la respuesta</w:t>
      </w:r>
      <w:r w:rsidR="003E6275" w:rsidRPr="001A3D24">
        <w:rPr>
          <w:rFonts w:asciiTheme="majorHAnsi" w:eastAsia="Arial" w:hAnsiTheme="majorHAnsi" w:cstheme="majorHAnsi"/>
          <w:sz w:val="24"/>
          <w:szCs w:val="24"/>
        </w:rPr>
        <w:t>.</w:t>
      </w:r>
    </w:p>
    <w:p w14:paraId="259CE3F1" w14:textId="77777777" w:rsidR="0017158E" w:rsidRPr="001A3D24" w:rsidRDefault="0017158E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t xml:space="preserve">En los casos en que se actualicen dos o </w:t>
      </w:r>
      <w:r w:rsidR="001E3F81" w:rsidRPr="001A3D24">
        <w:rPr>
          <w:rFonts w:asciiTheme="majorHAnsi" w:eastAsia="Arial" w:hAnsiTheme="majorHAnsi" w:cstheme="majorHAnsi"/>
          <w:sz w:val="24"/>
          <w:szCs w:val="24"/>
        </w:rPr>
        <w:t>más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supuestos de los antes mencionados</w:t>
      </w:r>
      <w:r w:rsidR="001E3F81" w:rsidRPr="001A3D24">
        <w:rPr>
          <w:rFonts w:asciiTheme="majorHAnsi" w:eastAsia="Arial" w:hAnsiTheme="majorHAnsi" w:cstheme="majorHAnsi"/>
          <w:sz w:val="24"/>
          <w:szCs w:val="24"/>
        </w:rPr>
        <w:t xml:space="preserve"> en un mismo expediente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, el contenido de </w:t>
      </w:r>
      <w:r w:rsidR="001E3F81" w:rsidRPr="001A3D24">
        <w:rPr>
          <w:rFonts w:asciiTheme="majorHAnsi" w:eastAsia="Arial" w:hAnsiTheme="majorHAnsi" w:cstheme="majorHAnsi"/>
          <w:sz w:val="24"/>
          <w:szCs w:val="24"/>
        </w:rPr>
        <w:t>los mismos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atenderá los puntos </w:t>
      </w:r>
      <w:r w:rsidR="001E3F81" w:rsidRPr="001A3D24">
        <w:rPr>
          <w:rFonts w:asciiTheme="majorHAnsi" w:eastAsia="Arial" w:hAnsiTheme="majorHAnsi" w:cstheme="majorHAnsi"/>
          <w:sz w:val="24"/>
          <w:szCs w:val="24"/>
        </w:rPr>
        <w:t>a), b) c), y d) según corresponda al tipo de respuesta.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0EE15092" w14:textId="0B9FD835" w:rsidR="00620376" w:rsidRPr="001A3D24" w:rsidRDefault="003344EE" w:rsidP="001A3D24">
      <w:pPr>
        <w:spacing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A3D24">
        <w:rPr>
          <w:rFonts w:asciiTheme="majorHAnsi" w:eastAsia="Arial" w:hAnsiTheme="majorHAnsi" w:cstheme="majorHAnsi"/>
          <w:sz w:val="24"/>
          <w:szCs w:val="24"/>
        </w:rPr>
        <w:lastRenderedPageBreak/>
        <w:t>Toda la información que se refiera a la atención de solicitudes de acceso a la información</w:t>
      </w:r>
      <w:r w:rsidR="00D82C44" w:rsidRPr="001A3D24">
        <w:rPr>
          <w:rFonts w:asciiTheme="majorHAnsi" w:eastAsia="Arial" w:hAnsiTheme="majorHAnsi" w:cstheme="majorHAnsi"/>
          <w:sz w:val="24"/>
          <w:szCs w:val="24"/>
        </w:rPr>
        <w:t>,</w:t>
      </w:r>
      <w:r w:rsidRPr="001A3D24">
        <w:rPr>
          <w:rFonts w:asciiTheme="majorHAnsi" w:eastAsia="Arial" w:hAnsiTheme="majorHAnsi" w:cstheme="majorHAnsi"/>
          <w:sz w:val="24"/>
          <w:szCs w:val="24"/>
        </w:rPr>
        <w:t xml:space="preserve"> que obre en los archivos de la Unidad de Transparencia, será identificada con el código archivístico que le corresponda y se resguardará en el formato en </w:t>
      </w:r>
      <w:r w:rsidR="002E1128">
        <w:rPr>
          <w:rFonts w:asciiTheme="majorHAnsi" w:eastAsia="Arial" w:hAnsiTheme="majorHAnsi" w:cstheme="majorHAnsi"/>
          <w:sz w:val="24"/>
          <w:szCs w:val="24"/>
        </w:rPr>
        <w:t xml:space="preserve">el </w:t>
      </w:r>
      <w:r w:rsidRPr="001A3D24">
        <w:rPr>
          <w:rFonts w:asciiTheme="majorHAnsi" w:eastAsia="Arial" w:hAnsiTheme="majorHAnsi" w:cstheme="majorHAnsi"/>
          <w:sz w:val="24"/>
          <w:szCs w:val="24"/>
        </w:rPr>
        <w:t>que se encuentre.</w:t>
      </w:r>
    </w:p>
    <w:p w14:paraId="7C62FCB5" w14:textId="77777777" w:rsidR="003B14D4" w:rsidRPr="001A3D24" w:rsidRDefault="00EF4FFF" w:rsidP="001A3D24">
      <w:pPr>
        <w:pStyle w:val="Prrafodelista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3D24">
        <w:rPr>
          <w:rFonts w:asciiTheme="majorHAnsi" w:hAnsiTheme="majorHAnsi" w:cstheme="majorHAnsi"/>
          <w:b/>
          <w:bCs/>
          <w:sz w:val="24"/>
          <w:szCs w:val="24"/>
        </w:rPr>
        <w:t>De la conservación</w:t>
      </w:r>
      <w:r w:rsidR="00534138" w:rsidRPr="001A3D24">
        <w:rPr>
          <w:rFonts w:asciiTheme="majorHAnsi" w:hAnsiTheme="majorHAnsi" w:cstheme="majorHAnsi"/>
          <w:b/>
          <w:bCs/>
          <w:sz w:val="24"/>
          <w:szCs w:val="24"/>
        </w:rPr>
        <w:t xml:space="preserve"> y resguardo</w:t>
      </w:r>
      <w:r w:rsidRPr="001A3D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C85A2BD" w14:textId="0E360DE6" w:rsidR="00825935" w:rsidRPr="001A3D24" w:rsidRDefault="00221B8F" w:rsidP="001A3D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3D24">
        <w:rPr>
          <w:rFonts w:asciiTheme="majorHAnsi" w:hAnsiTheme="majorHAnsi" w:cstheme="majorHAnsi"/>
          <w:sz w:val="24"/>
          <w:szCs w:val="24"/>
        </w:rPr>
        <w:t>L</w:t>
      </w:r>
      <w:r w:rsidR="00CB1C46" w:rsidRPr="001A3D24">
        <w:rPr>
          <w:rFonts w:asciiTheme="majorHAnsi" w:hAnsiTheme="majorHAnsi" w:cstheme="majorHAnsi"/>
          <w:sz w:val="24"/>
          <w:szCs w:val="24"/>
        </w:rPr>
        <w:t xml:space="preserve">os expedientes de las solicitudes de acceso a la información, </w:t>
      </w:r>
      <w:r w:rsidRPr="001A3D24">
        <w:rPr>
          <w:rFonts w:asciiTheme="majorHAnsi" w:hAnsiTheme="majorHAnsi" w:cstheme="majorHAnsi"/>
          <w:sz w:val="24"/>
          <w:szCs w:val="24"/>
        </w:rPr>
        <w:t>serán resguardados por la Unidad de Transparencia del Inaip Yucatán</w:t>
      </w:r>
      <w:r w:rsidR="001E6A06" w:rsidRPr="001A3D24">
        <w:rPr>
          <w:rFonts w:asciiTheme="majorHAnsi" w:hAnsiTheme="majorHAnsi" w:cstheme="majorHAnsi"/>
          <w:sz w:val="24"/>
          <w:szCs w:val="24"/>
        </w:rPr>
        <w:t>,</w:t>
      </w:r>
      <w:r w:rsidRPr="001A3D24">
        <w:rPr>
          <w:rFonts w:asciiTheme="majorHAnsi" w:hAnsiTheme="majorHAnsi" w:cstheme="majorHAnsi"/>
          <w:sz w:val="24"/>
          <w:szCs w:val="24"/>
        </w:rPr>
        <w:t xml:space="preserve"> </w:t>
      </w:r>
      <w:r w:rsidR="00FE10D0" w:rsidRPr="001A3D24">
        <w:rPr>
          <w:rFonts w:asciiTheme="majorHAnsi" w:hAnsiTheme="majorHAnsi" w:cstheme="majorHAnsi"/>
          <w:sz w:val="24"/>
          <w:szCs w:val="24"/>
        </w:rPr>
        <w:t>de acuerdo con</w:t>
      </w:r>
      <w:r w:rsidR="00CB1C46" w:rsidRPr="001A3D24">
        <w:rPr>
          <w:rFonts w:asciiTheme="majorHAnsi" w:hAnsiTheme="majorHAnsi" w:cstheme="majorHAnsi"/>
          <w:sz w:val="24"/>
          <w:szCs w:val="24"/>
        </w:rPr>
        <w:t xml:space="preserve"> las vigencias y plazos de conservación señalados en el </w:t>
      </w:r>
      <w:r w:rsidRPr="001A3D24">
        <w:rPr>
          <w:rFonts w:asciiTheme="majorHAnsi" w:hAnsiTheme="majorHAnsi" w:cstheme="majorHAnsi"/>
          <w:sz w:val="24"/>
          <w:szCs w:val="24"/>
        </w:rPr>
        <w:t>C</w:t>
      </w:r>
      <w:r w:rsidR="00CB1C46" w:rsidRPr="001A3D24">
        <w:rPr>
          <w:rFonts w:asciiTheme="majorHAnsi" w:hAnsiTheme="majorHAnsi" w:cstheme="majorHAnsi"/>
          <w:sz w:val="24"/>
          <w:szCs w:val="24"/>
        </w:rPr>
        <w:t xml:space="preserve">atálogo de disposición documental </w:t>
      </w:r>
      <w:r w:rsidRPr="001A3D24">
        <w:rPr>
          <w:rFonts w:asciiTheme="majorHAnsi" w:hAnsiTheme="majorHAnsi" w:cstheme="majorHAnsi"/>
          <w:sz w:val="24"/>
          <w:szCs w:val="24"/>
        </w:rPr>
        <w:t>vigente</w:t>
      </w:r>
      <w:r w:rsidR="0060475A" w:rsidRPr="001A3D24">
        <w:rPr>
          <w:rFonts w:asciiTheme="majorHAnsi" w:hAnsiTheme="majorHAnsi" w:cstheme="majorHAnsi"/>
          <w:sz w:val="24"/>
          <w:szCs w:val="24"/>
        </w:rPr>
        <w:t>.</w:t>
      </w:r>
    </w:p>
    <w:p w14:paraId="2DC11796" w14:textId="77777777" w:rsidR="00825935" w:rsidRPr="001A3D24" w:rsidRDefault="00221B8F" w:rsidP="001A3D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3D24">
        <w:rPr>
          <w:rFonts w:asciiTheme="majorHAnsi" w:hAnsiTheme="majorHAnsi" w:cstheme="majorHAnsi"/>
          <w:sz w:val="24"/>
          <w:szCs w:val="24"/>
        </w:rPr>
        <w:t>U</w:t>
      </w:r>
      <w:r w:rsidR="00825935" w:rsidRPr="001A3D24">
        <w:rPr>
          <w:rFonts w:asciiTheme="majorHAnsi" w:hAnsiTheme="majorHAnsi" w:cstheme="majorHAnsi"/>
          <w:sz w:val="24"/>
          <w:szCs w:val="24"/>
        </w:rPr>
        <w:t xml:space="preserve">na vez que </w:t>
      </w:r>
      <w:r w:rsidR="00FE10D0" w:rsidRPr="001A3D24">
        <w:rPr>
          <w:rFonts w:asciiTheme="majorHAnsi" w:hAnsiTheme="majorHAnsi" w:cstheme="majorHAnsi"/>
          <w:sz w:val="24"/>
          <w:szCs w:val="24"/>
        </w:rPr>
        <w:t>se haya cumplido el tiempo de guarda</w:t>
      </w:r>
      <w:r w:rsidR="009C2CAB" w:rsidRPr="001A3D24">
        <w:rPr>
          <w:rFonts w:asciiTheme="majorHAnsi" w:hAnsiTheme="majorHAnsi" w:cstheme="majorHAnsi"/>
          <w:sz w:val="24"/>
          <w:szCs w:val="24"/>
        </w:rPr>
        <w:t xml:space="preserve"> en el archivo de </w:t>
      </w:r>
      <w:r w:rsidR="00FE10D0" w:rsidRPr="001A3D24">
        <w:rPr>
          <w:rFonts w:asciiTheme="majorHAnsi" w:hAnsiTheme="majorHAnsi" w:cstheme="majorHAnsi"/>
          <w:sz w:val="24"/>
          <w:szCs w:val="24"/>
        </w:rPr>
        <w:t>trámite</w:t>
      </w:r>
      <w:r w:rsidR="00825935" w:rsidRPr="001A3D24">
        <w:rPr>
          <w:rFonts w:asciiTheme="majorHAnsi" w:hAnsiTheme="majorHAnsi" w:cstheme="majorHAnsi"/>
          <w:sz w:val="24"/>
          <w:szCs w:val="24"/>
        </w:rPr>
        <w:t xml:space="preserve">, los </w:t>
      </w:r>
      <w:r w:rsidR="009C2CAB" w:rsidRPr="001A3D24">
        <w:rPr>
          <w:rFonts w:asciiTheme="majorHAnsi" w:hAnsiTheme="majorHAnsi" w:cstheme="majorHAnsi"/>
          <w:sz w:val="24"/>
          <w:szCs w:val="24"/>
        </w:rPr>
        <w:t>expedientes</w:t>
      </w:r>
      <w:r w:rsidR="00825935" w:rsidRPr="001A3D24">
        <w:rPr>
          <w:rFonts w:asciiTheme="majorHAnsi" w:hAnsiTheme="majorHAnsi" w:cstheme="majorHAnsi"/>
          <w:sz w:val="24"/>
          <w:szCs w:val="24"/>
        </w:rPr>
        <w:t xml:space="preserve"> </w:t>
      </w:r>
      <w:r w:rsidR="00534138" w:rsidRPr="001A3D24">
        <w:rPr>
          <w:rFonts w:asciiTheme="majorHAnsi" w:hAnsiTheme="majorHAnsi" w:cstheme="majorHAnsi"/>
          <w:sz w:val="24"/>
          <w:szCs w:val="24"/>
        </w:rPr>
        <w:t xml:space="preserve">que se encuentren en soporte físico, </w:t>
      </w:r>
      <w:r w:rsidR="00825935" w:rsidRPr="001A3D24">
        <w:rPr>
          <w:rFonts w:asciiTheme="majorHAnsi" w:hAnsiTheme="majorHAnsi" w:cstheme="majorHAnsi"/>
          <w:sz w:val="24"/>
          <w:szCs w:val="24"/>
        </w:rPr>
        <w:t>serán trasferidos al archivo de concentración para su guarda y custodia, de conformidad con las disposiciones vigentes e institucionales en la materia.</w:t>
      </w:r>
    </w:p>
    <w:p w14:paraId="63B290C2" w14:textId="77777777" w:rsidR="00534138" w:rsidRPr="001A3D24" w:rsidRDefault="00534138" w:rsidP="001A3D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3D24">
        <w:rPr>
          <w:rFonts w:asciiTheme="majorHAnsi" w:hAnsiTheme="majorHAnsi" w:cstheme="majorHAnsi"/>
          <w:sz w:val="24"/>
          <w:szCs w:val="24"/>
        </w:rPr>
        <w:t xml:space="preserve">Los expedientes de las solicitudes de acceso, que se encuentren en soporte electrónico </w:t>
      </w:r>
      <w:r w:rsidR="001E6A06" w:rsidRPr="001A3D24">
        <w:rPr>
          <w:rFonts w:asciiTheme="majorHAnsi" w:hAnsiTheme="majorHAnsi" w:cstheme="majorHAnsi"/>
          <w:sz w:val="24"/>
          <w:szCs w:val="24"/>
        </w:rPr>
        <w:t>serán integrados</w:t>
      </w:r>
      <w:r w:rsidRPr="001A3D24">
        <w:rPr>
          <w:rFonts w:asciiTheme="majorHAnsi" w:hAnsiTheme="majorHAnsi" w:cstheme="majorHAnsi"/>
          <w:sz w:val="24"/>
          <w:szCs w:val="24"/>
        </w:rPr>
        <w:t xml:space="preserve">, conservados y resguardados </w:t>
      </w:r>
      <w:r w:rsidR="00493B8B" w:rsidRPr="001A3D24">
        <w:rPr>
          <w:rFonts w:asciiTheme="majorHAnsi" w:hAnsiTheme="majorHAnsi" w:cstheme="majorHAnsi"/>
          <w:sz w:val="24"/>
          <w:szCs w:val="24"/>
        </w:rPr>
        <w:t xml:space="preserve">de acuerdo con lo señalado en el apartado </w:t>
      </w:r>
      <w:r w:rsidR="00493B8B" w:rsidRPr="001A3D24">
        <w:rPr>
          <w:rFonts w:asciiTheme="majorHAnsi" w:hAnsiTheme="majorHAnsi" w:cstheme="majorHAnsi"/>
          <w:i/>
          <w:iCs/>
          <w:sz w:val="24"/>
          <w:szCs w:val="24"/>
        </w:rPr>
        <w:t>De los procesos de gestión documental electrónica</w:t>
      </w:r>
      <w:r w:rsidR="00493B8B" w:rsidRPr="001A3D24">
        <w:rPr>
          <w:rFonts w:asciiTheme="majorHAnsi" w:hAnsiTheme="majorHAnsi" w:cstheme="majorHAnsi"/>
          <w:sz w:val="24"/>
          <w:szCs w:val="24"/>
        </w:rPr>
        <w:t xml:space="preserve"> de las Políticas de gestión de documentos electrónicos del Inaip </w:t>
      </w:r>
      <w:r w:rsidR="002B7BB6" w:rsidRPr="001A3D24">
        <w:rPr>
          <w:rFonts w:asciiTheme="majorHAnsi" w:hAnsiTheme="majorHAnsi" w:cstheme="majorHAnsi"/>
          <w:sz w:val="24"/>
          <w:szCs w:val="24"/>
        </w:rPr>
        <w:t>Yucatán</w:t>
      </w:r>
      <w:r w:rsidR="00493B8B" w:rsidRPr="001A3D24">
        <w:rPr>
          <w:rFonts w:asciiTheme="majorHAnsi" w:hAnsiTheme="majorHAnsi" w:cstheme="majorHAnsi"/>
          <w:sz w:val="24"/>
          <w:szCs w:val="24"/>
        </w:rPr>
        <w:t>.</w:t>
      </w:r>
      <w:r w:rsidR="001E6A06" w:rsidRPr="001A3D2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C43439" w14:textId="77777777" w:rsidR="00534138" w:rsidRPr="001A3D24" w:rsidRDefault="00534138" w:rsidP="001A3D2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A3D24">
        <w:rPr>
          <w:rFonts w:asciiTheme="majorHAnsi" w:hAnsiTheme="majorHAnsi" w:cstheme="majorHAnsi"/>
          <w:b/>
          <w:bCs/>
          <w:sz w:val="24"/>
          <w:szCs w:val="24"/>
        </w:rPr>
        <w:t>De la identificación de los expedientes</w:t>
      </w:r>
    </w:p>
    <w:p w14:paraId="6689678A" w14:textId="4ABFDD36" w:rsidR="009C2CAB" w:rsidRPr="001A3D24" w:rsidRDefault="00221B8F" w:rsidP="001A3D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3D24">
        <w:rPr>
          <w:rFonts w:asciiTheme="majorHAnsi" w:hAnsiTheme="majorHAnsi" w:cstheme="majorHAnsi"/>
          <w:sz w:val="24"/>
          <w:szCs w:val="24"/>
        </w:rPr>
        <w:t xml:space="preserve">Al momento de </w:t>
      </w:r>
      <w:r w:rsidR="00FE10D0" w:rsidRPr="001A3D24">
        <w:rPr>
          <w:rFonts w:asciiTheme="majorHAnsi" w:hAnsiTheme="majorHAnsi" w:cstheme="majorHAnsi"/>
          <w:sz w:val="24"/>
          <w:szCs w:val="24"/>
        </w:rPr>
        <w:t xml:space="preserve">realizar </w:t>
      </w:r>
      <w:r w:rsidRPr="001A3D24">
        <w:rPr>
          <w:rFonts w:asciiTheme="majorHAnsi" w:hAnsiTheme="majorHAnsi" w:cstheme="majorHAnsi"/>
          <w:sz w:val="24"/>
          <w:szCs w:val="24"/>
        </w:rPr>
        <w:t>la transferencia</w:t>
      </w:r>
      <w:r w:rsidR="00FE10D0" w:rsidRPr="001A3D24">
        <w:rPr>
          <w:rFonts w:asciiTheme="majorHAnsi" w:hAnsiTheme="majorHAnsi" w:cstheme="majorHAnsi"/>
          <w:sz w:val="24"/>
          <w:szCs w:val="24"/>
        </w:rPr>
        <w:t xml:space="preserve"> de los expedientes al archivo de concentración</w:t>
      </w:r>
      <w:r w:rsidRPr="001A3D24">
        <w:rPr>
          <w:rFonts w:asciiTheme="majorHAnsi" w:hAnsiTheme="majorHAnsi" w:cstheme="majorHAnsi"/>
          <w:sz w:val="24"/>
          <w:szCs w:val="24"/>
        </w:rPr>
        <w:t xml:space="preserve">, </w:t>
      </w:r>
      <w:r w:rsidR="00FE10D0" w:rsidRPr="001A3D24">
        <w:rPr>
          <w:rFonts w:asciiTheme="majorHAnsi" w:hAnsiTheme="majorHAnsi" w:cstheme="majorHAnsi"/>
          <w:sz w:val="24"/>
          <w:szCs w:val="24"/>
        </w:rPr>
        <w:t>se</w:t>
      </w:r>
      <w:r w:rsidRPr="001A3D24">
        <w:rPr>
          <w:rFonts w:asciiTheme="majorHAnsi" w:hAnsiTheme="majorHAnsi" w:cstheme="majorHAnsi"/>
          <w:sz w:val="24"/>
          <w:szCs w:val="24"/>
        </w:rPr>
        <w:t xml:space="preserve"> deberá identifica</w:t>
      </w:r>
      <w:r w:rsidR="00FE10D0" w:rsidRPr="001A3D24">
        <w:rPr>
          <w:rFonts w:asciiTheme="majorHAnsi" w:hAnsiTheme="majorHAnsi" w:cstheme="majorHAnsi"/>
          <w:sz w:val="24"/>
          <w:szCs w:val="24"/>
        </w:rPr>
        <w:t>r la información</w:t>
      </w:r>
      <w:r w:rsidRPr="001A3D24">
        <w:rPr>
          <w:rFonts w:asciiTheme="majorHAnsi" w:hAnsiTheme="majorHAnsi" w:cstheme="majorHAnsi"/>
          <w:sz w:val="24"/>
          <w:szCs w:val="24"/>
        </w:rPr>
        <w:t xml:space="preserve"> con la car</w:t>
      </w:r>
      <w:r w:rsidR="00FE10D0" w:rsidRPr="001A3D24">
        <w:rPr>
          <w:rFonts w:asciiTheme="majorHAnsi" w:hAnsiTheme="majorHAnsi" w:cstheme="majorHAnsi"/>
          <w:sz w:val="24"/>
          <w:szCs w:val="24"/>
        </w:rPr>
        <w:t>á</w:t>
      </w:r>
      <w:r w:rsidRPr="001A3D24">
        <w:rPr>
          <w:rFonts w:asciiTheme="majorHAnsi" w:hAnsiTheme="majorHAnsi" w:cstheme="majorHAnsi"/>
          <w:sz w:val="24"/>
          <w:szCs w:val="24"/>
        </w:rPr>
        <w:t>tula respectiva</w:t>
      </w:r>
      <w:r w:rsidR="00FE10D0" w:rsidRPr="001A3D24">
        <w:rPr>
          <w:rFonts w:asciiTheme="majorHAnsi" w:hAnsiTheme="majorHAnsi" w:cstheme="majorHAnsi"/>
          <w:sz w:val="24"/>
          <w:szCs w:val="24"/>
        </w:rPr>
        <w:t>, señalando en el “asunto” los datos que se requieran para facilitar su consulta, incluso si dicho expediente corresponde a un asunto para el que se interpuso Recurso de Revisión, y en su caso, relacionar los tomos que conforman el expediente.</w:t>
      </w:r>
    </w:p>
    <w:sectPr w:rsidR="009C2CAB" w:rsidRPr="001A3D2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E171" w14:textId="77777777" w:rsidR="004A3B2D" w:rsidRDefault="004A3B2D" w:rsidP="00045522">
      <w:pPr>
        <w:spacing w:after="0" w:line="240" w:lineRule="auto"/>
      </w:pPr>
      <w:r>
        <w:separator/>
      </w:r>
    </w:p>
  </w:endnote>
  <w:endnote w:type="continuationSeparator" w:id="0">
    <w:p w14:paraId="0FB8326F" w14:textId="77777777" w:rsidR="004A3B2D" w:rsidRDefault="004A3B2D" w:rsidP="0004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32912"/>
      <w:docPartObj>
        <w:docPartGallery w:val="Page Numbers (Bottom of Page)"/>
        <w:docPartUnique/>
      </w:docPartObj>
    </w:sdtPr>
    <w:sdtEndPr/>
    <w:sdtContent>
      <w:p w14:paraId="31661E6A" w14:textId="77777777" w:rsidR="00D82C44" w:rsidRDefault="00D82C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A998B8" w14:textId="77777777" w:rsidR="00045522" w:rsidRDefault="000455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B169" w14:textId="77777777" w:rsidR="004A3B2D" w:rsidRDefault="004A3B2D" w:rsidP="00045522">
      <w:pPr>
        <w:spacing w:after="0" w:line="240" w:lineRule="auto"/>
      </w:pPr>
      <w:r>
        <w:separator/>
      </w:r>
    </w:p>
  </w:footnote>
  <w:footnote w:type="continuationSeparator" w:id="0">
    <w:p w14:paraId="70A6E215" w14:textId="77777777" w:rsidR="004A3B2D" w:rsidRDefault="004A3B2D" w:rsidP="0004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D45C" w14:textId="0AB0C3DF" w:rsidR="00045522" w:rsidRDefault="001A3D2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57066C" wp14:editId="0DE043E2">
          <wp:simplePos x="0" y="0"/>
          <wp:positionH relativeFrom="column">
            <wp:posOffset>-3810</wp:posOffset>
          </wp:positionH>
          <wp:positionV relativeFrom="paragraph">
            <wp:posOffset>169545</wp:posOffset>
          </wp:positionV>
          <wp:extent cx="5612130" cy="944245"/>
          <wp:effectExtent l="0" t="0" r="7620" b="825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D0"/>
    <w:multiLevelType w:val="hybridMultilevel"/>
    <w:tmpl w:val="91620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43E"/>
    <w:multiLevelType w:val="hybridMultilevel"/>
    <w:tmpl w:val="6D5AA7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925E6"/>
    <w:multiLevelType w:val="hybridMultilevel"/>
    <w:tmpl w:val="400A3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0A5A"/>
    <w:multiLevelType w:val="multilevel"/>
    <w:tmpl w:val="3F86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A67EB1"/>
    <w:multiLevelType w:val="hybridMultilevel"/>
    <w:tmpl w:val="108AE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38DB"/>
    <w:multiLevelType w:val="hybridMultilevel"/>
    <w:tmpl w:val="11566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676F"/>
    <w:multiLevelType w:val="hybridMultilevel"/>
    <w:tmpl w:val="3E384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7C6E"/>
    <w:multiLevelType w:val="hybridMultilevel"/>
    <w:tmpl w:val="1090E0AC"/>
    <w:lvl w:ilvl="0" w:tplc="7758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56D88"/>
    <w:multiLevelType w:val="hybridMultilevel"/>
    <w:tmpl w:val="C9820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7BB7"/>
    <w:multiLevelType w:val="hybridMultilevel"/>
    <w:tmpl w:val="F53450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7680"/>
    <w:multiLevelType w:val="hybridMultilevel"/>
    <w:tmpl w:val="50F42F22"/>
    <w:lvl w:ilvl="0" w:tplc="DAC07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29E0"/>
    <w:multiLevelType w:val="hybridMultilevel"/>
    <w:tmpl w:val="3312A7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F02A6"/>
    <w:multiLevelType w:val="hybridMultilevel"/>
    <w:tmpl w:val="B8287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5047"/>
    <w:multiLevelType w:val="hybridMultilevel"/>
    <w:tmpl w:val="0EE4B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7619"/>
    <w:multiLevelType w:val="hybridMultilevel"/>
    <w:tmpl w:val="FDF2A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D4"/>
    <w:rsid w:val="000150DB"/>
    <w:rsid w:val="00045522"/>
    <w:rsid w:val="00055BF9"/>
    <w:rsid w:val="00067491"/>
    <w:rsid w:val="000E3482"/>
    <w:rsid w:val="00111BBC"/>
    <w:rsid w:val="001220FD"/>
    <w:rsid w:val="0017158E"/>
    <w:rsid w:val="0019309A"/>
    <w:rsid w:val="001A3D24"/>
    <w:rsid w:val="001B0678"/>
    <w:rsid w:val="001B5A54"/>
    <w:rsid w:val="001E3F81"/>
    <w:rsid w:val="001E6A06"/>
    <w:rsid w:val="00221B8F"/>
    <w:rsid w:val="00231351"/>
    <w:rsid w:val="00271385"/>
    <w:rsid w:val="00292309"/>
    <w:rsid w:val="00292353"/>
    <w:rsid w:val="002A5CDF"/>
    <w:rsid w:val="002B7BB6"/>
    <w:rsid w:val="002C3F21"/>
    <w:rsid w:val="002C688A"/>
    <w:rsid w:val="002E1128"/>
    <w:rsid w:val="002F119F"/>
    <w:rsid w:val="0033395B"/>
    <w:rsid w:val="003344EE"/>
    <w:rsid w:val="0035070E"/>
    <w:rsid w:val="00351135"/>
    <w:rsid w:val="00362D70"/>
    <w:rsid w:val="00390397"/>
    <w:rsid w:val="003B14D4"/>
    <w:rsid w:val="003C0508"/>
    <w:rsid w:val="003E5BEB"/>
    <w:rsid w:val="003E5CDB"/>
    <w:rsid w:val="003E6275"/>
    <w:rsid w:val="004537D5"/>
    <w:rsid w:val="00493B8B"/>
    <w:rsid w:val="004A3B2D"/>
    <w:rsid w:val="004E1B37"/>
    <w:rsid w:val="00501F9F"/>
    <w:rsid w:val="00527C79"/>
    <w:rsid w:val="00530596"/>
    <w:rsid w:val="00530C65"/>
    <w:rsid w:val="0053352B"/>
    <w:rsid w:val="00534138"/>
    <w:rsid w:val="005543F6"/>
    <w:rsid w:val="005E7BC4"/>
    <w:rsid w:val="0060475A"/>
    <w:rsid w:val="00620376"/>
    <w:rsid w:val="006421A4"/>
    <w:rsid w:val="00652D6E"/>
    <w:rsid w:val="00671DCE"/>
    <w:rsid w:val="006B3A19"/>
    <w:rsid w:val="00740666"/>
    <w:rsid w:val="00745489"/>
    <w:rsid w:val="007575EC"/>
    <w:rsid w:val="007E35F2"/>
    <w:rsid w:val="007F319E"/>
    <w:rsid w:val="0081419D"/>
    <w:rsid w:val="00825935"/>
    <w:rsid w:val="00896FCD"/>
    <w:rsid w:val="008D799D"/>
    <w:rsid w:val="008F1895"/>
    <w:rsid w:val="008F29AC"/>
    <w:rsid w:val="0093324D"/>
    <w:rsid w:val="00960260"/>
    <w:rsid w:val="0097429D"/>
    <w:rsid w:val="00991D93"/>
    <w:rsid w:val="009A0A6C"/>
    <w:rsid w:val="009B0F17"/>
    <w:rsid w:val="009C2CAB"/>
    <w:rsid w:val="009E3B12"/>
    <w:rsid w:val="00AA6296"/>
    <w:rsid w:val="00B0656C"/>
    <w:rsid w:val="00B30F0A"/>
    <w:rsid w:val="00B5132D"/>
    <w:rsid w:val="00B5749D"/>
    <w:rsid w:val="00C02FF4"/>
    <w:rsid w:val="00C251F1"/>
    <w:rsid w:val="00CB1C46"/>
    <w:rsid w:val="00CF43BE"/>
    <w:rsid w:val="00CF66B4"/>
    <w:rsid w:val="00D82C44"/>
    <w:rsid w:val="00DA2226"/>
    <w:rsid w:val="00E10707"/>
    <w:rsid w:val="00E14BDD"/>
    <w:rsid w:val="00E33D0F"/>
    <w:rsid w:val="00E91877"/>
    <w:rsid w:val="00EA45B0"/>
    <w:rsid w:val="00EC06AA"/>
    <w:rsid w:val="00EF4FFF"/>
    <w:rsid w:val="00FC0980"/>
    <w:rsid w:val="00FE10D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41339"/>
  <w15:chartTrackingRefBased/>
  <w15:docId w15:val="{997DF6C1-4F4B-49FD-B9B8-5EF80CF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5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522"/>
  </w:style>
  <w:style w:type="paragraph" w:styleId="Piedepgina">
    <w:name w:val="footer"/>
    <w:basedOn w:val="Normal"/>
    <w:link w:val="PiedepginaCar"/>
    <w:uiPriority w:val="99"/>
    <w:unhideWhenUsed/>
    <w:rsid w:val="00045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522"/>
  </w:style>
  <w:style w:type="paragraph" w:styleId="Ttulo">
    <w:name w:val="Title"/>
    <w:basedOn w:val="Normal"/>
    <w:next w:val="Normal"/>
    <w:link w:val="TtuloCar"/>
    <w:uiPriority w:val="10"/>
    <w:qFormat/>
    <w:rsid w:val="001A3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2</cp:revision>
  <dcterms:created xsi:type="dcterms:W3CDTF">2020-01-20T15:18:00Z</dcterms:created>
  <dcterms:modified xsi:type="dcterms:W3CDTF">2020-01-20T15:18:00Z</dcterms:modified>
</cp:coreProperties>
</file>