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01F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ANEXO </w:t>
      </w:r>
      <w:r w:rsidR="00A0276C">
        <w:rPr>
          <w:rFonts w:ascii="Arial" w:hAnsi="Arial" w:cs="Arial"/>
          <w:b/>
          <w:sz w:val="24"/>
          <w:szCs w:val="24"/>
        </w:rPr>
        <w:t xml:space="preserve">3 </w:t>
      </w:r>
      <w:r>
        <w:rPr>
          <w:rFonts w:ascii="Arial" w:hAnsi="Arial" w:cs="Arial"/>
          <w:b/>
          <w:sz w:val="24"/>
          <w:szCs w:val="24"/>
        </w:rPr>
        <w:t>DEL PROGRAMA ANUAL DE VIGILANCIA 2019</w:t>
      </w:r>
    </w:p>
    <w:p w:rsidR="008F501F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501F" w:rsidRPr="0024031D" w:rsidRDefault="008F501F" w:rsidP="008F50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031D">
        <w:rPr>
          <w:rFonts w:ascii="Arial" w:hAnsi="Arial" w:cs="Arial"/>
          <w:b/>
          <w:sz w:val="24"/>
          <w:szCs w:val="24"/>
        </w:rPr>
        <w:t xml:space="preserve">RELACIÓN DE SUJETOS OBLIGADOS </w:t>
      </w:r>
      <w:r w:rsidR="00A0276C">
        <w:rPr>
          <w:rFonts w:ascii="Arial" w:hAnsi="Arial" w:cs="Arial"/>
          <w:b/>
          <w:sz w:val="24"/>
          <w:szCs w:val="24"/>
        </w:rPr>
        <w:t xml:space="preserve">QUE NO SERÁN </w:t>
      </w:r>
      <w:r w:rsidRPr="0024031D">
        <w:rPr>
          <w:rFonts w:ascii="Arial" w:hAnsi="Arial" w:cs="Arial"/>
          <w:b/>
          <w:sz w:val="24"/>
          <w:szCs w:val="24"/>
        </w:rPr>
        <w:t>CONSIDERADOS EN EL CÁLCULO DE LA MUESTRA DE SUJETOS OBLIGADOS A VERIFICAR</w:t>
      </w:r>
    </w:p>
    <w:p w:rsidR="008F501F" w:rsidRDefault="008F501F"/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7959"/>
      </w:tblGrid>
      <w:tr w:rsidR="008F501F" w:rsidRPr="00275601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275601" w:rsidRDefault="008F501F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PODER EJECUTIVO</w:t>
            </w:r>
          </w:p>
        </w:tc>
      </w:tr>
      <w:tr w:rsidR="008F501F" w:rsidRPr="00275601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</w:tcPr>
          <w:p w:rsidR="008F501F" w:rsidRPr="00275601" w:rsidRDefault="008F501F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Dependencias</w:t>
            </w:r>
          </w:p>
        </w:tc>
      </w:tr>
      <w:tr w:rsidR="00A0276C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31-01-02-019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Secretaría de Pesca y Acuacultura Sustentable.</w:t>
            </w:r>
          </w:p>
        </w:tc>
      </w:tr>
      <w:tr w:rsidR="00A0276C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31-01-02-020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Secretaría de las Mujeres.</w:t>
            </w:r>
          </w:p>
        </w:tc>
      </w:tr>
      <w:tr w:rsidR="008F501F" w:rsidRPr="00275601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  <w:hideMark/>
          </w:tcPr>
          <w:p w:rsidR="008F501F" w:rsidRPr="00275601" w:rsidRDefault="008F501F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Organismos Descentralizados</w:t>
            </w:r>
          </w:p>
        </w:tc>
      </w:tr>
      <w:tr w:rsidR="00A0276C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31-01-03-052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Instituto de la Movilidad y Desarrollo Urbano Territorial.</w:t>
            </w:r>
          </w:p>
        </w:tc>
      </w:tr>
      <w:tr w:rsidR="00A0276C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31-01-03-053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A0276C" w:rsidRPr="00275601" w:rsidRDefault="00A0276C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Instituto para la Inclusión de las Personas con Discapacidad del Estado de Yucatán</w:t>
            </w:r>
          </w:p>
        </w:tc>
      </w:tr>
      <w:tr w:rsidR="00275601" w:rsidRPr="00275601" w:rsidTr="00136D39">
        <w:trPr>
          <w:trHeight w:val="284"/>
          <w:jc w:val="center"/>
        </w:trPr>
        <w:tc>
          <w:tcPr>
            <w:tcW w:w="9552" w:type="dxa"/>
            <w:gridSpan w:val="2"/>
            <w:shd w:val="clear" w:color="auto" w:fill="auto"/>
            <w:noWrap/>
            <w:vAlign w:val="center"/>
          </w:tcPr>
          <w:p w:rsidR="00275601" w:rsidRPr="00275601" w:rsidRDefault="00275601" w:rsidP="00136D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Fideicomisos</w:t>
            </w:r>
          </w:p>
        </w:tc>
      </w:tr>
      <w:tr w:rsidR="00275601" w:rsidRPr="00275601" w:rsidTr="00136D39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136D3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31-01-04-004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136D3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Fideicomiso Público pa</w:t>
            </w:r>
            <w:bookmarkStart w:id="0" w:name="_GoBack"/>
            <w:bookmarkEnd w:id="0"/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ra la Administración del Palacio de la Música.</w:t>
            </w:r>
          </w:p>
        </w:tc>
      </w:tr>
      <w:tr w:rsidR="008F501F" w:rsidRPr="00275601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275601" w:rsidRDefault="008F501F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PARTIDOS POLÍTICOS</w:t>
            </w:r>
          </w:p>
        </w:tc>
      </w:tr>
      <w:tr w:rsidR="008F501F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8F501F" w:rsidRPr="00275601" w:rsidRDefault="00A0276C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31-08-10-001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8F501F" w:rsidRPr="00275601" w:rsidRDefault="00A0276C" w:rsidP="002756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Partido Nueva Alianza Yucatán</w:t>
            </w:r>
          </w:p>
        </w:tc>
      </w:tr>
      <w:tr w:rsidR="008F501F" w:rsidRPr="00275601" w:rsidTr="008F501F">
        <w:trPr>
          <w:trHeight w:val="284"/>
          <w:jc w:val="center"/>
        </w:trPr>
        <w:tc>
          <w:tcPr>
            <w:tcW w:w="9552" w:type="dxa"/>
            <w:gridSpan w:val="2"/>
            <w:shd w:val="clear" w:color="auto" w:fill="A6A6A6" w:themeFill="background1" w:themeFillShade="A6"/>
            <w:noWrap/>
            <w:vAlign w:val="center"/>
            <w:hideMark/>
          </w:tcPr>
          <w:p w:rsidR="008F501F" w:rsidRPr="00275601" w:rsidRDefault="008F501F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MX"/>
              </w:rPr>
              <w:t>SUJETOS OBLIGADOS INDIRECTOS (FIDEICOMISO Y FONDOS PÚBLICOS)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32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Fideicomiso para la Administración del Fondo de Apoyo a Víctimas del Delito (FAVID)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33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Fideicomiso para el Desarrollo Regional del Sur Sureste 2050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34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Público para el Desarrollo del Turismo de Reuniones de Yucatán (FIDETURE)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35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Fideicomiso Garante de la Orquesta Sinfónica de Yucatán (FIGAROSY)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36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Fideicomiso del Palacio de la Música</w:t>
            </w:r>
          </w:p>
        </w:tc>
      </w:tr>
      <w:tr w:rsidR="00275601" w:rsidRPr="00275601" w:rsidTr="00A0276C">
        <w:trPr>
          <w:trHeight w:val="284"/>
          <w:jc w:val="center"/>
        </w:trPr>
        <w:tc>
          <w:tcPr>
            <w:tcW w:w="1593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</w:pPr>
            <w:r w:rsidRPr="00275601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MX"/>
              </w:rPr>
              <w:t>37</w:t>
            </w:r>
          </w:p>
        </w:tc>
        <w:tc>
          <w:tcPr>
            <w:tcW w:w="7959" w:type="dxa"/>
            <w:shd w:val="clear" w:color="auto" w:fill="auto"/>
            <w:noWrap/>
            <w:vAlign w:val="center"/>
          </w:tcPr>
          <w:p w:rsidR="00275601" w:rsidRPr="00275601" w:rsidRDefault="00275601" w:rsidP="0027560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601">
              <w:rPr>
                <w:rFonts w:ascii="Arial" w:hAnsi="Arial" w:cs="Arial"/>
                <w:color w:val="000000"/>
                <w:sz w:val="18"/>
                <w:szCs w:val="18"/>
              </w:rPr>
              <w:t>Fideicomiso para el Deporte de Alto Rendimiento</w:t>
            </w:r>
          </w:p>
        </w:tc>
      </w:tr>
    </w:tbl>
    <w:p w:rsidR="008F501F" w:rsidRDefault="008F501F"/>
    <w:p w:rsidR="008F501F" w:rsidRDefault="008F501F"/>
    <w:sectPr w:rsidR="008F501F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FB2" w:rsidRDefault="008F0FB2" w:rsidP="008F501F">
      <w:pPr>
        <w:spacing w:after="0" w:line="240" w:lineRule="auto"/>
      </w:pPr>
      <w:r>
        <w:separator/>
      </w:r>
    </w:p>
  </w:endnote>
  <w:endnote w:type="continuationSeparator" w:id="0">
    <w:p w:rsidR="008F0FB2" w:rsidRDefault="008F0FB2" w:rsidP="008F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FB2" w:rsidRDefault="008F0FB2" w:rsidP="008F501F">
      <w:pPr>
        <w:spacing w:after="0" w:line="240" w:lineRule="auto"/>
      </w:pPr>
      <w:r>
        <w:separator/>
      </w:r>
    </w:p>
  </w:footnote>
  <w:footnote w:type="continuationSeparator" w:id="0">
    <w:p w:rsidR="008F0FB2" w:rsidRDefault="008F0FB2" w:rsidP="008F5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01F" w:rsidRDefault="008F501F">
    <w:pPr>
      <w:pStyle w:val="Encabezado"/>
    </w:pPr>
    <w:r>
      <w:rPr>
        <w:noProof/>
      </w:rPr>
      <w:drawing>
        <wp:inline distT="0" distB="0" distL="0" distR="0">
          <wp:extent cx="5416307" cy="83820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Completo15Añ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6307" cy="8382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501F" w:rsidRDefault="008F50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01F"/>
    <w:rsid w:val="00275601"/>
    <w:rsid w:val="00284DED"/>
    <w:rsid w:val="00353225"/>
    <w:rsid w:val="00496634"/>
    <w:rsid w:val="008F0FB2"/>
    <w:rsid w:val="008F501F"/>
    <w:rsid w:val="00A0276C"/>
    <w:rsid w:val="00DF7D39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E1CD2"/>
  <w15:chartTrackingRefBased/>
  <w15:docId w15:val="{54044C6B-449F-49B1-93A2-B30262AC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501F"/>
  </w:style>
  <w:style w:type="paragraph" w:styleId="Piedepgina">
    <w:name w:val="footer"/>
    <w:basedOn w:val="Normal"/>
    <w:link w:val="PiedepginaCar"/>
    <w:uiPriority w:val="99"/>
    <w:unhideWhenUsed/>
    <w:rsid w:val="008F50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501F"/>
  </w:style>
  <w:style w:type="paragraph" w:styleId="Textodeglobo">
    <w:name w:val="Balloon Text"/>
    <w:basedOn w:val="Normal"/>
    <w:link w:val="TextodegloboCar"/>
    <w:uiPriority w:val="99"/>
    <w:semiHidden/>
    <w:unhideWhenUsed/>
    <w:rsid w:val="00284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4D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173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</dc:creator>
  <cp:keywords/>
  <dc:description/>
  <cp:lastModifiedBy>Evaluación</cp:lastModifiedBy>
  <cp:revision>3</cp:revision>
  <cp:lastPrinted>2019-09-26T12:42:00Z</cp:lastPrinted>
  <dcterms:created xsi:type="dcterms:W3CDTF">2019-09-26T15:42:00Z</dcterms:created>
  <dcterms:modified xsi:type="dcterms:W3CDTF">2019-09-26T15:58:00Z</dcterms:modified>
</cp:coreProperties>
</file>