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9043D" w14:textId="5414EA71" w:rsidR="00D32EA4" w:rsidRPr="00CA468B" w:rsidRDefault="00D32EA4" w:rsidP="00CA468B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Hlk19870654"/>
      <w:r w:rsidRPr="00CA468B">
        <w:rPr>
          <w:rFonts w:ascii="Arial" w:hAnsi="Arial" w:cs="Arial"/>
          <w:b/>
        </w:rPr>
        <w:t xml:space="preserve">ANEXO </w:t>
      </w:r>
      <w:r w:rsidR="00CA468B" w:rsidRPr="00CA468B">
        <w:rPr>
          <w:rFonts w:ascii="Arial" w:hAnsi="Arial" w:cs="Arial"/>
          <w:b/>
        </w:rPr>
        <w:t>2</w:t>
      </w:r>
      <w:r w:rsidRPr="00CA468B">
        <w:rPr>
          <w:rFonts w:ascii="Arial" w:hAnsi="Arial" w:cs="Arial"/>
          <w:b/>
        </w:rPr>
        <w:t xml:space="preserve"> DEL PROGRAMA ANUAL DE VIGILANCIA 20</w:t>
      </w:r>
      <w:r w:rsidR="00CA468B" w:rsidRPr="00CA468B">
        <w:rPr>
          <w:rFonts w:ascii="Arial" w:hAnsi="Arial" w:cs="Arial"/>
          <w:b/>
        </w:rPr>
        <w:t>20</w:t>
      </w:r>
    </w:p>
    <w:bookmarkEnd w:id="0"/>
    <w:p w14:paraId="60A4A759" w14:textId="77777777" w:rsidR="00D32EA4" w:rsidRPr="00CA468B" w:rsidRDefault="00D32EA4" w:rsidP="00CA468B">
      <w:pPr>
        <w:spacing w:after="0" w:line="360" w:lineRule="auto"/>
        <w:jc w:val="center"/>
        <w:rPr>
          <w:rFonts w:ascii="Arial" w:hAnsi="Arial"/>
          <w:b/>
        </w:rPr>
      </w:pPr>
    </w:p>
    <w:p w14:paraId="60F570E5" w14:textId="14F8252F" w:rsidR="00A81FF8" w:rsidRPr="00CA468B" w:rsidRDefault="00A81FF8" w:rsidP="00CA468B">
      <w:pPr>
        <w:spacing w:after="0" w:line="360" w:lineRule="auto"/>
        <w:jc w:val="center"/>
        <w:rPr>
          <w:rFonts w:ascii="Arial" w:hAnsi="Arial"/>
          <w:b/>
        </w:rPr>
      </w:pPr>
      <w:r w:rsidRPr="00CA468B">
        <w:rPr>
          <w:rFonts w:ascii="Arial" w:hAnsi="Arial"/>
          <w:b/>
        </w:rPr>
        <w:t>PLAN</w:t>
      </w:r>
      <w:r w:rsidR="00F67759" w:rsidRPr="00CA468B">
        <w:rPr>
          <w:rFonts w:ascii="Arial" w:hAnsi="Arial"/>
          <w:b/>
        </w:rPr>
        <w:t xml:space="preserve"> DE MUESTREO</w:t>
      </w:r>
      <w:r w:rsidR="00AD4334" w:rsidRPr="00CA468B">
        <w:rPr>
          <w:rFonts w:ascii="Arial" w:hAnsi="Arial"/>
          <w:b/>
        </w:rPr>
        <w:t xml:space="preserve"> </w:t>
      </w:r>
      <w:r w:rsidR="00F67759" w:rsidRPr="00CA468B">
        <w:rPr>
          <w:rFonts w:ascii="Arial" w:hAnsi="Arial"/>
          <w:b/>
        </w:rPr>
        <w:t>PARA</w:t>
      </w:r>
      <w:r w:rsidR="00C34CF9" w:rsidRPr="00CA468B">
        <w:rPr>
          <w:rFonts w:ascii="Arial" w:hAnsi="Arial"/>
          <w:b/>
        </w:rPr>
        <w:t xml:space="preserve"> SELECCIONAR </w:t>
      </w:r>
      <w:r w:rsidR="00962FBC" w:rsidRPr="00CA468B">
        <w:rPr>
          <w:rFonts w:ascii="Arial" w:hAnsi="Arial"/>
          <w:b/>
        </w:rPr>
        <w:t>LOS REGISTROS</w:t>
      </w:r>
      <w:r w:rsidR="00C34CF9" w:rsidRPr="00CA468B">
        <w:rPr>
          <w:rFonts w:ascii="Arial" w:hAnsi="Arial"/>
          <w:b/>
        </w:rPr>
        <w:t xml:space="preserve"> PUBLICADOS POR LOS SUJETOS OBLIGADOS QUE SE REVISARÁN EN LAS VERIFICACIONES EFECTUADAS CON MOTIVO DEL PROGRAMA ANUAL DE VIGILANCIA 2019</w:t>
      </w:r>
    </w:p>
    <w:p w14:paraId="42F8EFDC" w14:textId="77777777" w:rsidR="003518D2" w:rsidRPr="00CA468B" w:rsidRDefault="003518D2" w:rsidP="00AD4334">
      <w:pPr>
        <w:spacing w:after="0" w:line="360" w:lineRule="auto"/>
        <w:rPr>
          <w:rFonts w:ascii="Arial" w:hAnsi="Arial"/>
        </w:rPr>
      </w:pPr>
    </w:p>
    <w:p w14:paraId="6316AFA0" w14:textId="77777777" w:rsidR="00DC4C7F" w:rsidRPr="00AD4334" w:rsidRDefault="00DC4C7F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Objetivo:</w:t>
      </w:r>
    </w:p>
    <w:p w14:paraId="785C6BC2" w14:textId="77777777" w:rsidR="0080421D" w:rsidRPr="00AD4334" w:rsidRDefault="008A30B1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Establecer el Plan de Muestreo para l</w:t>
      </w:r>
      <w:r w:rsidR="0080421D" w:rsidRPr="00AD4334">
        <w:rPr>
          <w:rFonts w:ascii="Arial" w:hAnsi="Arial"/>
        </w:rPr>
        <w:t xml:space="preserve">levar a cabo la verificación del cumplimiento de las obligaciones de transparencia </w:t>
      </w:r>
      <w:r w:rsidR="008925AD" w:rsidRPr="00AD4334">
        <w:rPr>
          <w:rFonts w:ascii="Arial" w:hAnsi="Arial"/>
        </w:rPr>
        <w:t xml:space="preserve">que deben publicar los </w:t>
      </w:r>
      <w:r w:rsidR="0080421D" w:rsidRPr="00AD4334">
        <w:rPr>
          <w:rFonts w:ascii="Arial" w:hAnsi="Arial"/>
        </w:rPr>
        <w:t>Sujetos Obligados</w:t>
      </w:r>
      <w:r w:rsidR="008925AD" w:rsidRPr="00AD4334">
        <w:rPr>
          <w:rFonts w:ascii="Arial" w:hAnsi="Arial"/>
        </w:rPr>
        <w:t xml:space="preserve"> en los portales de Internet y en la Plataforma Nacional de Transparencia</w:t>
      </w:r>
      <w:r w:rsidR="0080421D" w:rsidRPr="00AD4334">
        <w:rPr>
          <w:rFonts w:ascii="Arial" w:hAnsi="Arial"/>
        </w:rPr>
        <w:t xml:space="preserve">, a partir de la selección aleatoria de los registros </w:t>
      </w:r>
      <w:r w:rsidR="0089329B">
        <w:rPr>
          <w:rFonts w:ascii="Arial" w:hAnsi="Arial"/>
        </w:rPr>
        <w:t xml:space="preserve">hallados en los formatos </w:t>
      </w:r>
      <w:r w:rsidR="0089329B" w:rsidRPr="00AD4334">
        <w:rPr>
          <w:rFonts w:ascii="Arial" w:hAnsi="Arial"/>
        </w:rPr>
        <w:t xml:space="preserve">previstos en los </w:t>
      </w:r>
      <w:r w:rsidR="0089329B" w:rsidRPr="00AD4334">
        <w:rPr>
          <w:rFonts w:ascii="Arial" w:hAnsi="Arial"/>
          <w:lang w:eastAsia="es-MX"/>
        </w:rPr>
        <w:t>Lineamientos técnicos generales para la publicación, homologación y estandarización de la información de las</w:t>
      </w:r>
      <w:bookmarkStart w:id="1" w:name="_GoBack"/>
      <w:bookmarkEnd w:id="1"/>
      <w:r w:rsidR="0089329B" w:rsidRPr="00AD4334">
        <w:rPr>
          <w:rFonts w:ascii="Arial" w:hAnsi="Arial"/>
          <w:lang w:eastAsia="es-MX"/>
        </w:rPr>
        <w:t xml:space="preserve"> obligaciones establecidas en el Título Quinto y en la fracción IV del artículo 31 de la Ley General de Transparencia y Acceso a la Información Pública, que deben de difundir los sujetos obligados en los portales de Internet y en la Plataforma Nacional de Transparencia</w:t>
      </w:r>
      <w:r w:rsidR="00D227E8">
        <w:rPr>
          <w:rFonts w:ascii="Arial" w:hAnsi="Arial"/>
          <w:lang w:eastAsia="es-MX"/>
        </w:rPr>
        <w:t>, en adelante Lineamientos T</w:t>
      </w:r>
      <w:r w:rsidR="0089329B">
        <w:rPr>
          <w:rFonts w:ascii="Arial" w:hAnsi="Arial"/>
          <w:lang w:eastAsia="es-MX"/>
        </w:rPr>
        <w:t xml:space="preserve">écnicos </w:t>
      </w:r>
      <w:r w:rsidR="00D227E8">
        <w:rPr>
          <w:rFonts w:ascii="Arial" w:hAnsi="Arial"/>
          <w:lang w:eastAsia="es-MX"/>
        </w:rPr>
        <w:t>G</w:t>
      </w:r>
      <w:r w:rsidR="0089329B">
        <w:rPr>
          <w:rFonts w:ascii="Arial" w:hAnsi="Arial"/>
          <w:lang w:eastAsia="es-MX"/>
        </w:rPr>
        <w:t>enerales,</w:t>
      </w:r>
      <w:r w:rsidR="00C34CF9">
        <w:rPr>
          <w:rFonts w:ascii="Arial" w:hAnsi="Arial"/>
          <w:lang w:eastAsia="es-MX"/>
        </w:rPr>
        <w:t xml:space="preserve"> publicados el veintiocho de diciembre de dos mil diecisiete,</w:t>
      </w:r>
      <w:r w:rsidR="0089329B">
        <w:rPr>
          <w:rFonts w:ascii="Arial" w:hAnsi="Arial"/>
          <w:lang w:eastAsia="es-MX"/>
        </w:rPr>
        <w:t xml:space="preserve"> </w:t>
      </w:r>
      <w:r w:rsidR="0089329B">
        <w:rPr>
          <w:rFonts w:ascii="Arial" w:hAnsi="Arial"/>
        </w:rPr>
        <w:t>inherentes</w:t>
      </w:r>
      <w:r w:rsidR="00AD4334">
        <w:rPr>
          <w:rFonts w:ascii="Arial" w:hAnsi="Arial"/>
        </w:rPr>
        <w:t xml:space="preserve"> a </w:t>
      </w:r>
      <w:r w:rsidR="0089329B">
        <w:rPr>
          <w:rFonts w:ascii="Arial" w:hAnsi="Arial"/>
        </w:rPr>
        <w:t xml:space="preserve">cada una de </w:t>
      </w:r>
      <w:r w:rsidR="00AD4334">
        <w:rPr>
          <w:rFonts w:ascii="Arial" w:hAnsi="Arial"/>
        </w:rPr>
        <w:t>las f</w:t>
      </w:r>
      <w:r w:rsidR="0080421D" w:rsidRPr="00AD4334">
        <w:rPr>
          <w:rFonts w:ascii="Arial" w:hAnsi="Arial"/>
        </w:rPr>
        <w:t>racciones</w:t>
      </w:r>
      <w:r w:rsidR="0089329B">
        <w:rPr>
          <w:rFonts w:ascii="Arial" w:hAnsi="Arial"/>
        </w:rPr>
        <w:t xml:space="preserve"> contempladas en los artículos 70 a 79</w:t>
      </w:r>
      <w:r w:rsidR="009F2A3E" w:rsidRPr="00AD4334">
        <w:rPr>
          <w:rFonts w:ascii="Arial" w:hAnsi="Arial"/>
        </w:rPr>
        <w:t xml:space="preserve"> de la Ley</w:t>
      </w:r>
      <w:r w:rsidR="005E33FE" w:rsidRPr="00AD4334">
        <w:rPr>
          <w:rFonts w:ascii="Arial" w:hAnsi="Arial"/>
        </w:rPr>
        <w:t xml:space="preserve"> General de Transparencia y Acceso a la Información Pública</w:t>
      </w:r>
      <w:r w:rsidR="0080421D" w:rsidRPr="00AD4334">
        <w:rPr>
          <w:rFonts w:ascii="Arial" w:hAnsi="Arial"/>
        </w:rPr>
        <w:t xml:space="preserve">, con el fin de </w:t>
      </w:r>
      <w:r w:rsidR="005E33FE" w:rsidRPr="00AD4334">
        <w:rPr>
          <w:rFonts w:ascii="Arial" w:hAnsi="Arial"/>
        </w:rPr>
        <w:t xml:space="preserve">aprovechar de </w:t>
      </w:r>
      <w:r w:rsidR="00913750" w:rsidRPr="00AD4334">
        <w:rPr>
          <w:rFonts w:ascii="Arial" w:hAnsi="Arial"/>
        </w:rPr>
        <w:t>manera</w:t>
      </w:r>
      <w:r w:rsidR="005E33FE" w:rsidRPr="00AD4334">
        <w:rPr>
          <w:rFonts w:ascii="Arial" w:hAnsi="Arial"/>
        </w:rPr>
        <w:t xml:space="preserve"> </w:t>
      </w:r>
      <w:r w:rsidR="005E38B3" w:rsidRPr="00AD4334">
        <w:rPr>
          <w:rFonts w:ascii="Arial" w:hAnsi="Arial"/>
        </w:rPr>
        <w:t xml:space="preserve">más </w:t>
      </w:r>
      <w:r w:rsidR="005E33FE" w:rsidRPr="00AD4334">
        <w:rPr>
          <w:rFonts w:ascii="Arial" w:hAnsi="Arial"/>
        </w:rPr>
        <w:t xml:space="preserve">eficiente </w:t>
      </w:r>
      <w:r w:rsidR="0080421D" w:rsidRPr="00AD4334">
        <w:rPr>
          <w:rFonts w:ascii="Arial" w:hAnsi="Arial"/>
        </w:rPr>
        <w:t xml:space="preserve">los recursos </w:t>
      </w:r>
      <w:r w:rsidR="005E33FE" w:rsidRPr="00AD4334">
        <w:rPr>
          <w:rFonts w:ascii="Arial" w:hAnsi="Arial"/>
        </w:rPr>
        <w:t>d</w:t>
      </w:r>
      <w:r w:rsidR="0080421D" w:rsidRPr="00AD4334">
        <w:rPr>
          <w:rFonts w:ascii="Arial" w:hAnsi="Arial"/>
        </w:rPr>
        <w:t>isponibles.</w:t>
      </w:r>
    </w:p>
    <w:p w14:paraId="0C9EDB21" w14:textId="77777777" w:rsidR="00913750" w:rsidRDefault="00913750" w:rsidP="00AD4334">
      <w:pPr>
        <w:spacing w:after="0" w:line="360" w:lineRule="auto"/>
        <w:jc w:val="both"/>
        <w:rPr>
          <w:rFonts w:ascii="Arial" w:hAnsi="Arial"/>
        </w:rPr>
      </w:pPr>
    </w:p>
    <w:p w14:paraId="454938F6" w14:textId="77777777" w:rsidR="00913750" w:rsidRPr="00AD4334" w:rsidRDefault="00913750" w:rsidP="00AD4334">
      <w:pPr>
        <w:spacing w:after="0" w:line="360" w:lineRule="auto"/>
        <w:jc w:val="both"/>
        <w:rPr>
          <w:rFonts w:ascii="Arial" w:hAnsi="Arial"/>
          <w:b/>
        </w:rPr>
      </w:pPr>
      <w:r w:rsidRPr="00AD4334">
        <w:rPr>
          <w:rFonts w:ascii="Arial" w:hAnsi="Arial"/>
          <w:b/>
        </w:rPr>
        <w:t>Etapas del Plan de Muestreo</w:t>
      </w:r>
    </w:p>
    <w:p w14:paraId="251B0325" w14:textId="77777777" w:rsid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14:paraId="18546AC0" w14:textId="77777777" w:rsidR="0080421D" w:rsidRDefault="00913750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1</w:t>
      </w:r>
      <w:r w:rsidRPr="00AD4334">
        <w:rPr>
          <w:rFonts w:ascii="Arial" w:hAnsi="Arial"/>
        </w:rPr>
        <w:t xml:space="preserve">: Identificación de las </w:t>
      </w:r>
      <w:r w:rsidR="00AD4334">
        <w:rPr>
          <w:rFonts w:ascii="Arial" w:hAnsi="Arial"/>
        </w:rPr>
        <w:t>f</w:t>
      </w:r>
      <w:r w:rsidRPr="00AD4334">
        <w:rPr>
          <w:rFonts w:ascii="Arial" w:hAnsi="Arial"/>
        </w:rPr>
        <w:t xml:space="preserve">racciones </w:t>
      </w:r>
      <w:r w:rsidR="006D6179">
        <w:rPr>
          <w:rFonts w:ascii="Arial" w:hAnsi="Arial"/>
        </w:rPr>
        <w:t>que integrarán la muestra</w:t>
      </w:r>
      <w:r w:rsidR="00AD4334">
        <w:rPr>
          <w:rFonts w:ascii="Arial" w:hAnsi="Arial"/>
        </w:rPr>
        <w:t>.</w:t>
      </w:r>
    </w:p>
    <w:p w14:paraId="79900616" w14:textId="77777777" w:rsidR="009F2A3E" w:rsidRPr="00AD4334" w:rsidRDefault="00A0695C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En un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primer</w:t>
      </w:r>
      <w:r w:rsidR="00A37B57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A37B57" w:rsidRPr="00AD4334">
        <w:rPr>
          <w:rFonts w:ascii="Arial" w:hAnsi="Arial"/>
        </w:rPr>
        <w:t>revisión</w:t>
      </w:r>
      <w:r w:rsidRPr="00AD4334">
        <w:rPr>
          <w:rFonts w:ascii="Arial" w:hAnsi="Arial"/>
        </w:rPr>
        <w:t xml:space="preserve">, </w:t>
      </w:r>
      <w:r w:rsidR="00815E99" w:rsidRPr="00AD4334">
        <w:rPr>
          <w:rFonts w:ascii="Arial" w:hAnsi="Arial"/>
        </w:rPr>
        <w:t xml:space="preserve">deben </w:t>
      </w:r>
      <w:r w:rsidRPr="00AD4334">
        <w:rPr>
          <w:rFonts w:ascii="Arial" w:hAnsi="Arial"/>
        </w:rPr>
        <w:t>identificar</w:t>
      </w:r>
      <w:r w:rsidR="00815E99" w:rsidRPr="00AD4334">
        <w:rPr>
          <w:rFonts w:ascii="Arial" w:hAnsi="Arial"/>
        </w:rPr>
        <w:t>se</w:t>
      </w:r>
      <w:r w:rsidRPr="00AD4334">
        <w:rPr>
          <w:rFonts w:ascii="Arial" w:hAnsi="Arial"/>
        </w:rPr>
        <w:t xml:space="preserve"> </w:t>
      </w:r>
      <w:r w:rsidR="00815E99" w:rsidRPr="00AD4334">
        <w:rPr>
          <w:rFonts w:ascii="Arial" w:hAnsi="Arial"/>
        </w:rPr>
        <w:t>l</w:t>
      </w:r>
      <w:r w:rsidR="00AD4334">
        <w:rPr>
          <w:rFonts w:ascii="Arial" w:hAnsi="Arial"/>
        </w:rPr>
        <w:t>as f</w:t>
      </w:r>
      <w:r w:rsidRPr="00AD4334">
        <w:rPr>
          <w:rFonts w:ascii="Arial" w:hAnsi="Arial"/>
        </w:rPr>
        <w:t>racciones</w:t>
      </w:r>
      <w:r w:rsidR="00D227E8">
        <w:rPr>
          <w:rFonts w:ascii="Arial" w:hAnsi="Arial"/>
        </w:rPr>
        <w:t xml:space="preserve"> de los artículos a verificar</w:t>
      </w:r>
      <w:r w:rsidR="0089329B">
        <w:rPr>
          <w:rFonts w:ascii="Arial" w:hAnsi="Arial"/>
        </w:rPr>
        <w:t xml:space="preserve"> </w:t>
      </w:r>
      <w:r w:rsidR="00AD4334">
        <w:rPr>
          <w:rFonts w:ascii="Arial" w:hAnsi="Arial"/>
        </w:rPr>
        <w:t xml:space="preserve">que </w:t>
      </w:r>
      <w:r w:rsidR="00815E99" w:rsidRPr="00AD4334">
        <w:rPr>
          <w:rFonts w:ascii="Arial" w:hAnsi="Arial"/>
        </w:rPr>
        <w:t>cuenta</w:t>
      </w:r>
      <w:r w:rsidR="0089329B">
        <w:rPr>
          <w:rFonts w:ascii="Arial" w:hAnsi="Arial"/>
        </w:rPr>
        <w:t>n</w:t>
      </w:r>
      <w:r w:rsidR="00815E99" w:rsidRPr="00AD4334">
        <w:rPr>
          <w:rFonts w:ascii="Arial" w:hAnsi="Arial"/>
        </w:rPr>
        <w:t xml:space="preserve"> con registros, de modo que la estrategia de muestreo </w:t>
      </w:r>
      <w:r w:rsidRPr="00AD4334">
        <w:rPr>
          <w:rFonts w:ascii="Arial" w:hAnsi="Arial"/>
        </w:rPr>
        <w:t xml:space="preserve">se </w:t>
      </w:r>
      <w:r w:rsidR="00815E99" w:rsidRPr="00AD4334">
        <w:rPr>
          <w:rFonts w:ascii="Arial" w:hAnsi="Arial"/>
        </w:rPr>
        <w:t xml:space="preserve">aplique </w:t>
      </w:r>
      <w:r w:rsidR="00AD4334">
        <w:rPr>
          <w:rFonts w:ascii="Arial" w:hAnsi="Arial"/>
        </w:rPr>
        <w:t>solo a é</w:t>
      </w:r>
      <w:r w:rsidR="00A37B57" w:rsidRPr="00AD4334">
        <w:rPr>
          <w:rFonts w:ascii="Arial" w:hAnsi="Arial"/>
        </w:rPr>
        <w:t>stas</w:t>
      </w:r>
      <w:r w:rsidRPr="00AD4334">
        <w:rPr>
          <w:rFonts w:ascii="Arial" w:hAnsi="Arial"/>
        </w:rPr>
        <w:t>.</w:t>
      </w:r>
    </w:p>
    <w:p w14:paraId="25467EFE" w14:textId="77777777" w:rsidR="00A37B57" w:rsidRPr="00AD4334" w:rsidRDefault="00A37B57" w:rsidP="00AD4334">
      <w:pPr>
        <w:spacing w:after="0" w:line="360" w:lineRule="auto"/>
        <w:jc w:val="both"/>
        <w:rPr>
          <w:rFonts w:ascii="Arial" w:hAnsi="Arial"/>
        </w:rPr>
      </w:pPr>
    </w:p>
    <w:p w14:paraId="1C8299A3" w14:textId="77777777" w:rsidR="00815E99" w:rsidRPr="00AD4334" w:rsidRDefault="00815E99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  <w:u w:val="single"/>
        </w:rPr>
        <w:t>Etapa 2</w:t>
      </w:r>
      <w:r w:rsidRPr="00AD4334">
        <w:rPr>
          <w:rFonts w:ascii="Arial" w:hAnsi="Arial"/>
        </w:rPr>
        <w:t xml:space="preserve">: </w:t>
      </w:r>
      <w:r w:rsidR="00304195" w:rsidRPr="00AD4334">
        <w:rPr>
          <w:rFonts w:ascii="Arial" w:hAnsi="Arial"/>
        </w:rPr>
        <w:t>Determinación del t</w:t>
      </w:r>
      <w:r w:rsidR="00A37B57" w:rsidRPr="00AD4334">
        <w:rPr>
          <w:rFonts w:ascii="Arial" w:hAnsi="Arial"/>
        </w:rPr>
        <w:t>amaño de muestra</w:t>
      </w:r>
      <w:r w:rsidR="00AD4334">
        <w:rPr>
          <w:rFonts w:ascii="Arial" w:hAnsi="Arial"/>
        </w:rPr>
        <w:t>.</w:t>
      </w:r>
    </w:p>
    <w:p w14:paraId="594CC101" w14:textId="77777777" w:rsidR="007D3895" w:rsidRDefault="007D3895" w:rsidP="00AD4334">
      <w:pPr>
        <w:spacing w:after="0" w:line="360" w:lineRule="auto"/>
        <w:jc w:val="both"/>
        <w:rPr>
          <w:rFonts w:ascii="Arial" w:hAnsi="Arial"/>
        </w:rPr>
      </w:pPr>
      <w:r w:rsidRPr="00AD4334">
        <w:rPr>
          <w:rFonts w:ascii="Arial" w:hAnsi="Arial"/>
        </w:rPr>
        <w:t>El tamaño de muestra se obtendrá para la estimación de la proporción de registros que cumplen con los criterios establecidos</w:t>
      </w:r>
      <w:r w:rsidR="00D227E8">
        <w:rPr>
          <w:rFonts w:ascii="Arial" w:hAnsi="Arial"/>
        </w:rPr>
        <w:t xml:space="preserve"> en los Lineamientos T</w:t>
      </w:r>
      <w:r w:rsidR="0089329B">
        <w:rPr>
          <w:rFonts w:ascii="Arial" w:hAnsi="Arial"/>
        </w:rPr>
        <w:t xml:space="preserve">écnicos </w:t>
      </w:r>
      <w:r w:rsidR="00D227E8">
        <w:rPr>
          <w:rFonts w:ascii="Arial" w:hAnsi="Arial"/>
        </w:rPr>
        <w:t>G</w:t>
      </w:r>
      <w:r w:rsidR="0089329B">
        <w:rPr>
          <w:rFonts w:ascii="Arial" w:hAnsi="Arial"/>
        </w:rPr>
        <w:t>enera</w:t>
      </w:r>
      <w:r w:rsidR="006D6179">
        <w:rPr>
          <w:rFonts w:ascii="Arial" w:hAnsi="Arial"/>
        </w:rPr>
        <w:t>le</w:t>
      </w:r>
      <w:r w:rsidR="0089329B">
        <w:rPr>
          <w:rFonts w:ascii="Arial" w:hAnsi="Arial"/>
        </w:rPr>
        <w:t>s</w:t>
      </w:r>
      <w:r w:rsidRPr="00AD4334">
        <w:rPr>
          <w:rFonts w:ascii="Arial" w:hAnsi="Arial"/>
        </w:rPr>
        <w:t xml:space="preserve"> con relaci</w:t>
      </w:r>
      <w:r w:rsidR="00A37B57" w:rsidRPr="00AD4334">
        <w:rPr>
          <w:rFonts w:ascii="Arial" w:hAnsi="Arial"/>
        </w:rPr>
        <w:t>ón</w:t>
      </w:r>
      <w:r w:rsidRPr="00AD4334">
        <w:rPr>
          <w:rFonts w:ascii="Arial" w:hAnsi="Arial"/>
        </w:rPr>
        <w:t xml:space="preserve"> a las obligaciones de transparencia, considerando 0.5 para esta proporción, con un</w:t>
      </w:r>
      <w:r w:rsidR="005F0DE0" w:rsidRPr="00AD4334">
        <w:rPr>
          <w:rFonts w:ascii="Arial" w:hAnsi="Arial"/>
        </w:rPr>
        <w:t>a</w:t>
      </w:r>
      <w:r w:rsidRPr="00AD4334">
        <w:rPr>
          <w:rFonts w:ascii="Arial" w:hAnsi="Arial"/>
        </w:rPr>
        <w:t xml:space="preserve"> </w:t>
      </w:r>
      <w:r w:rsidR="005F0DE0" w:rsidRPr="00AD4334">
        <w:rPr>
          <w:rFonts w:ascii="Arial" w:hAnsi="Arial"/>
        </w:rPr>
        <w:t xml:space="preserve">confianza de 90% y un </w:t>
      </w:r>
      <w:r w:rsidRPr="00AD4334">
        <w:rPr>
          <w:rFonts w:ascii="Arial" w:hAnsi="Arial"/>
        </w:rPr>
        <w:t xml:space="preserve">error de estimación de </w:t>
      </w:r>
      <w:r w:rsidR="005F0DE0" w:rsidRPr="00AD4334">
        <w:rPr>
          <w:rFonts w:ascii="Arial" w:hAnsi="Arial"/>
        </w:rPr>
        <w:t>10%.</w:t>
      </w:r>
      <w:r w:rsidRPr="00AD4334">
        <w:rPr>
          <w:rFonts w:ascii="Arial" w:hAnsi="Arial"/>
        </w:rPr>
        <w:t xml:space="preserve"> </w:t>
      </w:r>
      <w:r w:rsidR="00AD0C3F" w:rsidRPr="00AD4334">
        <w:rPr>
          <w:rFonts w:ascii="Arial" w:hAnsi="Arial"/>
        </w:rPr>
        <w:t>C</w:t>
      </w:r>
      <w:r w:rsidRPr="00AD4334">
        <w:rPr>
          <w:rFonts w:ascii="Arial" w:hAnsi="Arial"/>
        </w:rPr>
        <w:t xml:space="preserve">onsiderando el empleo de la </w:t>
      </w:r>
      <w:r w:rsidR="00AD0C3F" w:rsidRPr="00AD4334">
        <w:rPr>
          <w:rFonts w:ascii="Arial" w:hAnsi="Arial"/>
        </w:rPr>
        <w:t>corrección por población finita, este tamaño de muestra se obtiene mediante la expresión:</w:t>
      </w:r>
    </w:p>
    <w:p w14:paraId="70952571" w14:textId="77777777" w:rsidR="00AD4334" w:rsidRPr="00AD4334" w:rsidRDefault="00AD4334" w:rsidP="00AD4334">
      <w:pPr>
        <w:spacing w:after="0" w:line="360" w:lineRule="auto"/>
        <w:jc w:val="both"/>
        <w:rPr>
          <w:rFonts w:ascii="Arial" w:hAnsi="Arial"/>
        </w:rPr>
      </w:pPr>
    </w:p>
    <w:p w14:paraId="24CA5757" w14:textId="77777777" w:rsidR="00AD0C3F" w:rsidRPr="00AD0C3F" w:rsidRDefault="00AD0C3F" w:rsidP="00AD4334">
      <w:pPr>
        <w:spacing w:after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*P*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1-P</m:t>
                  </m:r>
                </m:e>
              </m:d>
            </m:den>
          </m:f>
        </m:oMath>
      </m:oMathPara>
    </w:p>
    <w:p w14:paraId="01855EAE" w14:textId="77777777" w:rsidR="00AD4334" w:rsidRDefault="00AD4334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</w:p>
    <w:p w14:paraId="748DE3EB" w14:textId="77777777"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</w:rPr>
        <w:t>Donde:</w:t>
      </w:r>
    </w:p>
    <w:p w14:paraId="026D9CBF" w14:textId="77777777" w:rsidR="00AD0C3F" w:rsidRPr="00AD4334" w:rsidRDefault="00AD0C3F" w:rsidP="00AD4334">
      <w:pPr>
        <w:spacing w:after="0" w:line="360" w:lineRule="auto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N</w:t>
      </w:r>
      <w:r w:rsidRPr="00AD4334">
        <w:rPr>
          <w:rFonts w:ascii="Arial" w:eastAsiaTheme="minorEastAsia" w:hAnsi="Arial" w:cs="Arial"/>
        </w:rPr>
        <w:tab/>
        <w:t xml:space="preserve">Es el total de registros </w:t>
      </w:r>
      <w:r w:rsidR="00CC3F07" w:rsidRPr="00AD4334">
        <w:rPr>
          <w:rFonts w:ascii="Arial" w:eastAsiaTheme="minorEastAsia" w:hAnsi="Arial" w:cs="Arial"/>
        </w:rPr>
        <w:t>a revisar correspondientes a una fracción determinada</w:t>
      </w:r>
    </w:p>
    <w:p w14:paraId="4222F978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Z</w:t>
      </w:r>
      <w:r w:rsidRPr="00AD4334">
        <w:rPr>
          <w:rFonts w:ascii="Arial" w:eastAsiaTheme="minorEastAsia" w:hAnsi="Arial" w:cs="Arial"/>
        </w:rPr>
        <w:tab/>
        <w:t xml:space="preserve">Es el valor del estadístico Z para un </w:t>
      </w:r>
      <w:r w:rsidR="005F0DE0" w:rsidRPr="00AD4334">
        <w:rPr>
          <w:rFonts w:ascii="Arial" w:eastAsiaTheme="minorEastAsia" w:hAnsi="Arial" w:cs="Arial"/>
        </w:rPr>
        <w:t>n</w:t>
      </w:r>
      <w:r w:rsidRPr="00AD4334">
        <w:rPr>
          <w:rFonts w:ascii="Arial" w:eastAsiaTheme="minorEastAsia" w:hAnsi="Arial" w:cs="Arial"/>
        </w:rPr>
        <w:t xml:space="preserve">ivel de significancia </w:t>
      </w:r>
      <w:r w:rsidR="005F0DE0" w:rsidRPr="00AD4334">
        <w:rPr>
          <w:rFonts w:ascii="Arial" w:eastAsiaTheme="minorEastAsia" w:hAnsi="Arial" w:cs="Arial"/>
        </w:rPr>
        <w:t xml:space="preserve">especificado </w:t>
      </w:r>
      <w:r w:rsidRPr="00AD4334">
        <w:rPr>
          <w:rFonts w:ascii="Arial" w:eastAsiaTheme="minorEastAsia" w:hAnsi="Arial" w:cs="Arial"/>
        </w:rPr>
        <w:t>(en este caso, 0.05), correspondiente a determinado porcentaje de confianza (en este caso, 9</w:t>
      </w:r>
      <w:r w:rsidR="005F0DE0" w:rsidRPr="00AD4334">
        <w:rPr>
          <w:rFonts w:ascii="Arial" w:eastAsiaTheme="minorEastAsia" w:hAnsi="Arial" w:cs="Arial"/>
        </w:rPr>
        <w:t>0</w:t>
      </w:r>
      <w:r w:rsidRPr="00AD4334">
        <w:rPr>
          <w:rFonts w:ascii="Arial" w:eastAsiaTheme="minorEastAsia" w:hAnsi="Arial" w:cs="Arial"/>
        </w:rPr>
        <w:t>%). Dicho valor es, en este caso, 1.</w:t>
      </w:r>
      <w:r w:rsidR="005F0DE0" w:rsidRPr="00AD4334">
        <w:rPr>
          <w:rFonts w:ascii="Arial" w:eastAsiaTheme="minorEastAsia" w:hAnsi="Arial" w:cs="Arial"/>
        </w:rPr>
        <w:t>64</w:t>
      </w:r>
    </w:p>
    <w:p w14:paraId="52C93F45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P</w:t>
      </w:r>
      <w:r w:rsidRPr="00AD4334">
        <w:rPr>
          <w:rFonts w:ascii="Arial" w:eastAsiaTheme="minorEastAsia" w:hAnsi="Arial" w:cs="Arial"/>
        </w:rPr>
        <w:tab/>
        <w:t>Es el valor esperado de</w:t>
      </w:r>
      <w:r w:rsidR="00504476">
        <w:rPr>
          <w:rFonts w:ascii="Arial" w:eastAsiaTheme="minorEastAsia" w:hAnsi="Arial" w:cs="Arial"/>
        </w:rPr>
        <w:t xml:space="preserve"> </w:t>
      </w:r>
      <w:r w:rsidRPr="00AD4334">
        <w:rPr>
          <w:rFonts w:ascii="Arial" w:eastAsiaTheme="minorEastAsia" w:hAnsi="Arial" w:cs="Arial"/>
        </w:rPr>
        <w:t>l</w:t>
      </w:r>
      <w:r w:rsidR="00504476">
        <w:rPr>
          <w:rFonts w:ascii="Arial" w:eastAsiaTheme="minorEastAsia" w:hAnsi="Arial" w:cs="Arial"/>
        </w:rPr>
        <w:t>a</w:t>
      </w:r>
      <w:r w:rsidRPr="00AD4334">
        <w:rPr>
          <w:rFonts w:ascii="Arial" w:eastAsiaTheme="minorEastAsia" w:hAnsi="Arial" w:cs="Arial"/>
        </w:rPr>
        <w:t xml:space="preserve"> proporción que se desea estimar. En este caso se consideró 0.5 para obtener el mayor tamaño de muestra que permita obtener </w:t>
      </w:r>
      <w:r w:rsidR="005F0DE0" w:rsidRPr="00AD4334">
        <w:rPr>
          <w:rFonts w:ascii="Arial" w:eastAsiaTheme="minorEastAsia" w:hAnsi="Arial" w:cs="Arial"/>
        </w:rPr>
        <w:t>esta</w:t>
      </w:r>
      <w:r w:rsidRPr="00AD4334">
        <w:rPr>
          <w:rFonts w:ascii="Arial" w:eastAsiaTheme="minorEastAsia" w:hAnsi="Arial" w:cs="Arial"/>
        </w:rPr>
        <w:t xml:space="preserve"> estimación.</w:t>
      </w:r>
    </w:p>
    <w:p w14:paraId="0D8D2046" w14:textId="77777777" w:rsidR="00CC3F07" w:rsidRPr="00AD4334" w:rsidRDefault="00CC3F07" w:rsidP="00AD4334">
      <w:pPr>
        <w:spacing w:after="0" w:line="360" w:lineRule="auto"/>
        <w:ind w:left="705" w:hanging="705"/>
        <w:jc w:val="both"/>
        <w:rPr>
          <w:rFonts w:ascii="Arial" w:eastAsiaTheme="minorEastAsia" w:hAnsi="Arial" w:cs="Arial"/>
        </w:rPr>
      </w:pPr>
      <w:r w:rsidRPr="00AD4334">
        <w:rPr>
          <w:rFonts w:ascii="Arial" w:eastAsiaTheme="minorEastAsia" w:hAnsi="Arial" w:cs="Arial"/>
          <w:i/>
        </w:rPr>
        <w:t>E</w:t>
      </w:r>
      <w:r w:rsidRPr="00AD4334">
        <w:rPr>
          <w:rFonts w:ascii="Arial" w:eastAsiaTheme="minorEastAsia" w:hAnsi="Arial" w:cs="Arial"/>
        </w:rPr>
        <w:tab/>
        <w:t>Es el error de estimación o margen de error con el que se desea obtener la estimación, en este caso</w:t>
      </w:r>
      <w:r w:rsidR="00DA14E1" w:rsidRPr="00AD4334">
        <w:rPr>
          <w:rFonts w:ascii="Arial" w:eastAsiaTheme="minorEastAsia" w:hAnsi="Arial" w:cs="Arial"/>
        </w:rPr>
        <w:t>,</w:t>
      </w:r>
      <w:r w:rsidRPr="00AD4334">
        <w:rPr>
          <w:rFonts w:ascii="Arial" w:eastAsiaTheme="minorEastAsia" w:hAnsi="Arial" w:cs="Arial"/>
        </w:rPr>
        <w:t xml:space="preserve"> dicho valor es en su expresión decimal 0.1 (10% en su expresión porcentual).</w:t>
      </w:r>
    </w:p>
    <w:p w14:paraId="7A1BC79C" w14:textId="77777777"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14:paraId="16C5B5FE" w14:textId="77777777"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Finalmente, se establece como tamaño de muestra el número entero superior más próximo al resultado de la expresión anterior.</w:t>
      </w:r>
    </w:p>
    <w:p w14:paraId="39E390BD" w14:textId="77777777" w:rsidR="00D166C4" w:rsidRPr="00AD4334" w:rsidRDefault="00D166C4" w:rsidP="00AD4334">
      <w:pPr>
        <w:spacing w:after="0" w:line="360" w:lineRule="auto"/>
        <w:jc w:val="both"/>
        <w:rPr>
          <w:rFonts w:ascii="Arial" w:hAnsi="Arial" w:cs="Arial"/>
        </w:rPr>
      </w:pPr>
    </w:p>
    <w:p w14:paraId="6A3476BA" w14:textId="77777777" w:rsidR="00E60250" w:rsidRPr="00AD4334" w:rsidRDefault="00304195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  <w:u w:val="single"/>
        </w:rPr>
        <w:t>Etapa 3</w:t>
      </w:r>
      <w:r w:rsidRPr="00AD4334">
        <w:rPr>
          <w:rFonts w:ascii="Arial" w:hAnsi="Arial" w:cs="Arial"/>
        </w:rPr>
        <w:t xml:space="preserve">: </w:t>
      </w:r>
      <w:r w:rsidR="00E60250" w:rsidRPr="00AD4334">
        <w:rPr>
          <w:rFonts w:ascii="Arial" w:hAnsi="Arial" w:cs="Arial"/>
        </w:rPr>
        <w:t xml:space="preserve">Selección </w:t>
      </w:r>
      <w:r w:rsidR="00D54568" w:rsidRPr="00AD4334">
        <w:rPr>
          <w:rFonts w:ascii="Arial" w:hAnsi="Arial" w:cs="Arial"/>
        </w:rPr>
        <w:t>y documentación de los registros</w:t>
      </w:r>
      <w:r w:rsidR="00AD4334">
        <w:rPr>
          <w:rFonts w:ascii="Arial" w:hAnsi="Arial" w:cs="Arial"/>
        </w:rPr>
        <w:t>.</w:t>
      </w:r>
    </w:p>
    <w:p w14:paraId="79BBB620" w14:textId="77777777" w:rsidR="00E60250" w:rsidRPr="00AD4334" w:rsidRDefault="00E60250" w:rsidP="00AD4334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La selección de registros a muestrear</w:t>
      </w:r>
      <w:r w:rsidR="00027D4C">
        <w:rPr>
          <w:rFonts w:ascii="Arial" w:hAnsi="Arial" w:cs="Arial"/>
        </w:rPr>
        <w:t>,</w:t>
      </w:r>
      <w:r w:rsidRPr="00AD4334">
        <w:rPr>
          <w:rFonts w:ascii="Arial" w:hAnsi="Arial" w:cs="Arial"/>
        </w:rPr>
        <w:t xml:space="preserve"> se llevará a cabo mediante muestreo aleatorio simpl</w:t>
      </w:r>
      <w:r w:rsidR="0089329B">
        <w:rPr>
          <w:rFonts w:ascii="Arial" w:hAnsi="Arial" w:cs="Arial"/>
        </w:rPr>
        <w:t xml:space="preserve">e </w:t>
      </w:r>
      <w:r w:rsidR="00027D4C">
        <w:rPr>
          <w:rFonts w:ascii="Arial" w:hAnsi="Arial" w:cs="Arial"/>
        </w:rPr>
        <w:t>s</w:t>
      </w:r>
      <w:r w:rsidR="0089329B">
        <w:rPr>
          <w:rFonts w:ascii="Arial" w:hAnsi="Arial" w:cs="Arial"/>
        </w:rPr>
        <w:t>obre los registros</w:t>
      </w:r>
      <w:r w:rsidR="00D54568" w:rsidRPr="00AD4334">
        <w:rPr>
          <w:rFonts w:ascii="Arial" w:hAnsi="Arial" w:cs="Arial"/>
        </w:rPr>
        <w:t xml:space="preserve"> que apare</w:t>
      </w:r>
      <w:r w:rsidR="00AD4334">
        <w:rPr>
          <w:rFonts w:ascii="Arial" w:hAnsi="Arial" w:cs="Arial"/>
        </w:rPr>
        <w:t>zcan</w:t>
      </w:r>
      <w:r w:rsidR="00D54568" w:rsidRPr="00AD4334">
        <w:rPr>
          <w:rFonts w:ascii="Arial" w:hAnsi="Arial" w:cs="Arial"/>
        </w:rPr>
        <w:t xml:space="preserve"> en </w:t>
      </w:r>
      <w:r w:rsidR="001E5B3B" w:rsidRPr="00AD4334">
        <w:rPr>
          <w:rFonts w:ascii="Arial" w:hAnsi="Arial" w:cs="Arial"/>
        </w:rPr>
        <w:t xml:space="preserve">los </w:t>
      </w:r>
      <w:r w:rsidR="00AD4334" w:rsidRPr="00AD4334">
        <w:rPr>
          <w:rFonts w:ascii="Arial" w:hAnsi="Arial" w:cs="Arial"/>
        </w:rPr>
        <w:t xml:space="preserve">formatos previstos en los </w:t>
      </w:r>
      <w:r w:rsidR="00D227E8">
        <w:rPr>
          <w:rFonts w:ascii="Arial" w:hAnsi="Arial" w:cs="Arial"/>
          <w:lang w:eastAsia="es-MX"/>
        </w:rPr>
        <w:t>Lineamientos T</w:t>
      </w:r>
      <w:r w:rsidR="0089329B">
        <w:rPr>
          <w:rFonts w:ascii="Arial" w:hAnsi="Arial" w:cs="Arial"/>
          <w:lang w:eastAsia="es-MX"/>
        </w:rPr>
        <w:t xml:space="preserve">écnicos </w:t>
      </w:r>
      <w:r w:rsidR="00D227E8">
        <w:rPr>
          <w:rFonts w:ascii="Arial" w:hAnsi="Arial" w:cs="Arial"/>
          <w:lang w:eastAsia="es-MX"/>
        </w:rPr>
        <w:t>G</w:t>
      </w:r>
      <w:r w:rsidR="0089329B">
        <w:rPr>
          <w:rFonts w:ascii="Arial" w:hAnsi="Arial" w:cs="Arial"/>
          <w:lang w:eastAsia="es-MX"/>
        </w:rPr>
        <w:t>enerales</w:t>
      </w:r>
      <w:r w:rsidR="00027D4C">
        <w:rPr>
          <w:rFonts w:ascii="Arial" w:hAnsi="Arial" w:cs="Arial"/>
        </w:rPr>
        <w:t xml:space="preserve">, a través de </w:t>
      </w:r>
      <w:r w:rsidRPr="00AD4334">
        <w:rPr>
          <w:rFonts w:ascii="Arial" w:hAnsi="Arial" w:cs="Arial"/>
        </w:rPr>
        <w:t>un algoritmo de selección aleatoria aplicado al número consecutivo</w:t>
      </w:r>
      <w:r w:rsidR="00E93EF7" w:rsidRPr="00AD4334">
        <w:rPr>
          <w:rFonts w:ascii="Arial" w:hAnsi="Arial" w:cs="Arial"/>
        </w:rPr>
        <w:t xml:space="preserve"> de identificación asociado con los registros considerados, </w:t>
      </w:r>
      <w:r w:rsidR="00027D4C">
        <w:rPr>
          <w:rFonts w:ascii="Arial" w:hAnsi="Arial" w:cs="Arial"/>
        </w:rPr>
        <w:t>por medio d</w:t>
      </w:r>
      <w:r w:rsidR="00E93EF7" w:rsidRPr="00AD4334">
        <w:rPr>
          <w:rFonts w:ascii="Arial" w:hAnsi="Arial" w:cs="Arial"/>
        </w:rPr>
        <w:t>el empleo del complemento “Análisis de Datos” de Excel</w:t>
      </w:r>
      <w:r w:rsidRPr="00AD4334">
        <w:rPr>
          <w:rFonts w:ascii="Arial" w:hAnsi="Arial" w:cs="Arial"/>
        </w:rPr>
        <w:t>.</w:t>
      </w:r>
    </w:p>
    <w:p w14:paraId="3146F3CB" w14:textId="77777777" w:rsidR="00AD4334" w:rsidRDefault="00AD4334" w:rsidP="00AD4334">
      <w:pPr>
        <w:spacing w:after="0" w:line="360" w:lineRule="auto"/>
        <w:jc w:val="both"/>
        <w:rPr>
          <w:rFonts w:ascii="Arial" w:hAnsi="Arial" w:cs="Arial"/>
        </w:rPr>
      </w:pPr>
    </w:p>
    <w:p w14:paraId="44E4ABC9" w14:textId="3A531477" w:rsidR="00D54568" w:rsidRPr="00CA468B" w:rsidRDefault="00D54568" w:rsidP="00CA468B">
      <w:pPr>
        <w:spacing w:after="0" w:line="360" w:lineRule="auto"/>
        <w:jc w:val="both"/>
        <w:rPr>
          <w:rFonts w:ascii="Arial" w:hAnsi="Arial" w:cs="Arial"/>
        </w:rPr>
      </w:pPr>
      <w:r w:rsidRPr="00AD4334">
        <w:rPr>
          <w:rFonts w:ascii="Arial" w:hAnsi="Arial" w:cs="Arial"/>
        </w:rPr>
        <w:t>Los renglones correspondientes a los registros que sean seleccionados para l</w:t>
      </w:r>
      <w:r w:rsidR="00AD4334">
        <w:rPr>
          <w:rFonts w:ascii="Arial" w:hAnsi="Arial" w:cs="Arial"/>
        </w:rPr>
        <w:t>levar a cabo la verificación se</w:t>
      </w:r>
      <w:r w:rsidRPr="00AD4334">
        <w:rPr>
          <w:rFonts w:ascii="Arial" w:hAnsi="Arial" w:cs="Arial"/>
        </w:rPr>
        <w:t xml:space="preserve"> m</w:t>
      </w:r>
      <w:r w:rsidR="00993791" w:rsidRPr="00AD4334">
        <w:rPr>
          <w:rFonts w:ascii="Arial" w:hAnsi="Arial" w:cs="Arial"/>
        </w:rPr>
        <w:t>arcar</w:t>
      </w:r>
      <w:r w:rsidRPr="00AD4334">
        <w:rPr>
          <w:rFonts w:ascii="Arial" w:hAnsi="Arial" w:cs="Arial"/>
        </w:rPr>
        <w:t>án</w:t>
      </w:r>
      <w:r w:rsidR="00993791" w:rsidRPr="00AD4334">
        <w:rPr>
          <w:rFonts w:ascii="Arial" w:hAnsi="Arial" w:cs="Arial"/>
        </w:rPr>
        <w:t xml:space="preserve"> con </w:t>
      </w:r>
      <w:r w:rsidRPr="00AD4334">
        <w:rPr>
          <w:rFonts w:ascii="Arial" w:hAnsi="Arial" w:cs="Arial"/>
        </w:rPr>
        <w:t xml:space="preserve">color amarillo </w:t>
      </w:r>
      <w:r w:rsidR="008A30B1" w:rsidRPr="00AD4334">
        <w:rPr>
          <w:rFonts w:ascii="Arial" w:hAnsi="Arial" w:cs="Arial"/>
        </w:rPr>
        <w:t xml:space="preserve">en </w:t>
      </w:r>
      <w:r w:rsidR="00993791" w:rsidRPr="00AD4334">
        <w:rPr>
          <w:rFonts w:ascii="Arial" w:hAnsi="Arial" w:cs="Arial"/>
        </w:rPr>
        <w:t>l</w:t>
      </w:r>
      <w:r w:rsidR="008A30B1" w:rsidRPr="00AD4334">
        <w:rPr>
          <w:rFonts w:ascii="Arial" w:hAnsi="Arial" w:cs="Arial"/>
        </w:rPr>
        <w:t>os</w:t>
      </w:r>
      <w:r w:rsidR="00993791" w:rsidRPr="00AD4334">
        <w:rPr>
          <w:rFonts w:ascii="Arial" w:hAnsi="Arial" w:cs="Arial"/>
        </w:rPr>
        <w:t xml:space="preserve"> </w:t>
      </w:r>
      <w:r w:rsidR="00AD4334">
        <w:rPr>
          <w:rFonts w:ascii="Arial" w:hAnsi="Arial" w:cs="Arial"/>
        </w:rPr>
        <w:t>formatos antes referidos</w:t>
      </w:r>
      <w:r w:rsidR="0089329B">
        <w:rPr>
          <w:rFonts w:ascii="Arial" w:hAnsi="Arial" w:cs="Arial"/>
        </w:rPr>
        <w:t>.</w:t>
      </w:r>
    </w:p>
    <w:sectPr w:rsidR="00D54568" w:rsidRPr="00CA468B" w:rsidSect="00CA468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E9EB9" w14:textId="77777777" w:rsidR="00D30DEF" w:rsidRDefault="00D30DEF" w:rsidP="007A042A">
      <w:pPr>
        <w:spacing w:after="0" w:line="240" w:lineRule="auto"/>
      </w:pPr>
      <w:r>
        <w:separator/>
      </w:r>
    </w:p>
  </w:endnote>
  <w:endnote w:type="continuationSeparator" w:id="0">
    <w:p w14:paraId="75715012" w14:textId="77777777" w:rsidR="00D30DEF" w:rsidRDefault="00D30DEF" w:rsidP="007A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4949159"/>
      <w:docPartObj>
        <w:docPartGallery w:val="Page Numbers (Bottom of Page)"/>
        <w:docPartUnique/>
      </w:docPartObj>
    </w:sdtPr>
    <w:sdtEndPr>
      <w:rPr>
        <w:rFonts w:ascii="Arial" w:hAnsi="Arial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/>
          </w:rPr>
        </w:sdtEndPr>
        <w:sdtContent>
          <w:p w14:paraId="4C7E21CA" w14:textId="7DD3C119" w:rsidR="00455B07" w:rsidRPr="00455B07" w:rsidRDefault="00455B07">
            <w:pPr>
              <w:pStyle w:val="Piedepgina"/>
              <w:jc w:val="center"/>
              <w:rPr>
                <w:rFonts w:ascii="Arial" w:hAnsi="Arial"/>
              </w:rPr>
            </w:pP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PAGE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 w:rsidR="00962FBC">
              <w:rPr>
                <w:rFonts w:ascii="Arial" w:hAnsi="Arial"/>
                <w:bCs/>
                <w:noProof/>
              </w:rPr>
              <w:t>1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="007C5008">
              <w:rPr>
                <w:rFonts w:ascii="Arial" w:hAnsi="Arial"/>
                <w:lang w:val="es-ES"/>
              </w:rPr>
              <w:t>/</w:t>
            </w:r>
            <w:r w:rsidRPr="00455B07">
              <w:rPr>
                <w:rFonts w:ascii="Arial" w:hAnsi="Arial"/>
                <w:lang w:val="es-ES"/>
              </w:rPr>
              <w:t xml:space="preserve"> </w:t>
            </w:r>
            <w:r w:rsidRPr="00455B07">
              <w:rPr>
                <w:rFonts w:ascii="Arial" w:hAnsi="Arial"/>
                <w:bCs/>
                <w:szCs w:val="24"/>
              </w:rPr>
              <w:fldChar w:fldCharType="begin"/>
            </w:r>
            <w:r w:rsidRPr="00455B07">
              <w:rPr>
                <w:rFonts w:ascii="Arial" w:hAnsi="Arial"/>
                <w:bCs/>
              </w:rPr>
              <w:instrText>NUMPAGES</w:instrText>
            </w:r>
            <w:r w:rsidRPr="00455B07">
              <w:rPr>
                <w:rFonts w:ascii="Arial" w:hAnsi="Arial"/>
                <w:bCs/>
                <w:szCs w:val="24"/>
              </w:rPr>
              <w:fldChar w:fldCharType="separate"/>
            </w:r>
            <w:r w:rsidR="00962FBC">
              <w:rPr>
                <w:rFonts w:ascii="Arial" w:hAnsi="Arial"/>
                <w:bCs/>
                <w:noProof/>
              </w:rPr>
              <w:t>2</w:t>
            </w:r>
            <w:r w:rsidRPr="00455B07">
              <w:rPr>
                <w:rFonts w:ascii="Arial" w:hAnsi="Arial"/>
                <w:bCs/>
                <w:szCs w:val="24"/>
              </w:rPr>
              <w:fldChar w:fldCharType="end"/>
            </w:r>
          </w:p>
        </w:sdtContent>
      </w:sdt>
    </w:sdtContent>
  </w:sdt>
  <w:p w14:paraId="1DE332ED" w14:textId="77777777" w:rsidR="00AD4334" w:rsidRPr="00455B07" w:rsidRDefault="00AD4334">
    <w:pPr>
      <w:pStyle w:val="Piedepgina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F17B6" w14:textId="77777777" w:rsidR="00D30DEF" w:rsidRDefault="00D30DEF" w:rsidP="007A042A">
      <w:pPr>
        <w:spacing w:after="0" w:line="240" w:lineRule="auto"/>
      </w:pPr>
      <w:r>
        <w:separator/>
      </w:r>
    </w:p>
  </w:footnote>
  <w:footnote w:type="continuationSeparator" w:id="0">
    <w:p w14:paraId="6EF2E0D3" w14:textId="77777777" w:rsidR="00D30DEF" w:rsidRDefault="00D30DEF" w:rsidP="007A0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A9934" w14:textId="0D46EC24" w:rsidR="007A042A" w:rsidRDefault="00CA468B" w:rsidP="003404D2">
    <w:pPr>
      <w:pStyle w:val="Encabezado"/>
      <w:tabs>
        <w:tab w:val="left" w:pos="6645"/>
      </w:tabs>
    </w:pPr>
    <w:r>
      <w:rPr>
        <w:noProof/>
        <w:lang w:val="es-419" w:eastAsia="es-419"/>
      </w:rPr>
      <w:drawing>
        <wp:inline distT="0" distB="0" distL="0" distR="0" wp14:anchorId="74DDD5C0" wp14:editId="37E5AB3B">
          <wp:extent cx="4707262" cy="792000"/>
          <wp:effectExtent l="0" t="0" r="0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7262" cy="79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243F32" w14:textId="77777777" w:rsidR="007A042A" w:rsidRDefault="007A04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28E3"/>
    <w:multiLevelType w:val="hybridMultilevel"/>
    <w:tmpl w:val="645A3D08"/>
    <w:lvl w:ilvl="0" w:tplc="A04053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116CC"/>
    <w:multiLevelType w:val="hybridMultilevel"/>
    <w:tmpl w:val="2804686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F1D47"/>
    <w:multiLevelType w:val="hybridMultilevel"/>
    <w:tmpl w:val="2424D74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76D6C"/>
    <w:multiLevelType w:val="hybridMultilevel"/>
    <w:tmpl w:val="E1B67ED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46883"/>
    <w:multiLevelType w:val="hybridMultilevel"/>
    <w:tmpl w:val="FBC2DD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6B8"/>
    <w:rsid w:val="00025726"/>
    <w:rsid w:val="00027D4C"/>
    <w:rsid w:val="000304FF"/>
    <w:rsid w:val="000352C3"/>
    <w:rsid w:val="00065DC5"/>
    <w:rsid w:val="00096A65"/>
    <w:rsid w:val="000B2BB7"/>
    <w:rsid w:val="000B6650"/>
    <w:rsid w:val="000C5D3E"/>
    <w:rsid w:val="000E07BA"/>
    <w:rsid w:val="000E16DB"/>
    <w:rsid w:val="000F068B"/>
    <w:rsid w:val="000F7FCF"/>
    <w:rsid w:val="00151113"/>
    <w:rsid w:val="001A55F6"/>
    <w:rsid w:val="001B0DEA"/>
    <w:rsid w:val="001D6009"/>
    <w:rsid w:val="001E5B3B"/>
    <w:rsid w:val="00232D8A"/>
    <w:rsid w:val="00233A95"/>
    <w:rsid w:val="00262912"/>
    <w:rsid w:val="00304195"/>
    <w:rsid w:val="00317E35"/>
    <w:rsid w:val="003404D2"/>
    <w:rsid w:val="003518D2"/>
    <w:rsid w:val="00382A7B"/>
    <w:rsid w:val="003A0AFB"/>
    <w:rsid w:val="003B42D4"/>
    <w:rsid w:val="003C4954"/>
    <w:rsid w:val="003C6798"/>
    <w:rsid w:val="00407A8E"/>
    <w:rsid w:val="00414433"/>
    <w:rsid w:val="004326B8"/>
    <w:rsid w:val="00440BF1"/>
    <w:rsid w:val="00455B07"/>
    <w:rsid w:val="0048369A"/>
    <w:rsid w:val="00504476"/>
    <w:rsid w:val="00511773"/>
    <w:rsid w:val="00596448"/>
    <w:rsid w:val="005C7844"/>
    <w:rsid w:val="005D109A"/>
    <w:rsid w:val="005D5B96"/>
    <w:rsid w:val="005D673F"/>
    <w:rsid w:val="005E33FE"/>
    <w:rsid w:val="005E38B3"/>
    <w:rsid w:val="005E3AA3"/>
    <w:rsid w:val="005F0DE0"/>
    <w:rsid w:val="00601ED7"/>
    <w:rsid w:val="00641F78"/>
    <w:rsid w:val="00694BB0"/>
    <w:rsid w:val="006A7CAB"/>
    <w:rsid w:val="006B7682"/>
    <w:rsid w:val="006C5D4C"/>
    <w:rsid w:val="006D6179"/>
    <w:rsid w:val="00710134"/>
    <w:rsid w:val="00736D56"/>
    <w:rsid w:val="0074116E"/>
    <w:rsid w:val="00787A73"/>
    <w:rsid w:val="007A042A"/>
    <w:rsid w:val="007A5D96"/>
    <w:rsid w:val="007C5008"/>
    <w:rsid w:val="007D3895"/>
    <w:rsid w:val="0080421D"/>
    <w:rsid w:val="00804BBD"/>
    <w:rsid w:val="00815E99"/>
    <w:rsid w:val="0082529D"/>
    <w:rsid w:val="008848A8"/>
    <w:rsid w:val="008925AD"/>
    <w:rsid w:val="0089329B"/>
    <w:rsid w:val="00894973"/>
    <w:rsid w:val="008A30B1"/>
    <w:rsid w:val="00913750"/>
    <w:rsid w:val="00915B11"/>
    <w:rsid w:val="00917469"/>
    <w:rsid w:val="00921A2F"/>
    <w:rsid w:val="00961BB9"/>
    <w:rsid w:val="00962FBC"/>
    <w:rsid w:val="00984434"/>
    <w:rsid w:val="00993791"/>
    <w:rsid w:val="00995EA4"/>
    <w:rsid w:val="009C6C16"/>
    <w:rsid w:val="009E5B9A"/>
    <w:rsid w:val="009F2A3E"/>
    <w:rsid w:val="00A04E2A"/>
    <w:rsid w:val="00A0695C"/>
    <w:rsid w:val="00A171D5"/>
    <w:rsid w:val="00A37B57"/>
    <w:rsid w:val="00A81FF8"/>
    <w:rsid w:val="00AA1BCB"/>
    <w:rsid w:val="00AB21B7"/>
    <w:rsid w:val="00AD0C3F"/>
    <w:rsid w:val="00AD4334"/>
    <w:rsid w:val="00AE5ECD"/>
    <w:rsid w:val="00B431BA"/>
    <w:rsid w:val="00B8738A"/>
    <w:rsid w:val="00BD0DB4"/>
    <w:rsid w:val="00C111AE"/>
    <w:rsid w:val="00C30615"/>
    <w:rsid w:val="00C34CF9"/>
    <w:rsid w:val="00C42E3E"/>
    <w:rsid w:val="00C5320C"/>
    <w:rsid w:val="00C54B74"/>
    <w:rsid w:val="00C630A4"/>
    <w:rsid w:val="00CA468B"/>
    <w:rsid w:val="00CC3F07"/>
    <w:rsid w:val="00CC67E1"/>
    <w:rsid w:val="00CD23EF"/>
    <w:rsid w:val="00D166C4"/>
    <w:rsid w:val="00D227E8"/>
    <w:rsid w:val="00D2709E"/>
    <w:rsid w:val="00D30DEF"/>
    <w:rsid w:val="00D32EA4"/>
    <w:rsid w:val="00D4213B"/>
    <w:rsid w:val="00D54568"/>
    <w:rsid w:val="00D82CAA"/>
    <w:rsid w:val="00DA14E1"/>
    <w:rsid w:val="00DA51EC"/>
    <w:rsid w:val="00DC4C7F"/>
    <w:rsid w:val="00DE3428"/>
    <w:rsid w:val="00E546F2"/>
    <w:rsid w:val="00E60250"/>
    <w:rsid w:val="00E665EC"/>
    <w:rsid w:val="00E93EF7"/>
    <w:rsid w:val="00EF6299"/>
    <w:rsid w:val="00F13DE0"/>
    <w:rsid w:val="00F33608"/>
    <w:rsid w:val="00F54310"/>
    <w:rsid w:val="00F66F00"/>
    <w:rsid w:val="00F67759"/>
    <w:rsid w:val="00FA19AD"/>
    <w:rsid w:val="00FE2CF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1B889C"/>
  <w15:chartTrackingRefBased/>
  <w15:docId w15:val="{58ED4BC6-D653-4671-8D12-6A7E8683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4C7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AD0C3F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042A"/>
  </w:style>
  <w:style w:type="paragraph" w:styleId="Piedepgina">
    <w:name w:val="footer"/>
    <w:basedOn w:val="Normal"/>
    <w:link w:val="PiedepginaCar"/>
    <w:uiPriority w:val="99"/>
    <w:unhideWhenUsed/>
    <w:rsid w:val="007A0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042A"/>
  </w:style>
  <w:style w:type="paragraph" w:styleId="Textodeglobo">
    <w:name w:val="Balloon Text"/>
    <w:basedOn w:val="Normal"/>
    <w:link w:val="TextodegloboCar"/>
    <w:uiPriority w:val="99"/>
    <w:semiHidden/>
    <w:unhideWhenUsed/>
    <w:rsid w:val="00D22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Capacitación</dc:creator>
  <cp:keywords/>
  <dc:description/>
  <cp:lastModifiedBy>Elina Estrada Aguilar</cp:lastModifiedBy>
  <cp:revision>3</cp:revision>
  <cp:lastPrinted>2022-04-19T20:34:00Z</cp:lastPrinted>
  <dcterms:created xsi:type="dcterms:W3CDTF">2022-04-19T20:32:00Z</dcterms:created>
  <dcterms:modified xsi:type="dcterms:W3CDTF">2022-04-19T20:34:00Z</dcterms:modified>
</cp:coreProperties>
</file>