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C9" w:rsidRPr="00880CF4" w:rsidRDefault="00531708" w:rsidP="003209F0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>ACUERDO DEL PLENO, A TRAVÉS DEL CUAL SE ESTABLECE EL CRITERIO ORIENTADOR RESPECTO DE</w:t>
      </w:r>
      <w:r>
        <w:rPr>
          <w:rFonts w:asciiTheme="majorHAnsi" w:eastAsia="Arial" w:hAnsiTheme="majorHAnsi" w:cs="Arial"/>
          <w:b/>
          <w:sz w:val="25"/>
          <w:szCs w:val="25"/>
        </w:rPr>
        <w:t xml:space="preserve"> LA ENTREGA- RECEPCIÓN DE LA DOCUMENTACIÓN QUE OBRA EN LAS UNIDADES DE </w:t>
      </w:r>
      <w:r w:rsidRPr="00880CF4">
        <w:rPr>
          <w:rFonts w:asciiTheme="majorHAnsi" w:eastAsia="Arial" w:hAnsiTheme="majorHAnsi" w:cs="Arial"/>
          <w:b/>
          <w:sz w:val="25"/>
          <w:szCs w:val="25"/>
        </w:rPr>
        <w:t>TRANSPARENCIA DE LOS S</w:t>
      </w:r>
      <w:r w:rsidR="00C512CF" w:rsidRPr="00880CF4">
        <w:rPr>
          <w:rFonts w:asciiTheme="majorHAnsi" w:eastAsia="Arial" w:hAnsiTheme="majorHAnsi" w:cs="Arial"/>
          <w:b/>
          <w:sz w:val="25"/>
          <w:szCs w:val="25"/>
        </w:rPr>
        <w:t>UJETOS OBLIGADOS.</w:t>
      </w:r>
    </w:p>
    <w:p w:rsidR="002A74C9" w:rsidRPr="00880CF4" w:rsidRDefault="002A74C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367B19" w:rsidRPr="00880CF4" w:rsidRDefault="00367B19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la ciudad de Mérida, Yucatán, siendo las </w:t>
      </w:r>
      <w:r w:rsidR="003D4923">
        <w:rPr>
          <w:rFonts w:asciiTheme="majorHAnsi" w:eastAsia="Arial" w:hAnsiTheme="majorHAnsi" w:cs="Arial"/>
          <w:sz w:val="25"/>
          <w:szCs w:val="25"/>
        </w:rPr>
        <w:t>1</w:t>
      </w:r>
      <w:r w:rsidR="00B746AD">
        <w:rPr>
          <w:rFonts w:asciiTheme="majorHAnsi" w:eastAsia="Arial" w:hAnsiTheme="majorHAnsi" w:cs="Arial"/>
          <w:sz w:val="25"/>
          <w:szCs w:val="25"/>
        </w:rPr>
        <w:t>5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horas con </w:t>
      </w:r>
      <w:r w:rsidR="00B746AD">
        <w:rPr>
          <w:rFonts w:asciiTheme="majorHAnsi" w:eastAsia="Arial" w:hAnsiTheme="majorHAnsi" w:cs="Arial"/>
          <w:sz w:val="25"/>
          <w:szCs w:val="25"/>
        </w:rPr>
        <w:t>10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minutos, del día </w:t>
      </w:r>
      <w:r w:rsidR="00B746AD">
        <w:rPr>
          <w:rFonts w:asciiTheme="majorHAnsi" w:eastAsia="Arial" w:hAnsiTheme="majorHAnsi" w:cs="Arial"/>
          <w:sz w:val="25"/>
          <w:szCs w:val="25"/>
        </w:rPr>
        <w:t>26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594263">
        <w:rPr>
          <w:rFonts w:asciiTheme="majorHAnsi" w:eastAsia="Arial" w:hAnsiTheme="majorHAnsi" w:cs="Arial"/>
          <w:sz w:val="25"/>
          <w:szCs w:val="25"/>
        </w:rPr>
        <w:t>junio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>del año 201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8</w:t>
      </w:r>
      <w:r w:rsidRPr="00880CF4">
        <w:rPr>
          <w:rFonts w:asciiTheme="majorHAnsi" w:eastAsia="Arial" w:hAnsiTheme="majorHAnsi" w:cs="Arial"/>
          <w:sz w:val="25"/>
          <w:szCs w:val="25"/>
        </w:rPr>
        <w:t>, encontrándose reunidos los integrantes del Pleno del Instituto Estatal de Transparencia, Acceso a la Información Pública y Protección de Datos Personales, l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>s Licenciad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s en Derecho, María Eugenia Sansores Ruz y 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 xml:space="preserve">Susana Aguilar Covarrubias, y el Maestro en Derecho </w:t>
      </w:r>
      <w:r w:rsidRPr="00880CF4">
        <w:rPr>
          <w:rFonts w:asciiTheme="majorHAnsi" w:eastAsia="Arial" w:hAnsiTheme="majorHAnsi" w:cs="Arial"/>
          <w:sz w:val="25"/>
          <w:szCs w:val="25"/>
        </w:rPr>
        <w:t>Aldrin Martín Briceño Conrado, Comisionada President</w:t>
      </w:r>
      <w:r w:rsidR="00C14375">
        <w:rPr>
          <w:rFonts w:asciiTheme="majorHAnsi" w:eastAsia="Arial" w:hAnsiTheme="majorHAnsi" w:cs="Arial"/>
          <w:sz w:val="25"/>
          <w:szCs w:val="25"/>
        </w:rPr>
        <w:t>e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 y Comisionados, respectivamente, emiten el presente acuerdo de conformidad con los siguientes:</w:t>
      </w:r>
    </w:p>
    <w:p w:rsidR="00367B19" w:rsidRPr="00880CF4" w:rsidRDefault="00367B1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ANTECEDENTES</w:t>
      </w: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9C07BC" w:rsidRDefault="002C40CA" w:rsidP="009C07BC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ÚNICO</w:t>
      </w:r>
      <w:r w:rsidR="00866BBD" w:rsidRPr="00880CF4">
        <w:rPr>
          <w:rFonts w:asciiTheme="majorHAnsi" w:hAnsiTheme="majorHAnsi"/>
          <w:b/>
          <w:sz w:val="25"/>
          <w:szCs w:val="25"/>
        </w:rPr>
        <w:t>.-</w:t>
      </w:r>
      <w:r w:rsidR="00866BBD" w:rsidRPr="00880CF4">
        <w:rPr>
          <w:rFonts w:asciiTheme="majorHAnsi" w:hAnsiTheme="majorHAnsi"/>
          <w:sz w:val="25"/>
          <w:szCs w:val="25"/>
        </w:rPr>
        <w:t xml:space="preserve"> </w:t>
      </w:r>
      <w:r w:rsidR="009C07BC" w:rsidRPr="00880CF4">
        <w:rPr>
          <w:rFonts w:asciiTheme="majorHAnsi" w:eastAsia="Arial" w:hAnsiTheme="majorHAnsi" w:cs="Arial"/>
          <w:sz w:val="25"/>
          <w:szCs w:val="25"/>
        </w:rPr>
        <w:t>El 7 de febrero de 2014, se publicó en el Diario Oficial de la Federación el Decreto por el que se reforman y adicionan diversas disposiciones de la Constitución Política de los Estados Unidos Mexicanos, en materia de Transparencia</w:t>
      </w:r>
      <w:r w:rsidR="00F91BE3">
        <w:rPr>
          <w:rFonts w:asciiTheme="majorHAnsi" w:eastAsia="Arial" w:hAnsiTheme="majorHAnsi" w:cs="Arial"/>
          <w:sz w:val="25"/>
          <w:szCs w:val="25"/>
        </w:rPr>
        <w:t>.</w:t>
      </w:r>
    </w:p>
    <w:p w:rsidR="00F91BE3" w:rsidRDefault="00F91BE3" w:rsidP="009C07BC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F91BE3" w:rsidRDefault="00F91BE3" w:rsidP="009C07BC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En dicho decreto, el constituyente estableció que para el ejercicio del derecho de acceso a la información, la federación y las entidades federativas, en el ámbito</w:t>
      </w:r>
      <w:r w:rsidR="001D4D6E">
        <w:rPr>
          <w:rFonts w:asciiTheme="majorHAnsi" w:eastAsia="Arial" w:hAnsiTheme="majorHAnsi" w:cs="Arial"/>
          <w:sz w:val="25"/>
          <w:szCs w:val="25"/>
        </w:rPr>
        <w:t xml:space="preserve"> de sus respectivas competencias, se regirán por los principios y bases establecidos en el artículo sexto constitucional; a través del cual se les impuso a los sujetos obligados </w:t>
      </w:r>
      <w:r w:rsidR="00466C4B">
        <w:rPr>
          <w:rFonts w:asciiTheme="majorHAnsi" w:eastAsia="Arial" w:hAnsiTheme="majorHAnsi" w:cs="Arial"/>
          <w:sz w:val="25"/>
          <w:szCs w:val="25"/>
        </w:rPr>
        <w:t>l</w:t>
      </w:r>
      <w:r w:rsidR="001D4D6E">
        <w:rPr>
          <w:rFonts w:asciiTheme="majorHAnsi" w:eastAsia="Arial" w:hAnsiTheme="majorHAnsi" w:cs="Arial"/>
          <w:sz w:val="25"/>
          <w:szCs w:val="25"/>
        </w:rPr>
        <w:t>a</w:t>
      </w:r>
      <w:r w:rsidR="00466C4B">
        <w:rPr>
          <w:rFonts w:asciiTheme="majorHAnsi" w:eastAsia="Arial" w:hAnsiTheme="majorHAnsi" w:cs="Arial"/>
          <w:sz w:val="25"/>
          <w:szCs w:val="25"/>
        </w:rPr>
        <w:t xml:space="preserve"> obligación de</w:t>
      </w:r>
      <w:r w:rsidR="001D4D6E">
        <w:rPr>
          <w:rFonts w:asciiTheme="majorHAnsi" w:eastAsia="Arial" w:hAnsiTheme="majorHAnsi" w:cs="Arial"/>
          <w:sz w:val="25"/>
          <w:szCs w:val="25"/>
        </w:rPr>
        <w:t xml:space="preserve"> preservar sus documentos en archivos administrativos actualizados.</w:t>
      </w:r>
    </w:p>
    <w:p w:rsidR="009C07BC" w:rsidRDefault="009C07BC" w:rsidP="009C07BC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</w:p>
    <w:p w:rsidR="00A16D01" w:rsidRPr="00880CF4" w:rsidRDefault="00A16D01" w:rsidP="009C07BC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CONSIDERANDOS</w:t>
      </w:r>
    </w:p>
    <w:p w:rsidR="00807346" w:rsidRPr="00880CF4" w:rsidRDefault="00807346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807346" w:rsidRPr="00880CF4" w:rsidRDefault="00A16D0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Yucatán, la Ley general,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>ey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 xml:space="preserve"> estatal de la materia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y demás disposiciones normativas aplicables.</w:t>
      </w:r>
    </w:p>
    <w:p w:rsidR="008D79B5" w:rsidRPr="00880CF4" w:rsidRDefault="008D79B5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924F98" w:rsidRDefault="009B7C56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>SEGUNDO</w:t>
      </w:r>
      <w:r w:rsidR="00085008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851985">
        <w:rPr>
          <w:rFonts w:asciiTheme="majorHAnsi" w:eastAsia="Arial" w:hAnsiTheme="majorHAnsi" w:cs="Arial"/>
          <w:sz w:val="25"/>
          <w:szCs w:val="25"/>
        </w:rPr>
        <w:t xml:space="preserve">En la reforma constitucional del 2014 en materia de transparencia y acceso a la información pública, se les impuso a los sujetos obligados 2 importantes deberes en </w:t>
      </w:r>
      <w:r w:rsidR="00851985">
        <w:rPr>
          <w:rFonts w:asciiTheme="majorHAnsi" w:eastAsia="Arial" w:hAnsiTheme="majorHAnsi" w:cs="Arial"/>
          <w:sz w:val="25"/>
          <w:szCs w:val="25"/>
        </w:rPr>
        <w:lastRenderedPageBreak/>
        <w:t xml:space="preserve">materia </w:t>
      </w:r>
      <w:r w:rsidR="00924F98">
        <w:rPr>
          <w:rFonts w:asciiTheme="majorHAnsi" w:eastAsia="Arial" w:hAnsiTheme="majorHAnsi" w:cs="Arial"/>
          <w:sz w:val="25"/>
          <w:szCs w:val="25"/>
        </w:rPr>
        <w:t>archivística; la primera se refiere a la obligación de documentar todo acto que se derive del ejercicio de sus facultades, competencias o funciones; mientras que la segunda se refiere a la obligación de preservar, es decir mantener los documentos en archivos administrativos actualizados, con las características de completitud, exactitud y transparencia. Dichos deberes se conciben como elementos para garantizar el derecho de acceso a la información pública, ya que se parte de la premisa que sin archivos, no hay acceso a la información.</w:t>
      </w:r>
    </w:p>
    <w:p w:rsidR="00924F98" w:rsidRDefault="00924F98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731E4" w:rsidRDefault="00924F98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 xml:space="preserve">Con base a las consideraciones realizadas, </w:t>
      </w:r>
      <w:r w:rsidR="00C731E4">
        <w:rPr>
          <w:rFonts w:asciiTheme="majorHAnsi" w:eastAsia="Arial" w:hAnsiTheme="majorHAnsi" w:cs="Arial"/>
          <w:sz w:val="25"/>
          <w:szCs w:val="25"/>
        </w:rPr>
        <w:t xml:space="preserve">resulta pertinente que este órgano garante del acceso a la información pública y de protección a datos personales, adopte medidas tendientes </w:t>
      </w:r>
      <w:r w:rsidR="00D14DEB">
        <w:rPr>
          <w:rFonts w:asciiTheme="majorHAnsi" w:eastAsia="Arial" w:hAnsiTheme="majorHAnsi" w:cs="Arial"/>
          <w:sz w:val="25"/>
          <w:szCs w:val="25"/>
        </w:rPr>
        <w:t>para</w:t>
      </w:r>
      <w:r w:rsidR="00C731E4">
        <w:rPr>
          <w:rFonts w:asciiTheme="majorHAnsi" w:eastAsia="Arial" w:hAnsiTheme="majorHAnsi" w:cs="Arial"/>
          <w:sz w:val="25"/>
          <w:szCs w:val="25"/>
        </w:rPr>
        <w:t xml:space="preserve"> que las unidades de transparencia realicen adecuados procesos de entrega- recepción, con el fin de garantizar el derecho humano de acceso a la información</w:t>
      </w:r>
      <w:r w:rsidR="00470FB8">
        <w:rPr>
          <w:rFonts w:asciiTheme="majorHAnsi" w:eastAsia="Arial" w:hAnsiTheme="majorHAnsi" w:cs="Arial"/>
          <w:sz w:val="25"/>
          <w:szCs w:val="25"/>
        </w:rPr>
        <w:t xml:space="preserve"> que obre en las referidas oficinas</w:t>
      </w:r>
      <w:r w:rsidR="00C731E4">
        <w:rPr>
          <w:rFonts w:asciiTheme="majorHAnsi" w:eastAsia="Arial" w:hAnsiTheme="majorHAnsi" w:cs="Arial"/>
          <w:sz w:val="25"/>
          <w:szCs w:val="25"/>
        </w:rPr>
        <w:t>. En tal razón se deben establecer documentos mínimos que deben formar parte del proceso de entrega- recepción de las unidades de transparencia, abonando de esta manera en el cumplimiento de su obligación de preservar la documentación en archivos administrativos actualizados.</w:t>
      </w:r>
      <w:r w:rsidR="00A1517B">
        <w:rPr>
          <w:rFonts w:asciiTheme="majorHAnsi" w:eastAsia="Arial" w:hAnsiTheme="majorHAnsi" w:cs="Arial"/>
          <w:sz w:val="25"/>
          <w:szCs w:val="25"/>
        </w:rPr>
        <w:t xml:space="preserve"> Entendiéndose la entrega- recepción, como el proceso administrativo de cumplimiento obligatorio y formal, mediante la cual los servidores públicos obligados entregan los recursos humanos, materiales y financieros inherentes a sus cargos a quienes los sustituyan con motivo del término e inicio de un ejercicio constitucional o por causas distintas a este.</w:t>
      </w:r>
    </w:p>
    <w:p w:rsidR="00C731E4" w:rsidRDefault="00C731E4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731E4" w:rsidRDefault="00A1517B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Documentos de deben formar parte del proceso de entrega- recepción de las Unidades de Transparencia:</w:t>
      </w:r>
    </w:p>
    <w:p w:rsidR="00924F98" w:rsidRDefault="00924F98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470FB8" w:rsidRDefault="00470FB8" w:rsidP="00470FB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Asuntos en trámite:</w:t>
      </w:r>
    </w:p>
    <w:p w:rsidR="00470FB8" w:rsidRDefault="0015279F" w:rsidP="00470FB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Listados</w:t>
      </w:r>
      <w:r w:rsidR="00470FB8">
        <w:rPr>
          <w:rFonts w:asciiTheme="majorHAnsi" w:eastAsia="Arial" w:hAnsiTheme="majorHAnsi" w:cs="Arial"/>
          <w:sz w:val="25"/>
          <w:szCs w:val="25"/>
        </w:rPr>
        <w:t xml:space="preserve"> de solicitudes de información</w:t>
      </w:r>
      <w:r w:rsidR="004E3FC1">
        <w:rPr>
          <w:rFonts w:asciiTheme="majorHAnsi" w:eastAsia="Arial" w:hAnsiTheme="majorHAnsi" w:cs="Arial"/>
          <w:sz w:val="25"/>
          <w:szCs w:val="25"/>
        </w:rPr>
        <w:t xml:space="preserve"> en proceso</w:t>
      </w:r>
      <w:r w:rsidR="00470FB8">
        <w:rPr>
          <w:rFonts w:asciiTheme="majorHAnsi" w:eastAsia="Arial" w:hAnsiTheme="majorHAnsi" w:cs="Arial"/>
          <w:sz w:val="25"/>
          <w:szCs w:val="25"/>
        </w:rPr>
        <w:t>.</w:t>
      </w:r>
    </w:p>
    <w:p w:rsidR="00076EDC" w:rsidRDefault="0015279F" w:rsidP="00470FB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de solicitudes para el ejercicio de los derecho</w:t>
      </w:r>
      <w:r w:rsidR="004E3FC1">
        <w:rPr>
          <w:rFonts w:asciiTheme="majorHAnsi" w:eastAsia="Arial" w:hAnsiTheme="majorHAnsi" w:cs="Arial"/>
          <w:sz w:val="25"/>
          <w:szCs w:val="25"/>
        </w:rPr>
        <w:t>s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ARCO</w:t>
      </w:r>
      <w:r w:rsidR="004E3FC1">
        <w:rPr>
          <w:rFonts w:asciiTheme="majorHAnsi" w:eastAsia="Arial" w:hAnsiTheme="majorHAnsi" w:cs="Arial"/>
          <w:sz w:val="25"/>
          <w:szCs w:val="25"/>
        </w:rPr>
        <w:t xml:space="preserve"> en proceso</w:t>
      </w:r>
      <w:r w:rsidR="00076EDC">
        <w:rPr>
          <w:rFonts w:asciiTheme="majorHAnsi" w:eastAsia="Arial" w:hAnsiTheme="majorHAnsi" w:cs="Arial"/>
          <w:sz w:val="25"/>
          <w:szCs w:val="25"/>
        </w:rPr>
        <w:t>.</w:t>
      </w:r>
    </w:p>
    <w:p w:rsidR="00470FB8" w:rsidRDefault="0015279F" w:rsidP="00470FB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</w:t>
      </w:r>
      <w:r w:rsidR="00470FB8">
        <w:rPr>
          <w:rFonts w:asciiTheme="majorHAnsi" w:eastAsia="Arial" w:hAnsiTheme="majorHAnsi" w:cs="Arial"/>
          <w:sz w:val="25"/>
          <w:szCs w:val="25"/>
        </w:rPr>
        <w:t xml:space="preserve"> de recursos de revisión en proceso.</w:t>
      </w:r>
    </w:p>
    <w:p w:rsidR="00076EDC" w:rsidRDefault="0015279F" w:rsidP="00470FB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de los procedimientos de denuncias en proceso.</w:t>
      </w:r>
    </w:p>
    <w:p w:rsidR="00470FB8" w:rsidRDefault="0015279F" w:rsidP="00470FB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de las obligaciones de transparencia </w:t>
      </w:r>
      <w:r w:rsidR="00637B5F">
        <w:rPr>
          <w:rFonts w:asciiTheme="majorHAnsi" w:eastAsia="Arial" w:hAnsiTheme="majorHAnsi" w:cs="Arial"/>
          <w:sz w:val="25"/>
          <w:szCs w:val="25"/>
        </w:rPr>
        <w:t xml:space="preserve">comunes y específicas </w:t>
      </w:r>
      <w:r>
        <w:rPr>
          <w:rFonts w:asciiTheme="majorHAnsi" w:eastAsia="Arial" w:hAnsiTheme="majorHAnsi" w:cs="Arial"/>
          <w:sz w:val="25"/>
          <w:szCs w:val="25"/>
        </w:rPr>
        <w:t>pendientes</w:t>
      </w:r>
      <w:r w:rsidR="00C404F1">
        <w:rPr>
          <w:rFonts w:asciiTheme="majorHAnsi" w:eastAsia="Arial" w:hAnsiTheme="majorHAnsi" w:cs="Arial"/>
          <w:sz w:val="25"/>
          <w:szCs w:val="25"/>
        </w:rPr>
        <w:t xml:space="preserve"> de publicar, o en su caso</w:t>
      </w:r>
      <w:r>
        <w:rPr>
          <w:rFonts w:asciiTheme="majorHAnsi" w:eastAsia="Arial" w:hAnsiTheme="majorHAnsi" w:cs="Arial"/>
          <w:sz w:val="25"/>
          <w:szCs w:val="25"/>
        </w:rPr>
        <w:t xml:space="preserve"> de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actualizar.</w:t>
      </w:r>
    </w:p>
    <w:p w:rsidR="004E3FC1" w:rsidRPr="00470FB8" w:rsidRDefault="004E3FC1" w:rsidP="00470FB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 de otros asuntos pendientes.</w:t>
      </w:r>
    </w:p>
    <w:p w:rsidR="00470FB8" w:rsidRDefault="00470FB8" w:rsidP="00470FB8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470FB8" w:rsidRDefault="00470FB8" w:rsidP="00470FB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Archivos:</w:t>
      </w:r>
    </w:p>
    <w:p w:rsidR="00076EDC" w:rsidRDefault="004E3FC1" w:rsidP="00076ED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Listados y e</w:t>
      </w:r>
      <w:r w:rsidR="00076EDC">
        <w:rPr>
          <w:rFonts w:asciiTheme="majorHAnsi" w:eastAsia="Arial" w:hAnsiTheme="majorHAnsi" w:cs="Arial"/>
          <w:sz w:val="25"/>
          <w:szCs w:val="25"/>
        </w:rPr>
        <w:t>xpedientes de solicitudes de información concluidas</w:t>
      </w:r>
      <w:r w:rsidR="0015279F">
        <w:rPr>
          <w:rFonts w:asciiTheme="majorHAnsi" w:eastAsia="Arial" w:hAnsiTheme="majorHAnsi" w:cs="Arial"/>
          <w:sz w:val="25"/>
          <w:szCs w:val="25"/>
        </w:rPr>
        <w:t xml:space="preserve"> y en proceso</w:t>
      </w:r>
      <w:r w:rsidR="00076EDC">
        <w:rPr>
          <w:rFonts w:asciiTheme="majorHAnsi" w:eastAsia="Arial" w:hAnsiTheme="majorHAnsi" w:cs="Arial"/>
          <w:sz w:val="25"/>
          <w:szCs w:val="25"/>
        </w:rPr>
        <w:t>.</w:t>
      </w:r>
    </w:p>
    <w:p w:rsidR="00076EDC" w:rsidRDefault="004E3FC1" w:rsidP="00076ED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Listados y e</w:t>
      </w:r>
      <w:r w:rsidR="00076EDC">
        <w:rPr>
          <w:rFonts w:asciiTheme="majorHAnsi" w:eastAsia="Arial" w:hAnsiTheme="majorHAnsi" w:cs="Arial"/>
          <w:sz w:val="25"/>
          <w:szCs w:val="25"/>
        </w:rPr>
        <w:t>xpedientes de solicitudes para el ejercicio de los derecho ARCO concluidas</w:t>
      </w:r>
      <w:r w:rsidR="0015279F" w:rsidRPr="0015279F">
        <w:rPr>
          <w:rFonts w:asciiTheme="majorHAnsi" w:eastAsia="Arial" w:hAnsiTheme="majorHAnsi" w:cs="Arial"/>
          <w:sz w:val="25"/>
          <w:szCs w:val="25"/>
        </w:rPr>
        <w:t xml:space="preserve"> </w:t>
      </w:r>
      <w:r w:rsidR="0015279F">
        <w:rPr>
          <w:rFonts w:asciiTheme="majorHAnsi" w:eastAsia="Arial" w:hAnsiTheme="majorHAnsi" w:cs="Arial"/>
          <w:sz w:val="25"/>
          <w:szCs w:val="25"/>
        </w:rPr>
        <w:t>y en proceso</w:t>
      </w:r>
      <w:r w:rsidR="00076EDC">
        <w:rPr>
          <w:rFonts w:asciiTheme="majorHAnsi" w:eastAsia="Arial" w:hAnsiTheme="majorHAnsi" w:cs="Arial"/>
          <w:sz w:val="25"/>
          <w:szCs w:val="25"/>
        </w:rPr>
        <w:t>.</w:t>
      </w:r>
    </w:p>
    <w:p w:rsidR="00076EDC" w:rsidRDefault="004E3FC1" w:rsidP="00076ED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Listados y e</w:t>
      </w:r>
      <w:r w:rsidR="00076EDC">
        <w:rPr>
          <w:rFonts w:asciiTheme="majorHAnsi" w:eastAsia="Arial" w:hAnsiTheme="majorHAnsi" w:cs="Arial"/>
          <w:sz w:val="25"/>
          <w:szCs w:val="25"/>
        </w:rPr>
        <w:t>xpedientes de recursos de revisión concluidos</w:t>
      </w:r>
      <w:r w:rsidR="0015279F" w:rsidRPr="0015279F">
        <w:rPr>
          <w:rFonts w:asciiTheme="majorHAnsi" w:eastAsia="Arial" w:hAnsiTheme="majorHAnsi" w:cs="Arial"/>
          <w:sz w:val="25"/>
          <w:szCs w:val="25"/>
        </w:rPr>
        <w:t xml:space="preserve"> </w:t>
      </w:r>
      <w:r w:rsidR="0015279F">
        <w:rPr>
          <w:rFonts w:asciiTheme="majorHAnsi" w:eastAsia="Arial" w:hAnsiTheme="majorHAnsi" w:cs="Arial"/>
          <w:sz w:val="25"/>
          <w:szCs w:val="25"/>
        </w:rPr>
        <w:t>y en proceso</w:t>
      </w:r>
      <w:r w:rsidR="00076EDC">
        <w:rPr>
          <w:rFonts w:asciiTheme="majorHAnsi" w:eastAsia="Arial" w:hAnsiTheme="majorHAnsi" w:cs="Arial"/>
          <w:sz w:val="25"/>
          <w:szCs w:val="25"/>
        </w:rPr>
        <w:t>.</w:t>
      </w:r>
    </w:p>
    <w:p w:rsidR="00076EDC" w:rsidRDefault="004E3FC1" w:rsidP="00076ED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lastRenderedPageBreak/>
        <w:t>Listados y e</w:t>
      </w:r>
      <w:r w:rsidR="00076EDC">
        <w:rPr>
          <w:rFonts w:asciiTheme="majorHAnsi" w:eastAsia="Arial" w:hAnsiTheme="majorHAnsi" w:cs="Arial"/>
          <w:sz w:val="25"/>
          <w:szCs w:val="25"/>
        </w:rPr>
        <w:t>xpedientes de los procedimientos de denuncias concluidos</w:t>
      </w:r>
      <w:r w:rsidR="0015279F" w:rsidRPr="0015279F">
        <w:rPr>
          <w:rFonts w:asciiTheme="majorHAnsi" w:eastAsia="Arial" w:hAnsiTheme="majorHAnsi" w:cs="Arial"/>
          <w:sz w:val="25"/>
          <w:szCs w:val="25"/>
        </w:rPr>
        <w:t xml:space="preserve"> </w:t>
      </w:r>
      <w:r w:rsidR="0015279F">
        <w:rPr>
          <w:rFonts w:asciiTheme="majorHAnsi" w:eastAsia="Arial" w:hAnsiTheme="majorHAnsi" w:cs="Arial"/>
          <w:sz w:val="25"/>
          <w:szCs w:val="25"/>
        </w:rPr>
        <w:t>y en proceso</w:t>
      </w:r>
      <w:r w:rsidR="00076EDC">
        <w:rPr>
          <w:rFonts w:asciiTheme="majorHAnsi" w:eastAsia="Arial" w:hAnsiTheme="majorHAnsi" w:cs="Arial"/>
          <w:sz w:val="25"/>
          <w:szCs w:val="25"/>
        </w:rPr>
        <w:t>.</w:t>
      </w:r>
    </w:p>
    <w:p w:rsidR="00470FB8" w:rsidRPr="0015279F" w:rsidRDefault="004E3FC1" w:rsidP="00C631E8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Listados y e</w:t>
      </w:r>
      <w:r w:rsidR="00076EDC" w:rsidRPr="0015279F">
        <w:rPr>
          <w:rFonts w:asciiTheme="majorHAnsi" w:eastAsia="Arial" w:hAnsiTheme="majorHAnsi" w:cs="Arial"/>
          <w:sz w:val="25"/>
          <w:szCs w:val="25"/>
        </w:rPr>
        <w:t>xpedientes derivados de las verificaciones realizadas en cumplimiento a los programas de vigilancia, concluidos</w:t>
      </w:r>
      <w:r w:rsidR="0015279F" w:rsidRPr="0015279F">
        <w:rPr>
          <w:rFonts w:asciiTheme="majorHAnsi" w:eastAsia="Arial" w:hAnsiTheme="majorHAnsi" w:cs="Arial"/>
          <w:sz w:val="25"/>
          <w:szCs w:val="25"/>
        </w:rPr>
        <w:t xml:space="preserve"> y en proceso</w:t>
      </w:r>
      <w:r w:rsidR="00076EDC" w:rsidRPr="0015279F">
        <w:rPr>
          <w:rFonts w:asciiTheme="majorHAnsi" w:eastAsia="Arial" w:hAnsiTheme="majorHAnsi" w:cs="Arial"/>
          <w:sz w:val="25"/>
          <w:szCs w:val="25"/>
        </w:rPr>
        <w:t>.</w:t>
      </w:r>
    </w:p>
    <w:p w:rsidR="00076EDC" w:rsidRDefault="004E3FC1" w:rsidP="00BA5E77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Listado y expedientes derivados de las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sesi</w:t>
      </w:r>
      <w:r>
        <w:rPr>
          <w:rFonts w:asciiTheme="majorHAnsi" w:eastAsia="Arial" w:hAnsiTheme="majorHAnsi" w:cs="Arial"/>
          <w:sz w:val="25"/>
          <w:szCs w:val="25"/>
        </w:rPr>
        <w:t>o</w:t>
      </w:r>
      <w:r w:rsidR="00076EDC">
        <w:rPr>
          <w:rFonts w:asciiTheme="majorHAnsi" w:eastAsia="Arial" w:hAnsiTheme="majorHAnsi" w:cs="Arial"/>
          <w:sz w:val="25"/>
          <w:szCs w:val="25"/>
        </w:rPr>
        <w:t>n</w:t>
      </w:r>
      <w:r>
        <w:rPr>
          <w:rFonts w:asciiTheme="majorHAnsi" w:eastAsia="Arial" w:hAnsiTheme="majorHAnsi" w:cs="Arial"/>
          <w:sz w:val="25"/>
          <w:szCs w:val="25"/>
        </w:rPr>
        <w:t>es</w:t>
      </w:r>
      <w:r w:rsidR="00076EDC">
        <w:rPr>
          <w:rFonts w:asciiTheme="majorHAnsi" w:eastAsia="Arial" w:hAnsiTheme="majorHAnsi" w:cs="Arial"/>
          <w:sz w:val="25"/>
          <w:szCs w:val="25"/>
        </w:rPr>
        <w:t xml:space="preserve"> del Comité de Transparencia.</w:t>
      </w:r>
    </w:p>
    <w:p w:rsidR="00637B5F" w:rsidRPr="000B4E1D" w:rsidRDefault="00BD2F28" w:rsidP="00BA5E77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0B4E1D">
        <w:rPr>
          <w:rFonts w:asciiTheme="majorHAnsi" w:eastAsia="Arial" w:hAnsiTheme="majorHAnsi" w:cs="Arial"/>
          <w:sz w:val="25"/>
          <w:szCs w:val="25"/>
        </w:rPr>
        <w:t>Expediente de cumplimiento de o</w:t>
      </w:r>
      <w:r w:rsidR="00637B5F" w:rsidRPr="000B4E1D">
        <w:rPr>
          <w:rFonts w:asciiTheme="majorHAnsi" w:eastAsia="Arial" w:hAnsiTheme="majorHAnsi" w:cs="Arial"/>
          <w:sz w:val="25"/>
          <w:szCs w:val="25"/>
        </w:rPr>
        <w:t xml:space="preserve">bligaciones </w:t>
      </w:r>
      <w:r w:rsidRPr="000B4E1D">
        <w:rPr>
          <w:rFonts w:asciiTheme="majorHAnsi" w:eastAsia="Arial" w:hAnsiTheme="majorHAnsi" w:cs="Arial"/>
          <w:sz w:val="25"/>
          <w:szCs w:val="25"/>
        </w:rPr>
        <w:t xml:space="preserve">diversas en materia </w:t>
      </w:r>
      <w:r w:rsidR="00637B5F" w:rsidRPr="000B4E1D">
        <w:rPr>
          <w:rFonts w:asciiTheme="majorHAnsi" w:eastAsia="Arial" w:hAnsiTheme="majorHAnsi" w:cs="Arial"/>
          <w:sz w:val="25"/>
          <w:szCs w:val="25"/>
        </w:rPr>
        <w:t>de transparencia</w:t>
      </w:r>
      <w:r w:rsidRPr="000B4E1D">
        <w:rPr>
          <w:rFonts w:asciiTheme="majorHAnsi" w:eastAsia="Arial" w:hAnsiTheme="majorHAnsi" w:cs="Arial"/>
          <w:sz w:val="25"/>
          <w:szCs w:val="25"/>
        </w:rPr>
        <w:t>, que se integrará con los documentos remitidos al INAIP, en los que conste lo siguiente</w:t>
      </w:r>
      <w:r w:rsidR="00637B5F" w:rsidRPr="000B4E1D">
        <w:rPr>
          <w:rFonts w:asciiTheme="majorHAnsi" w:eastAsia="Arial" w:hAnsiTheme="majorHAnsi" w:cs="Arial"/>
          <w:sz w:val="25"/>
          <w:szCs w:val="25"/>
        </w:rPr>
        <w:t>:</w:t>
      </w:r>
    </w:p>
    <w:p w:rsidR="00637B5F" w:rsidRDefault="00637B5F" w:rsidP="00637B5F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Nombramiento del responsable de la Unidad de Transparencia.</w:t>
      </w:r>
    </w:p>
    <w:p w:rsidR="00637B5F" w:rsidRDefault="00637B5F" w:rsidP="00637B5F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Integración del Comité de Transparencia.</w:t>
      </w:r>
    </w:p>
    <w:p w:rsidR="00637B5F" w:rsidRDefault="00637B5F" w:rsidP="00637B5F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Normatividad que regule el funcionamiento de la Unidad de Transparencia y del Comité de Transparencia.</w:t>
      </w:r>
    </w:p>
    <w:p w:rsidR="00637B5F" w:rsidRDefault="00637B5F" w:rsidP="00637B5F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 xml:space="preserve">Tabla de aplicabilidad del sujeto obligado, validada por el INAIP, en la que se señalen </w:t>
      </w:r>
      <w:r w:rsidR="004A2155">
        <w:rPr>
          <w:rFonts w:asciiTheme="majorHAnsi" w:eastAsia="Arial" w:hAnsiTheme="majorHAnsi" w:cs="Arial"/>
          <w:sz w:val="25"/>
          <w:szCs w:val="25"/>
        </w:rPr>
        <w:t>a las unidades administrativas responsables de generar o en su caso poseer la información.</w:t>
      </w:r>
    </w:p>
    <w:p w:rsidR="004A2155" w:rsidRDefault="004A2155" w:rsidP="00637B5F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Los listados de las personas físicas, morales y sindicatos a quienes se les haya asignado recursos públicos, o en términos de la normatividad aplicable, se les haya instruido ejecutar actos de autoridad</w:t>
      </w:r>
      <w:r w:rsidR="00BD2F28">
        <w:rPr>
          <w:rFonts w:asciiTheme="majorHAnsi" w:eastAsia="Arial" w:hAnsiTheme="majorHAnsi" w:cs="Arial"/>
          <w:sz w:val="25"/>
          <w:szCs w:val="25"/>
        </w:rPr>
        <w:t>, remitidos al INAIP.</w:t>
      </w:r>
    </w:p>
    <w:p w:rsidR="004A2155" w:rsidRDefault="004A2155" w:rsidP="00637B5F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Datos inherentes a las Unidades de Transparencia:</w:t>
      </w:r>
    </w:p>
    <w:p w:rsidR="004A2155" w:rsidRDefault="004A2155" w:rsidP="004A2155">
      <w:pPr>
        <w:pStyle w:val="Prrafodelista"/>
        <w:numPr>
          <w:ilvl w:val="3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Domicilio de la Unidad de Transparencia.</w:t>
      </w:r>
    </w:p>
    <w:p w:rsidR="004A2155" w:rsidRDefault="004A2155" w:rsidP="004A2155">
      <w:pPr>
        <w:pStyle w:val="Prrafodelista"/>
        <w:numPr>
          <w:ilvl w:val="3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Días y horarios de funcionamiento de la Unidad de Transparencia.</w:t>
      </w:r>
    </w:p>
    <w:p w:rsidR="004A2155" w:rsidRDefault="004A2155" w:rsidP="004A2155">
      <w:pPr>
        <w:pStyle w:val="Prrafodelista"/>
        <w:numPr>
          <w:ilvl w:val="3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Días inhábiles de la Unidad de Transparencia.</w:t>
      </w:r>
    </w:p>
    <w:p w:rsidR="004A2155" w:rsidRDefault="004A2155" w:rsidP="004A2155">
      <w:pPr>
        <w:pStyle w:val="Prrafodelista"/>
        <w:numPr>
          <w:ilvl w:val="3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Número telefónico de la Unidad de Transparencia.</w:t>
      </w:r>
    </w:p>
    <w:p w:rsidR="004A2155" w:rsidRDefault="004A2155" w:rsidP="004A2155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 xml:space="preserve">Correo electrónico señalado para recibir solicitudes de información y solicitudes </w:t>
      </w:r>
      <w:r w:rsidR="00CB5F40">
        <w:rPr>
          <w:rFonts w:asciiTheme="majorHAnsi" w:eastAsia="Arial" w:hAnsiTheme="majorHAnsi" w:cs="Arial"/>
          <w:sz w:val="25"/>
          <w:szCs w:val="25"/>
        </w:rPr>
        <w:t>para el ejercicio del derecho ARCO.</w:t>
      </w:r>
    </w:p>
    <w:p w:rsidR="0015279F" w:rsidRPr="0015279F" w:rsidRDefault="004E3FC1" w:rsidP="0015279F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Expediente de los i</w:t>
      </w:r>
      <w:r w:rsidR="0015279F">
        <w:rPr>
          <w:rFonts w:asciiTheme="majorHAnsi" w:eastAsia="Arial" w:hAnsiTheme="majorHAnsi" w:cs="Arial"/>
          <w:sz w:val="25"/>
          <w:szCs w:val="25"/>
        </w:rPr>
        <w:t>nformes que hayan rendido al INAIP</w:t>
      </w:r>
      <w:r w:rsidR="00BD2F28">
        <w:rPr>
          <w:rFonts w:asciiTheme="majorHAnsi" w:eastAsia="Arial" w:hAnsiTheme="majorHAnsi" w:cs="Arial"/>
          <w:sz w:val="25"/>
          <w:szCs w:val="25"/>
        </w:rPr>
        <w:t>, tales como información estadística en materia de solicitudes de información y de ejercicio de los derechos ARCO</w:t>
      </w:r>
      <w:r w:rsidR="0015279F">
        <w:rPr>
          <w:rFonts w:asciiTheme="majorHAnsi" w:eastAsia="Arial" w:hAnsiTheme="majorHAnsi" w:cs="Arial"/>
          <w:sz w:val="25"/>
          <w:szCs w:val="25"/>
        </w:rPr>
        <w:t>.</w:t>
      </w:r>
    </w:p>
    <w:p w:rsidR="00CB5F40" w:rsidRDefault="00CB5F40" w:rsidP="00CB5F40">
      <w:pPr>
        <w:spacing w:after="0" w:line="240" w:lineRule="auto"/>
        <w:ind w:left="360"/>
        <w:jc w:val="both"/>
        <w:rPr>
          <w:rFonts w:asciiTheme="majorHAnsi" w:eastAsia="Arial" w:hAnsiTheme="majorHAnsi" w:cs="Arial"/>
          <w:sz w:val="25"/>
          <w:szCs w:val="25"/>
        </w:rPr>
      </w:pPr>
    </w:p>
    <w:p w:rsidR="00CB5F40" w:rsidRDefault="00CB5F40" w:rsidP="00CB5F40">
      <w:pPr>
        <w:spacing w:after="0" w:line="240" w:lineRule="auto"/>
        <w:ind w:left="360"/>
        <w:jc w:val="both"/>
        <w:rPr>
          <w:rFonts w:asciiTheme="majorHAnsi" w:eastAsia="Arial" w:hAnsiTheme="majorHAnsi" w:cs="Arial"/>
          <w:sz w:val="25"/>
          <w:szCs w:val="25"/>
        </w:rPr>
      </w:pPr>
    </w:p>
    <w:p w:rsidR="00470FB8" w:rsidRDefault="00470FB8" w:rsidP="00470FB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470FB8">
        <w:rPr>
          <w:rFonts w:asciiTheme="majorHAnsi" w:eastAsia="Arial" w:hAnsiTheme="majorHAnsi" w:cs="Arial"/>
          <w:sz w:val="25"/>
          <w:szCs w:val="25"/>
        </w:rPr>
        <w:t>Equipo de Cómputo de la Unidad de Transparencia:</w:t>
      </w:r>
    </w:p>
    <w:p w:rsidR="00CB5F40" w:rsidRDefault="00CB5F40" w:rsidP="00CB5F40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Usuarios y claves de acceso a plataformas tecnológicas que utilice la Unidad de Transparencia.</w:t>
      </w:r>
    </w:p>
    <w:p w:rsidR="00CB5F40" w:rsidRDefault="00CB5F40" w:rsidP="00CB5F40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Cuentas y contraseñas de correos electrónicos que utilice la Unidad de Transparencia.</w:t>
      </w:r>
    </w:p>
    <w:p w:rsidR="00CB5F40" w:rsidRDefault="00CB5F40" w:rsidP="00CB5F40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Relación de los equipos informáticos que formen parte de la Unidad de Transparencia.</w:t>
      </w:r>
    </w:p>
    <w:p w:rsidR="00C404F1" w:rsidRPr="00CB5F40" w:rsidRDefault="00C404F1" w:rsidP="00CB5F40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Documentos electrónicos en formatos reutilizables derivados de los asuntos a su cargo.</w:t>
      </w:r>
    </w:p>
    <w:p w:rsidR="00470FB8" w:rsidRDefault="00470FB8" w:rsidP="001D4D6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D9284E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D9284E">
        <w:rPr>
          <w:rFonts w:asciiTheme="majorHAnsi" w:eastAsia="Arial" w:hAnsiTheme="majorHAnsi" w:cs="Arial"/>
          <w:sz w:val="25"/>
          <w:szCs w:val="25"/>
        </w:rPr>
        <w:t xml:space="preserve">En tal razón, </w:t>
      </w:r>
      <w:r w:rsidR="00334296" w:rsidRPr="00D9284E">
        <w:rPr>
          <w:rFonts w:asciiTheme="majorHAnsi" w:eastAsia="Arial" w:hAnsiTheme="majorHAnsi" w:cs="Arial"/>
          <w:sz w:val="25"/>
          <w:szCs w:val="25"/>
        </w:rPr>
        <w:t>se recomienda</w:t>
      </w:r>
      <w:r w:rsidR="00AF3700" w:rsidRPr="00D9284E">
        <w:rPr>
          <w:rFonts w:asciiTheme="majorHAnsi" w:eastAsia="Arial" w:hAnsiTheme="majorHAnsi" w:cs="Arial"/>
          <w:sz w:val="25"/>
          <w:szCs w:val="25"/>
        </w:rPr>
        <w:t xml:space="preserve"> y acuerda</w:t>
      </w:r>
      <w:r w:rsidRPr="00D9284E">
        <w:rPr>
          <w:rFonts w:asciiTheme="majorHAnsi" w:eastAsia="Arial" w:hAnsiTheme="majorHAnsi" w:cs="Arial"/>
          <w:sz w:val="25"/>
          <w:szCs w:val="25"/>
        </w:rPr>
        <w:t>:</w:t>
      </w:r>
    </w:p>
    <w:p w:rsidR="00C10F91" w:rsidRPr="00D9284E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D9284E" w:rsidRDefault="00C10F91" w:rsidP="00C31092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D9284E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F2199D" w:rsidRPr="00D9284E">
        <w:rPr>
          <w:rFonts w:asciiTheme="majorHAnsi" w:eastAsia="Arial" w:hAnsiTheme="majorHAnsi" w:cs="Arial"/>
          <w:sz w:val="25"/>
          <w:szCs w:val="25"/>
        </w:rPr>
        <w:t xml:space="preserve">A </w:t>
      </w:r>
      <w:r w:rsidR="008502A3">
        <w:rPr>
          <w:rFonts w:asciiTheme="majorHAnsi" w:eastAsia="Arial" w:hAnsiTheme="majorHAnsi" w:cs="Arial"/>
          <w:sz w:val="25"/>
          <w:szCs w:val="25"/>
        </w:rPr>
        <w:t xml:space="preserve">los responsables de </w:t>
      </w:r>
      <w:r w:rsidR="00F2199D" w:rsidRPr="00D9284E">
        <w:rPr>
          <w:rFonts w:asciiTheme="majorHAnsi" w:eastAsia="Arial" w:hAnsiTheme="majorHAnsi" w:cs="Arial"/>
          <w:sz w:val="25"/>
          <w:szCs w:val="25"/>
        </w:rPr>
        <w:t>l</w:t>
      </w:r>
      <w:r w:rsidR="00D9284E" w:rsidRPr="00D9284E">
        <w:rPr>
          <w:rFonts w:asciiTheme="majorHAnsi" w:eastAsia="Arial" w:hAnsiTheme="majorHAnsi" w:cs="Arial"/>
          <w:sz w:val="25"/>
          <w:szCs w:val="25"/>
        </w:rPr>
        <w:t>a</w:t>
      </w:r>
      <w:r w:rsidR="00334296" w:rsidRPr="00D9284E">
        <w:rPr>
          <w:rFonts w:asciiTheme="majorHAnsi" w:eastAsia="Arial" w:hAnsiTheme="majorHAnsi" w:cs="Arial"/>
          <w:sz w:val="25"/>
          <w:szCs w:val="25"/>
        </w:rPr>
        <w:t xml:space="preserve">s </w:t>
      </w:r>
      <w:r w:rsidR="00D9284E" w:rsidRPr="00D9284E">
        <w:rPr>
          <w:rFonts w:asciiTheme="majorHAnsi" w:eastAsia="Arial" w:hAnsiTheme="majorHAnsi" w:cs="Arial"/>
          <w:sz w:val="25"/>
          <w:szCs w:val="25"/>
        </w:rPr>
        <w:t xml:space="preserve">Unidades de Transparencia de los </w:t>
      </w:r>
      <w:r w:rsidR="00334296" w:rsidRPr="00D9284E">
        <w:rPr>
          <w:rFonts w:asciiTheme="majorHAnsi" w:eastAsia="Arial" w:hAnsiTheme="majorHAnsi" w:cs="Arial"/>
          <w:sz w:val="25"/>
          <w:szCs w:val="25"/>
        </w:rPr>
        <w:t xml:space="preserve">sujetos obligados del Estado de Yucatán, </w:t>
      </w:r>
      <w:r w:rsidR="00D9284E" w:rsidRPr="00D9284E">
        <w:rPr>
          <w:rFonts w:asciiTheme="majorHAnsi" w:eastAsia="Arial" w:hAnsiTheme="majorHAnsi" w:cs="Arial"/>
          <w:sz w:val="25"/>
          <w:szCs w:val="25"/>
        </w:rPr>
        <w:t xml:space="preserve">realizar los procesos de entrega- recepción de la documentación que obre en su poder, considerando los </w:t>
      </w:r>
      <w:r w:rsidR="00D14DEB">
        <w:rPr>
          <w:rFonts w:asciiTheme="majorHAnsi" w:eastAsia="Arial" w:hAnsiTheme="majorHAnsi" w:cs="Arial"/>
          <w:sz w:val="25"/>
          <w:szCs w:val="25"/>
        </w:rPr>
        <w:t>documentos</w:t>
      </w:r>
      <w:r w:rsidR="00D9284E" w:rsidRPr="00D9284E">
        <w:rPr>
          <w:rFonts w:asciiTheme="majorHAnsi" w:eastAsia="Arial" w:hAnsiTheme="majorHAnsi" w:cs="Arial"/>
          <w:sz w:val="25"/>
          <w:szCs w:val="25"/>
        </w:rPr>
        <w:t xml:space="preserve"> mínimos </w:t>
      </w:r>
      <w:r w:rsidR="00D9284E">
        <w:rPr>
          <w:rFonts w:asciiTheme="majorHAnsi" w:eastAsia="Arial" w:hAnsiTheme="majorHAnsi" w:cs="Arial"/>
          <w:sz w:val="25"/>
          <w:szCs w:val="25"/>
        </w:rPr>
        <w:t xml:space="preserve">señalados </w:t>
      </w:r>
      <w:r w:rsidR="00D9284E" w:rsidRPr="00D9284E">
        <w:rPr>
          <w:rFonts w:asciiTheme="majorHAnsi" w:eastAsia="Arial" w:hAnsiTheme="majorHAnsi" w:cs="Arial"/>
          <w:sz w:val="25"/>
          <w:szCs w:val="25"/>
        </w:rPr>
        <w:t>en el presente</w:t>
      </w:r>
      <w:r w:rsidR="00D9284E">
        <w:rPr>
          <w:rFonts w:asciiTheme="majorHAnsi" w:eastAsia="Arial" w:hAnsiTheme="majorHAnsi" w:cs="Arial"/>
          <w:sz w:val="25"/>
          <w:szCs w:val="25"/>
        </w:rPr>
        <w:t xml:space="preserve"> acuerdo</w:t>
      </w:r>
      <w:r w:rsidR="00F2199D" w:rsidRPr="00D9284E">
        <w:rPr>
          <w:rFonts w:asciiTheme="majorHAnsi" w:eastAsia="Arial" w:hAnsiTheme="majorHAnsi" w:cs="Arial"/>
          <w:sz w:val="25"/>
          <w:szCs w:val="25"/>
        </w:rPr>
        <w:t xml:space="preserve">, en términos de lo </w:t>
      </w:r>
      <w:r w:rsidR="002B3BD1" w:rsidRPr="00D9284E">
        <w:rPr>
          <w:rFonts w:asciiTheme="majorHAnsi" w:eastAsia="Arial" w:hAnsiTheme="majorHAnsi" w:cs="Arial"/>
          <w:sz w:val="25"/>
          <w:szCs w:val="25"/>
        </w:rPr>
        <w:t>establecido</w:t>
      </w:r>
      <w:r w:rsidR="00F2199D" w:rsidRPr="00D9284E">
        <w:rPr>
          <w:rFonts w:asciiTheme="majorHAnsi" w:eastAsia="Arial" w:hAnsiTheme="majorHAnsi" w:cs="Arial"/>
          <w:sz w:val="25"/>
          <w:szCs w:val="25"/>
        </w:rPr>
        <w:t xml:space="preserve"> en el considerando SEGUNDO.</w:t>
      </w:r>
    </w:p>
    <w:p w:rsidR="00C10F91" w:rsidRPr="00D9284E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16330" w:rsidRPr="00D9284E" w:rsidRDefault="0050662C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D9284E">
        <w:rPr>
          <w:rFonts w:asciiTheme="majorHAnsi" w:eastAsia="Arial" w:hAnsiTheme="majorHAnsi" w:cs="Arial"/>
          <w:b/>
          <w:sz w:val="25"/>
          <w:szCs w:val="25"/>
        </w:rPr>
        <w:t xml:space="preserve">SEGUNDO.- </w:t>
      </w:r>
      <w:r w:rsidR="00616330" w:rsidRPr="00D9284E">
        <w:rPr>
          <w:rFonts w:asciiTheme="majorHAnsi" w:eastAsia="Arial" w:hAnsiTheme="majorHAnsi" w:cs="Arial"/>
          <w:sz w:val="25"/>
          <w:szCs w:val="25"/>
        </w:rPr>
        <w:t>Notifíquese de manera electrónica a los sujetos obligados</w:t>
      </w:r>
      <w:r w:rsidR="00C31092" w:rsidRPr="00D9284E">
        <w:rPr>
          <w:rFonts w:asciiTheme="majorHAnsi" w:eastAsia="Arial" w:hAnsiTheme="majorHAnsi" w:cs="Arial"/>
          <w:sz w:val="25"/>
          <w:szCs w:val="25"/>
        </w:rPr>
        <w:t xml:space="preserve"> del Estado de Yucatán</w:t>
      </w:r>
      <w:r w:rsidR="00616330" w:rsidRPr="00D9284E">
        <w:rPr>
          <w:rFonts w:asciiTheme="majorHAnsi" w:eastAsia="Arial" w:hAnsiTheme="majorHAnsi" w:cs="Arial"/>
          <w:sz w:val="25"/>
          <w:szCs w:val="25"/>
        </w:rPr>
        <w:t>, a través de los correos electrónicos señ</w:t>
      </w:r>
      <w:r w:rsidR="00567B3D" w:rsidRPr="00D9284E">
        <w:rPr>
          <w:rFonts w:asciiTheme="majorHAnsi" w:eastAsia="Arial" w:hAnsiTheme="majorHAnsi" w:cs="Arial"/>
          <w:sz w:val="25"/>
          <w:szCs w:val="25"/>
        </w:rPr>
        <w:t>alados para recibir solicitudes.</w:t>
      </w:r>
    </w:p>
    <w:p w:rsidR="00616330" w:rsidRPr="00D9284E" w:rsidRDefault="00616330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545E0A" w:rsidRPr="00D9284E" w:rsidRDefault="00F219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D9284E">
        <w:rPr>
          <w:rFonts w:asciiTheme="majorHAnsi" w:eastAsia="Arial" w:hAnsiTheme="majorHAnsi" w:cs="Arial"/>
          <w:b/>
          <w:sz w:val="25"/>
          <w:szCs w:val="25"/>
        </w:rPr>
        <w:t>TERCERO</w:t>
      </w:r>
      <w:r w:rsidR="00567B3D" w:rsidRPr="00D9284E">
        <w:rPr>
          <w:rFonts w:asciiTheme="majorHAnsi" w:eastAsia="Arial" w:hAnsiTheme="majorHAnsi" w:cs="Arial"/>
          <w:b/>
          <w:sz w:val="25"/>
          <w:szCs w:val="25"/>
        </w:rPr>
        <w:t xml:space="preserve">.- </w:t>
      </w:r>
      <w:r w:rsidR="00905A05" w:rsidRPr="00D9284E">
        <w:rPr>
          <w:rFonts w:asciiTheme="majorHAnsi" w:eastAsia="Arial" w:hAnsiTheme="majorHAnsi" w:cs="Arial"/>
          <w:sz w:val="25"/>
          <w:szCs w:val="25"/>
        </w:rPr>
        <w:t xml:space="preserve">Publíquese </w:t>
      </w:r>
      <w:r w:rsidR="000414AD" w:rsidRPr="00D9284E">
        <w:rPr>
          <w:rFonts w:asciiTheme="majorHAnsi" w:eastAsia="Arial" w:hAnsiTheme="majorHAnsi" w:cs="Arial"/>
          <w:sz w:val="25"/>
          <w:szCs w:val="25"/>
        </w:rPr>
        <w:t>en el sitio de internet de este órgano garante</w:t>
      </w:r>
      <w:r w:rsidR="0050662C" w:rsidRPr="00D9284E">
        <w:rPr>
          <w:rFonts w:asciiTheme="majorHAnsi" w:eastAsia="Arial" w:hAnsiTheme="majorHAnsi" w:cs="Arial"/>
          <w:sz w:val="25"/>
          <w:szCs w:val="25"/>
        </w:rPr>
        <w:t>.</w:t>
      </w:r>
    </w:p>
    <w:p w:rsidR="0085476E" w:rsidRPr="00D9284E" w:rsidRDefault="0085476E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85476E" w:rsidRDefault="00F219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D9284E">
        <w:rPr>
          <w:rFonts w:asciiTheme="majorHAnsi" w:eastAsia="Arial" w:hAnsiTheme="majorHAnsi" w:cs="Arial"/>
          <w:b/>
          <w:sz w:val="25"/>
          <w:szCs w:val="25"/>
        </w:rPr>
        <w:t>CUARTO</w:t>
      </w:r>
      <w:r w:rsidR="0085476E" w:rsidRPr="00D9284E">
        <w:rPr>
          <w:rFonts w:asciiTheme="majorHAnsi" w:eastAsia="Arial" w:hAnsiTheme="majorHAnsi" w:cs="Arial"/>
          <w:b/>
          <w:sz w:val="25"/>
          <w:szCs w:val="25"/>
        </w:rPr>
        <w:t xml:space="preserve">.- </w:t>
      </w:r>
      <w:r w:rsidR="0085476E" w:rsidRPr="00D9284E">
        <w:rPr>
          <w:rFonts w:asciiTheme="majorHAnsi" w:eastAsia="Arial" w:hAnsiTheme="majorHAnsi" w:cs="Arial"/>
          <w:sz w:val="25"/>
          <w:szCs w:val="25"/>
        </w:rPr>
        <w:t>Cúmplase.</w:t>
      </w: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2DF" w:rsidRPr="007514A8" w:rsidTr="0044045B">
        <w:tc>
          <w:tcPr>
            <w:tcW w:w="882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  <w:gridCol w:w="4306"/>
            </w:tblGrid>
            <w:tr w:rsidR="007F42DF" w:rsidRPr="00880CF4" w:rsidTr="0042281B">
              <w:tc>
                <w:tcPr>
                  <w:tcW w:w="8828" w:type="dxa"/>
                  <w:gridSpan w:val="2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7F42DF" w:rsidRPr="00880CF4" w:rsidRDefault="00173BB0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(RÚBRICA)</w:t>
                  </w:r>
                </w:p>
                <w:p w:rsidR="007F42DF" w:rsidRPr="00880CF4" w:rsidRDefault="00C512C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MARÍA EUGENIA SANSORES RUZ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COMISIONADA PRESIDENT</w:t>
                  </w:r>
                  <w:r w:rsidR="00C14375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E</w:t>
                  </w:r>
                </w:p>
              </w:tc>
            </w:tr>
            <w:tr w:rsidR="007F42DF" w:rsidRPr="00F87531" w:rsidTr="0042281B"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173BB0" w:rsidP="007F42DF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(RÚBRICA)</w:t>
                  </w:r>
                </w:p>
                <w:p w:rsidR="00C512CF" w:rsidRPr="00880CF4" w:rsidRDefault="00C512CF" w:rsidP="00C512C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SUSANA AGUILAR COVARRUBIAS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COMISIONADA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173BB0" w:rsidP="007F42DF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(RÚBRICA)</w:t>
                  </w:r>
                  <w:bookmarkStart w:id="0" w:name="_GoBack"/>
                  <w:bookmarkEnd w:id="0"/>
                </w:p>
                <w:p w:rsidR="007F42DF" w:rsidRPr="00880CF4" w:rsidRDefault="00F2199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MD</w:t>
                  </w:r>
                  <w:r w:rsidR="007F42DF"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. ALDRIN MARTÍN BRICEÑO CONRADO</w:t>
                  </w:r>
                </w:p>
                <w:p w:rsidR="007F42DF" w:rsidRPr="00F87531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COMISIONADO</w:t>
                  </w:r>
                </w:p>
              </w:tc>
            </w:tr>
          </w:tbl>
          <w:p w:rsidR="007F42DF" w:rsidRDefault="007F42DF" w:rsidP="007F42DF"/>
        </w:tc>
      </w:tr>
    </w:tbl>
    <w:p w:rsidR="00474CE3" w:rsidRPr="007514A8" w:rsidRDefault="00474CE3" w:rsidP="006710A8">
      <w:pPr>
        <w:spacing w:after="0" w:line="240" w:lineRule="auto"/>
        <w:rPr>
          <w:rFonts w:asciiTheme="majorHAnsi" w:hAnsiTheme="majorHAnsi"/>
          <w:b/>
          <w:sz w:val="25"/>
          <w:szCs w:val="25"/>
        </w:rPr>
      </w:pPr>
    </w:p>
    <w:sectPr w:rsidR="00474CE3" w:rsidRPr="007514A8" w:rsidSect="006710A8">
      <w:headerReference w:type="default" r:id="rId8"/>
      <w:footerReference w:type="default" r:id="rId9"/>
      <w:type w:val="continuous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95" w:rsidRDefault="00F25F95">
      <w:pPr>
        <w:spacing w:after="0" w:line="240" w:lineRule="auto"/>
      </w:pPr>
      <w:r>
        <w:separator/>
      </w:r>
    </w:p>
  </w:endnote>
  <w:endnote w:type="continuationSeparator" w:id="0">
    <w:p w:rsidR="00F25F95" w:rsidRDefault="00F2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3540"/>
      <w:docPartObj>
        <w:docPartGallery w:val="Page Numbers (Bottom of Page)"/>
        <w:docPartUnique/>
      </w:docPartObj>
    </w:sdtPr>
    <w:sdtEndPr/>
    <w:sdtContent>
      <w:p w:rsidR="002B1365" w:rsidRDefault="001C41FE">
        <w:pPr>
          <w:pStyle w:val="Piedepgina"/>
          <w:jc w:val="right"/>
        </w:pPr>
        <w:r>
          <w:fldChar w:fldCharType="begin"/>
        </w:r>
        <w:r w:rsidR="002B1365">
          <w:instrText xml:space="preserve"> PAGE   \* MERGEFORMAT </w:instrText>
        </w:r>
        <w:r>
          <w:fldChar w:fldCharType="separate"/>
        </w:r>
        <w:r w:rsidR="000B4E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1365" w:rsidRDefault="002B1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95" w:rsidRDefault="00F25F95">
      <w:pPr>
        <w:spacing w:after="0" w:line="240" w:lineRule="auto"/>
      </w:pPr>
      <w:r>
        <w:separator/>
      </w:r>
    </w:p>
  </w:footnote>
  <w:footnote w:type="continuationSeparator" w:id="0">
    <w:p w:rsidR="00F25F95" w:rsidRDefault="00F2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65" w:rsidRDefault="002B1365">
    <w:pPr>
      <w:pStyle w:val="Encabezado"/>
    </w:pPr>
    <w:r>
      <w:rPr>
        <w:noProof/>
        <w:lang w:eastAsia="es-MX"/>
      </w:rPr>
      <w:drawing>
        <wp:inline distT="0" distB="0" distL="0" distR="0">
          <wp:extent cx="5612130" cy="9442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365" w:rsidRDefault="002B13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A5A"/>
    <w:multiLevelType w:val="multilevel"/>
    <w:tmpl w:val="3F86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7F24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9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  <w:num w:numId="15">
    <w:abstractNumId w:val="10"/>
  </w:num>
  <w:num w:numId="16">
    <w:abstractNumId w:val="7"/>
  </w:num>
  <w:num w:numId="17">
    <w:abstractNumId w:val="21"/>
  </w:num>
  <w:num w:numId="18">
    <w:abstractNumId w:val="20"/>
  </w:num>
  <w:num w:numId="19">
    <w:abstractNumId w:val="26"/>
  </w:num>
  <w:num w:numId="20">
    <w:abstractNumId w:val="25"/>
  </w:num>
  <w:num w:numId="21">
    <w:abstractNumId w:val="15"/>
  </w:num>
  <w:num w:numId="22">
    <w:abstractNumId w:val="27"/>
  </w:num>
  <w:num w:numId="23">
    <w:abstractNumId w:val="12"/>
  </w:num>
  <w:num w:numId="24">
    <w:abstractNumId w:val="24"/>
  </w:num>
  <w:num w:numId="25">
    <w:abstractNumId w:val="16"/>
  </w:num>
  <w:num w:numId="26">
    <w:abstractNumId w:val="1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54BF"/>
    <w:rsid w:val="000479CD"/>
    <w:rsid w:val="000540BD"/>
    <w:rsid w:val="0005547B"/>
    <w:rsid w:val="000561A7"/>
    <w:rsid w:val="00067719"/>
    <w:rsid w:val="000756D6"/>
    <w:rsid w:val="00075EBF"/>
    <w:rsid w:val="00076EDC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4E1D"/>
    <w:rsid w:val="000B6899"/>
    <w:rsid w:val="000C04E5"/>
    <w:rsid w:val="000C58B7"/>
    <w:rsid w:val="000D1CA5"/>
    <w:rsid w:val="000D1D47"/>
    <w:rsid w:val="000D2DD5"/>
    <w:rsid w:val="000D3188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3214A"/>
    <w:rsid w:val="001433DD"/>
    <w:rsid w:val="00144481"/>
    <w:rsid w:val="00144A0F"/>
    <w:rsid w:val="00146FC7"/>
    <w:rsid w:val="0015074F"/>
    <w:rsid w:val="00150B8D"/>
    <w:rsid w:val="0015279F"/>
    <w:rsid w:val="00152A49"/>
    <w:rsid w:val="0015307D"/>
    <w:rsid w:val="001556BA"/>
    <w:rsid w:val="001565F8"/>
    <w:rsid w:val="00157959"/>
    <w:rsid w:val="0016053B"/>
    <w:rsid w:val="00161514"/>
    <w:rsid w:val="00163E09"/>
    <w:rsid w:val="001643EA"/>
    <w:rsid w:val="001648EE"/>
    <w:rsid w:val="00173BB0"/>
    <w:rsid w:val="00173EFF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4D6E"/>
    <w:rsid w:val="001D7085"/>
    <w:rsid w:val="001D7F93"/>
    <w:rsid w:val="001E0BE1"/>
    <w:rsid w:val="001E4551"/>
    <w:rsid w:val="001E7478"/>
    <w:rsid w:val="001F06C3"/>
    <w:rsid w:val="001F2821"/>
    <w:rsid w:val="001F4541"/>
    <w:rsid w:val="0020546F"/>
    <w:rsid w:val="0020765B"/>
    <w:rsid w:val="00214F0A"/>
    <w:rsid w:val="00216830"/>
    <w:rsid w:val="002259C5"/>
    <w:rsid w:val="00234D8D"/>
    <w:rsid w:val="002413D1"/>
    <w:rsid w:val="00242D91"/>
    <w:rsid w:val="00243ABA"/>
    <w:rsid w:val="00244A84"/>
    <w:rsid w:val="00244BD3"/>
    <w:rsid w:val="00246985"/>
    <w:rsid w:val="00253E8D"/>
    <w:rsid w:val="002601A3"/>
    <w:rsid w:val="0026020B"/>
    <w:rsid w:val="00260D66"/>
    <w:rsid w:val="0026202F"/>
    <w:rsid w:val="00263828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D9"/>
    <w:rsid w:val="00296FB5"/>
    <w:rsid w:val="002974D7"/>
    <w:rsid w:val="002A0AC3"/>
    <w:rsid w:val="002A16A1"/>
    <w:rsid w:val="002A2785"/>
    <w:rsid w:val="002A4397"/>
    <w:rsid w:val="002A6EC8"/>
    <w:rsid w:val="002A74C9"/>
    <w:rsid w:val="002B1365"/>
    <w:rsid w:val="002B3BD1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F50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84FD4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4923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A1"/>
    <w:rsid w:val="00410B7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347C"/>
    <w:rsid w:val="004475A1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6C4B"/>
    <w:rsid w:val="00467C17"/>
    <w:rsid w:val="004704D3"/>
    <w:rsid w:val="00470FB8"/>
    <w:rsid w:val="00474CE3"/>
    <w:rsid w:val="004755A1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2155"/>
    <w:rsid w:val="004A40A8"/>
    <w:rsid w:val="004A433D"/>
    <w:rsid w:val="004A493A"/>
    <w:rsid w:val="004A5CE7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3FC1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20A77"/>
    <w:rsid w:val="00526642"/>
    <w:rsid w:val="00530A72"/>
    <w:rsid w:val="0053148D"/>
    <w:rsid w:val="00531708"/>
    <w:rsid w:val="00531E4C"/>
    <w:rsid w:val="005320EF"/>
    <w:rsid w:val="00534718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30BC"/>
    <w:rsid w:val="00573E01"/>
    <w:rsid w:val="00574205"/>
    <w:rsid w:val="00580068"/>
    <w:rsid w:val="00580E0D"/>
    <w:rsid w:val="005821FD"/>
    <w:rsid w:val="00582AA2"/>
    <w:rsid w:val="00585098"/>
    <w:rsid w:val="00591107"/>
    <w:rsid w:val="005914F2"/>
    <w:rsid w:val="00594263"/>
    <w:rsid w:val="0059597A"/>
    <w:rsid w:val="005A01B3"/>
    <w:rsid w:val="005A3DF8"/>
    <w:rsid w:val="005A684A"/>
    <w:rsid w:val="005A7222"/>
    <w:rsid w:val="005B6A86"/>
    <w:rsid w:val="005B7F55"/>
    <w:rsid w:val="005C41D3"/>
    <w:rsid w:val="005C5DD8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601076"/>
    <w:rsid w:val="00604B18"/>
    <w:rsid w:val="00606985"/>
    <w:rsid w:val="006136C0"/>
    <w:rsid w:val="00614800"/>
    <w:rsid w:val="00614B14"/>
    <w:rsid w:val="006159DD"/>
    <w:rsid w:val="00616330"/>
    <w:rsid w:val="00620069"/>
    <w:rsid w:val="00621EB7"/>
    <w:rsid w:val="0062300B"/>
    <w:rsid w:val="0062501A"/>
    <w:rsid w:val="00627058"/>
    <w:rsid w:val="006311FC"/>
    <w:rsid w:val="00635ED9"/>
    <w:rsid w:val="00637B5F"/>
    <w:rsid w:val="00637F5E"/>
    <w:rsid w:val="00644185"/>
    <w:rsid w:val="0064431C"/>
    <w:rsid w:val="006455A2"/>
    <w:rsid w:val="00647639"/>
    <w:rsid w:val="006476EF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72C5"/>
    <w:rsid w:val="00677D06"/>
    <w:rsid w:val="006806C4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62EA"/>
    <w:rsid w:val="006A7BDA"/>
    <w:rsid w:val="006B1B9E"/>
    <w:rsid w:val="006B2575"/>
    <w:rsid w:val="006B48DD"/>
    <w:rsid w:val="006B4E1A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C34"/>
    <w:rsid w:val="006F3ACC"/>
    <w:rsid w:val="00701099"/>
    <w:rsid w:val="00702913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5D56"/>
    <w:rsid w:val="00735DE5"/>
    <w:rsid w:val="007366C0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6285"/>
    <w:rsid w:val="00762917"/>
    <w:rsid w:val="00771BC4"/>
    <w:rsid w:val="00771E39"/>
    <w:rsid w:val="00772938"/>
    <w:rsid w:val="007751C5"/>
    <w:rsid w:val="0077790E"/>
    <w:rsid w:val="0078249F"/>
    <w:rsid w:val="00783ADD"/>
    <w:rsid w:val="00790144"/>
    <w:rsid w:val="007922B9"/>
    <w:rsid w:val="00794C50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64F0"/>
    <w:rsid w:val="00820CC9"/>
    <w:rsid w:val="00821618"/>
    <w:rsid w:val="008225AF"/>
    <w:rsid w:val="00824569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02A3"/>
    <w:rsid w:val="00851480"/>
    <w:rsid w:val="00851856"/>
    <w:rsid w:val="00851985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2DD7"/>
    <w:rsid w:val="009160F1"/>
    <w:rsid w:val="00921F09"/>
    <w:rsid w:val="0092213D"/>
    <w:rsid w:val="00924F98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423A"/>
    <w:rsid w:val="00964D20"/>
    <w:rsid w:val="009713D6"/>
    <w:rsid w:val="00974298"/>
    <w:rsid w:val="00974575"/>
    <w:rsid w:val="009762E1"/>
    <w:rsid w:val="00983142"/>
    <w:rsid w:val="0098404B"/>
    <w:rsid w:val="00984552"/>
    <w:rsid w:val="00987BFB"/>
    <w:rsid w:val="0099788B"/>
    <w:rsid w:val="009B3613"/>
    <w:rsid w:val="009B4A9B"/>
    <w:rsid w:val="009B5F17"/>
    <w:rsid w:val="009B7C56"/>
    <w:rsid w:val="009B7D5D"/>
    <w:rsid w:val="009C07BC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30B2"/>
    <w:rsid w:val="00A13B7B"/>
    <w:rsid w:val="00A1491D"/>
    <w:rsid w:val="00A1517B"/>
    <w:rsid w:val="00A16D01"/>
    <w:rsid w:val="00A1788B"/>
    <w:rsid w:val="00A210FE"/>
    <w:rsid w:val="00A269A1"/>
    <w:rsid w:val="00A30416"/>
    <w:rsid w:val="00A31801"/>
    <w:rsid w:val="00A34D90"/>
    <w:rsid w:val="00A4030D"/>
    <w:rsid w:val="00A41505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4E89"/>
    <w:rsid w:val="00A77257"/>
    <w:rsid w:val="00A808C4"/>
    <w:rsid w:val="00A81D3E"/>
    <w:rsid w:val="00A8337D"/>
    <w:rsid w:val="00A85DA7"/>
    <w:rsid w:val="00A86549"/>
    <w:rsid w:val="00A865BE"/>
    <w:rsid w:val="00A94178"/>
    <w:rsid w:val="00A94257"/>
    <w:rsid w:val="00A9604C"/>
    <w:rsid w:val="00A96F50"/>
    <w:rsid w:val="00A97FF8"/>
    <w:rsid w:val="00AA502E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8E7"/>
    <w:rsid w:val="00AF7D95"/>
    <w:rsid w:val="00B002A4"/>
    <w:rsid w:val="00B01658"/>
    <w:rsid w:val="00B0635A"/>
    <w:rsid w:val="00B06490"/>
    <w:rsid w:val="00B1430B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53B5"/>
    <w:rsid w:val="00B46B78"/>
    <w:rsid w:val="00B5141E"/>
    <w:rsid w:val="00B523F3"/>
    <w:rsid w:val="00B5250D"/>
    <w:rsid w:val="00B54AE7"/>
    <w:rsid w:val="00B56B19"/>
    <w:rsid w:val="00B60444"/>
    <w:rsid w:val="00B62DDF"/>
    <w:rsid w:val="00B6417B"/>
    <w:rsid w:val="00B667B0"/>
    <w:rsid w:val="00B66B74"/>
    <w:rsid w:val="00B70140"/>
    <w:rsid w:val="00B746AD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7883"/>
    <w:rsid w:val="00B97AE8"/>
    <w:rsid w:val="00B97AF5"/>
    <w:rsid w:val="00BA28F0"/>
    <w:rsid w:val="00BA2FEB"/>
    <w:rsid w:val="00BB1218"/>
    <w:rsid w:val="00BC046D"/>
    <w:rsid w:val="00BC696D"/>
    <w:rsid w:val="00BC7AA9"/>
    <w:rsid w:val="00BD1C35"/>
    <w:rsid w:val="00BD2F28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B57"/>
    <w:rsid w:val="00C01F2A"/>
    <w:rsid w:val="00C0259E"/>
    <w:rsid w:val="00C042D9"/>
    <w:rsid w:val="00C04636"/>
    <w:rsid w:val="00C10F91"/>
    <w:rsid w:val="00C11BA1"/>
    <w:rsid w:val="00C13D1C"/>
    <w:rsid w:val="00C14375"/>
    <w:rsid w:val="00C20F21"/>
    <w:rsid w:val="00C22901"/>
    <w:rsid w:val="00C23BAE"/>
    <w:rsid w:val="00C273B0"/>
    <w:rsid w:val="00C27C05"/>
    <w:rsid w:val="00C30344"/>
    <w:rsid w:val="00C31020"/>
    <w:rsid w:val="00C31092"/>
    <w:rsid w:val="00C3167A"/>
    <w:rsid w:val="00C31F39"/>
    <w:rsid w:val="00C36E52"/>
    <w:rsid w:val="00C40023"/>
    <w:rsid w:val="00C404F1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60219"/>
    <w:rsid w:val="00C6057E"/>
    <w:rsid w:val="00C6362C"/>
    <w:rsid w:val="00C64B1C"/>
    <w:rsid w:val="00C6621E"/>
    <w:rsid w:val="00C66BB5"/>
    <w:rsid w:val="00C66D4C"/>
    <w:rsid w:val="00C671AF"/>
    <w:rsid w:val="00C67365"/>
    <w:rsid w:val="00C72CE5"/>
    <w:rsid w:val="00C731E4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7021"/>
    <w:rsid w:val="00C971EF"/>
    <w:rsid w:val="00CA156D"/>
    <w:rsid w:val="00CA29F2"/>
    <w:rsid w:val="00CA65AD"/>
    <w:rsid w:val="00CA6BA6"/>
    <w:rsid w:val="00CA6D0F"/>
    <w:rsid w:val="00CB234B"/>
    <w:rsid w:val="00CB5F40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F3DE3"/>
    <w:rsid w:val="00CF5992"/>
    <w:rsid w:val="00CF786B"/>
    <w:rsid w:val="00D12955"/>
    <w:rsid w:val="00D1463B"/>
    <w:rsid w:val="00D14DEB"/>
    <w:rsid w:val="00D1657B"/>
    <w:rsid w:val="00D178F4"/>
    <w:rsid w:val="00D17CB4"/>
    <w:rsid w:val="00D21E38"/>
    <w:rsid w:val="00D2381F"/>
    <w:rsid w:val="00D25B7C"/>
    <w:rsid w:val="00D2666F"/>
    <w:rsid w:val="00D26888"/>
    <w:rsid w:val="00D33A34"/>
    <w:rsid w:val="00D343E9"/>
    <w:rsid w:val="00D36E39"/>
    <w:rsid w:val="00D414E3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284E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410C"/>
    <w:rsid w:val="00DE4F2D"/>
    <w:rsid w:val="00DE5278"/>
    <w:rsid w:val="00DE6186"/>
    <w:rsid w:val="00DE66C8"/>
    <w:rsid w:val="00DF0DDB"/>
    <w:rsid w:val="00DF4362"/>
    <w:rsid w:val="00DF7F7E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18FF"/>
    <w:rsid w:val="00E6237B"/>
    <w:rsid w:val="00E62792"/>
    <w:rsid w:val="00E6652C"/>
    <w:rsid w:val="00E67522"/>
    <w:rsid w:val="00E71735"/>
    <w:rsid w:val="00E71946"/>
    <w:rsid w:val="00E72261"/>
    <w:rsid w:val="00E75F17"/>
    <w:rsid w:val="00E762D8"/>
    <w:rsid w:val="00E826E8"/>
    <w:rsid w:val="00E83981"/>
    <w:rsid w:val="00E83BCA"/>
    <w:rsid w:val="00E84660"/>
    <w:rsid w:val="00E852FA"/>
    <w:rsid w:val="00E87EF2"/>
    <w:rsid w:val="00E904B4"/>
    <w:rsid w:val="00E945E2"/>
    <w:rsid w:val="00E96F9E"/>
    <w:rsid w:val="00E9762C"/>
    <w:rsid w:val="00EA5534"/>
    <w:rsid w:val="00EA574B"/>
    <w:rsid w:val="00EB3198"/>
    <w:rsid w:val="00EB36F2"/>
    <w:rsid w:val="00EB72A4"/>
    <w:rsid w:val="00EB7C65"/>
    <w:rsid w:val="00EC29A9"/>
    <w:rsid w:val="00EC4C0B"/>
    <w:rsid w:val="00ED26B2"/>
    <w:rsid w:val="00ED398D"/>
    <w:rsid w:val="00ED64A1"/>
    <w:rsid w:val="00ED7F39"/>
    <w:rsid w:val="00EE0550"/>
    <w:rsid w:val="00EE2723"/>
    <w:rsid w:val="00EF01F2"/>
    <w:rsid w:val="00EF2CC8"/>
    <w:rsid w:val="00EF376C"/>
    <w:rsid w:val="00EF6259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BCE"/>
    <w:rsid w:val="00F25B69"/>
    <w:rsid w:val="00F25F95"/>
    <w:rsid w:val="00F30ADF"/>
    <w:rsid w:val="00F337CE"/>
    <w:rsid w:val="00F35CF4"/>
    <w:rsid w:val="00F3652C"/>
    <w:rsid w:val="00F36C64"/>
    <w:rsid w:val="00F405BD"/>
    <w:rsid w:val="00F4138E"/>
    <w:rsid w:val="00F41D09"/>
    <w:rsid w:val="00F42317"/>
    <w:rsid w:val="00F44026"/>
    <w:rsid w:val="00F50EA0"/>
    <w:rsid w:val="00F5442D"/>
    <w:rsid w:val="00F609C8"/>
    <w:rsid w:val="00F63A0D"/>
    <w:rsid w:val="00F71174"/>
    <w:rsid w:val="00F725D0"/>
    <w:rsid w:val="00F729F5"/>
    <w:rsid w:val="00F729FE"/>
    <w:rsid w:val="00F83B17"/>
    <w:rsid w:val="00F86FA7"/>
    <w:rsid w:val="00F91AA5"/>
    <w:rsid w:val="00F91BE3"/>
    <w:rsid w:val="00FA0B01"/>
    <w:rsid w:val="00FA0D53"/>
    <w:rsid w:val="00FA1B9A"/>
    <w:rsid w:val="00FA2A85"/>
    <w:rsid w:val="00FA36C7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474E"/>
    <w:rsid w:val="00FC4880"/>
    <w:rsid w:val="00FC58FF"/>
    <w:rsid w:val="00FC7186"/>
    <w:rsid w:val="00FD58F5"/>
    <w:rsid w:val="00FD66DA"/>
    <w:rsid w:val="00FE0B4C"/>
    <w:rsid w:val="00FE51DB"/>
    <w:rsid w:val="00FF2381"/>
    <w:rsid w:val="00FF2AFC"/>
    <w:rsid w:val="00FF6122"/>
    <w:rsid w:val="00FF6A8D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08ACAE"/>
  <w15:docId w15:val="{D017989E-0C5A-4134-A6AA-92E27653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BCF2-8EF7-42FC-9786-3CD27AC6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Tecnica</dc:creator>
  <cp:lastModifiedBy>Apoyo Plenario</cp:lastModifiedBy>
  <cp:revision>2</cp:revision>
  <cp:lastPrinted>2018-06-26T20:39:00Z</cp:lastPrinted>
  <dcterms:created xsi:type="dcterms:W3CDTF">2018-06-28T17:50:00Z</dcterms:created>
  <dcterms:modified xsi:type="dcterms:W3CDTF">2018-06-28T17:50:00Z</dcterms:modified>
</cp:coreProperties>
</file>