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4C9" w:rsidRPr="00880CF4" w:rsidRDefault="00C512CF" w:rsidP="003209F0">
      <w:pPr>
        <w:spacing w:after="0" w:line="240" w:lineRule="auto"/>
        <w:jc w:val="both"/>
        <w:rPr>
          <w:rFonts w:asciiTheme="majorHAnsi" w:hAnsiTheme="majorHAnsi"/>
          <w:b/>
          <w:sz w:val="25"/>
          <w:szCs w:val="25"/>
        </w:rPr>
      </w:pPr>
      <w:bookmarkStart w:id="0" w:name="_GoBack"/>
      <w:bookmarkEnd w:id="0"/>
      <w:r w:rsidRPr="00880CF4">
        <w:rPr>
          <w:rFonts w:asciiTheme="majorHAnsi" w:eastAsia="Arial" w:hAnsiTheme="majorHAnsi" w:cs="Arial"/>
          <w:b/>
          <w:sz w:val="25"/>
          <w:szCs w:val="25"/>
        </w:rPr>
        <w:t>ACUERDO DEL PLENO, A TRAVÉS DEL CUAL SE ESTABLECE EL CRITERIO ORIENTADOR RESPECTO DE CÓMO SE DEBEN INTEGRAR LOS COMITÉS DE TRANSPARENCIA DE LOS SUJETOS OBLIGADOS.</w:t>
      </w:r>
    </w:p>
    <w:p w:rsidR="002A74C9" w:rsidRPr="00880CF4" w:rsidRDefault="002A74C9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367B19" w:rsidRPr="00880CF4" w:rsidRDefault="00367B19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sz w:val="25"/>
          <w:szCs w:val="25"/>
        </w:rPr>
        <w:t xml:space="preserve">En la ciudad de Mérida, Yucatán, siendo las </w:t>
      </w:r>
      <w:r w:rsidR="00DC70A8">
        <w:rPr>
          <w:rFonts w:asciiTheme="majorHAnsi" w:eastAsia="Arial" w:hAnsiTheme="majorHAnsi" w:cs="Arial"/>
          <w:sz w:val="25"/>
          <w:szCs w:val="25"/>
        </w:rPr>
        <w:t>trece</w:t>
      </w:r>
      <w:r w:rsidR="0002173F" w:rsidRPr="00880CF4">
        <w:rPr>
          <w:rFonts w:asciiTheme="majorHAnsi" w:eastAsia="Arial" w:hAnsiTheme="majorHAnsi" w:cs="Arial"/>
          <w:sz w:val="25"/>
          <w:szCs w:val="25"/>
        </w:rPr>
        <w:t xml:space="preserve"> horas con </w:t>
      </w:r>
      <w:r w:rsidR="00DC70A8">
        <w:rPr>
          <w:rFonts w:asciiTheme="majorHAnsi" w:eastAsia="Arial" w:hAnsiTheme="majorHAnsi" w:cs="Arial"/>
          <w:sz w:val="25"/>
          <w:szCs w:val="25"/>
        </w:rPr>
        <w:t>veinte</w:t>
      </w:r>
      <w:r w:rsidR="0002173F" w:rsidRPr="00880CF4">
        <w:rPr>
          <w:rFonts w:asciiTheme="majorHAnsi" w:eastAsia="Arial" w:hAnsiTheme="majorHAnsi" w:cs="Arial"/>
          <w:sz w:val="25"/>
          <w:szCs w:val="25"/>
        </w:rPr>
        <w:t xml:space="preserve"> minutos, del día </w:t>
      </w:r>
      <w:r w:rsidR="003A6BA5">
        <w:rPr>
          <w:rFonts w:asciiTheme="majorHAnsi" w:eastAsia="Arial" w:hAnsiTheme="majorHAnsi" w:cs="Arial"/>
          <w:sz w:val="25"/>
          <w:szCs w:val="25"/>
        </w:rPr>
        <w:t>tres</w:t>
      </w:r>
      <w:r w:rsidR="00DE6186" w:rsidRPr="00880CF4">
        <w:rPr>
          <w:rFonts w:asciiTheme="majorHAnsi" w:eastAsia="Arial" w:hAnsiTheme="majorHAnsi" w:cs="Arial"/>
          <w:sz w:val="25"/>
          <w:szCs w:val="25"/>
        </w:rPr>
        <w:t xml:space="preserve"> </w:t>
      </w:r>
      <w:r w:rsidRPr="00880CF4">
        <w:rPr>
          <w:rFonts w:asciiTheme="majorHAnsi" w:eastAsia="Arial" w:hAnsiTheme="majorHAnsi" w:cs="Arial"/>
          <w:sz w:val="25"/>
          <w:szCs w:val="25"/>
        </w:rPr>
        <w:t xml:space="preserve">de </w:t>
      </w:r>
      <w:r w:rsidR="003A6BA5">
        <w:rPr>
          <w:rFonts w:asciiTheme="majorHAnsi" w:eastAsia="Arial" w:hAnsiTheme="majorHAnsi" w:cs="Arial"/>
          <w:sz w:val="25"/>
          <w:szCs w:val="25"/>
        </w:rPr>
        <w:t>septiembre</w:t>
      </w:r>
      <w:r w:rsidR="0002173F" w:rsidRPr="00880CF4">
        <w:rPr>
          <w:rFonts w:asciiTheme="majorHAnsi" w:eastAsia="Arial" w:hAnsiTheme="majorHAnsi" w:cs="Arial"/>
          <w:sz w:val="25"/>
          <w:szCs w:val="25"/>
        </w:rPr>
        <w:t xml:space="preserve"> </w:t>
      </w:r>
      <w:r w:rsidR="00DE6186" w:rsidRPr="00880CF4">
        <w:rPr>
          <w:rFonts w:asciiTheme="majorHAnsi" w:eastAsia="Arial" w:hAnsiTheme="majorHAnsi" w:cs="Arial"/>
          <w:sz w:val="25"/>
          <w:szCs w:val="25"/>
        </w:rPr>
        <w:t>del año 201</w:t>
      </w:r>
      <w:r w:rsidR="00C512CF" w:rsidRPr="00880CF4">
        <w:rPr>
          <w:rFonts w:asciiTheme="majorHAnsi" w:eastAsia="Arial" w:hAnsiTheme="majorHAnsi" w:cs="Arial"/>
          <w:sz w:val="25"/>
          <w:szCs w:val="25"/>
        </w:rPr>
        <w:t>8</w:t>
      </w:r>
      <w:r w:rsidRPr="00880CF4">
        <w:rPr>
          <w:rFonts w:asciiTheme="majorHAnsi" w:eastAsia="Arial" w:hAnsiTheme="majorHAnsi" w:cs="Arial"/>
          <w:sz w:val="25"/>
          <w:szCs w:val="25"/>
        </w:rPr>
        <w:t>, encontrándose reunidos los integrantes del Pleno del Instituto Estatal de Transparencia, Acceso a la Información Pública y Protección de Datos Personales, l</w:t>
      </w:r>
      <w:r w:rsidR="00C512CF" w:rsidRPr="00880CF4">
        <w:rPr>
          <w:rFonts w:asciiTheme="majorHAnsi" w:eastAsia="Arial" w:hAnsiTheme="majorHAnsi" w:cs="Arial"/>
          <w:sz w:val="25"/>
          <w:szCs w:val="25"/>
        </w:rPr>
        <w:t>a</w:t>
      </w:r>
      <w:r w:rsidRPr="00880CF4">
        <w:rPr>
          <w:rFonts w:asciiTheme="majorHAnsi" w:eastAsia="Arial" w:hAnsiTheme="majorHAnsi" w:cs="Arial"/>
          <w:sz w:val="25"/>
          <w:szCs w:val="25"/>
        </w:rPr>
        <w:t>s Licenciad</w:t>
      </w:r>
      <w:r w:rsidR="00C512CF" w:rsidRPr="00880CF4">
        <w:rPr>
          <w:rFonts w:asciiTheme="majorHAnsi" w:eastAsia="Arial" w:hAnsiTheme="majorHAnsi" w:cs="Arial"/>
          <w:sz w:val="25"/>
          <w:szCs w:val="25"/>
        </w:rPr>
        <w:t>a</w:t>
      </w:r>
      <w:r w:rsidRPr="00880CF4">
        <w:rPr>
          <w:rFonts w:asciiTheme="majorHAnsi" w:eastAsia="Arial" w:hAnsiTheme="majorHAnsi" w:cs="Arial"/>
          <w:sz w:val="25"/>
          <w:szCs w:val="25"/>
        </w:rPr>
        <w:t xml:space="preserve">s en Derecho, María Eugenia Sansores Ruz y </w:t>
      </w:r>
      <w:r w:rsidR="00C512CF" w:rsidRPr="00880CF4">
        <w:rPr>
          <w:rFonts w:asciiTheme="majorHAnsi" w:eastAsia="Arial" w:hAnsiTheme="majorHAnsi" w:cs="Arial"/>
          <w:sz w:val="25"/>
          <w:szCs w:val="25"/>
        </w:rPr>
        <w:t xml:space="preserve">Susana Aguilar Covarrubias, y el Maestro en Derecho </w:t>
      </w:r>
      <w:r w:rsidRPr="00880CF4">
        <w:rPr>
          <w:rFonts w:asciiTheme="majorHAnsi" w:eastAsia="Arial" w:hAnsiTheme="majorHAnsi" w:cs="Arial"/>
          <w:sz w:val="25"/>
          <w:szCs w:val="25"/>
        </w:rPr>
        <w:t>Aldrin Martín Briceño Conrado, Comisionada Presidenta y Comisionados, respectivamente, emiten el presente acuerdo de conformidad con los siguientes:</w:t>
      </w:r>
    </w:p>
    <w:p w:rsidR="00367B19" w:rsidRPr="00880CF4" w:rsidRDefault="00367B19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866BBD" w:rsidRPr="00880CF4" w:rsidRDefault="00866BBD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  <w:r w:rsidRPr="00880CF4">
        <w:rPr>
          <w:rFonts w:asciiTheme="majorHAnsi" w:hAnsiTheme="majorHAnsi"/>
          <w:b/>
          <w:sz w:val="25"/>
          <w:szCs w:val="25"/>
        </w:rPr>
        <w:t>ANTECEDENTES</w:t>
      </w:r>
    </w:p>
    <w:p w:rsidR="00866BBD" w:rsidRPr="00880CF4" w:rsidRDefault="00866BBD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</w:p>
    <w:p w:rsidR="00574205" w:rsidRPr="00880CF4" w:rsidRDefault="00866BBD" w:rsidP="003209F0">
      <w:pPr>
        <w:spacing w:after="0" w:line="240" w:lineRule="auto"/>
        <w:jc w:val="both"/>
        <w:rPr>
          <w:rFonts w:asciiTheme="majorHAnsi" w:hAnsiTheme="majorHAnsi"/>
          <w:i/>
          <w:sz w:val="25"/>
          <w:szCs w:val="25"/>
        </w:rPr>
      </w:pPr>
      <w:proofErr w:type="gramStart"/>
      <w:r w:rsidRPr="00880CF4">
        <w:rPr>
          <w:rFonts w:asciiTheme="majorHAnsi" w:hAnsiTheme="majorHAnsi"/>
          <w:b/>
          <w:sz w:val="25"/>
          <w:szCs w:val="25"/>
        </w:rPr>
        <w:t>PRIMERO.-</w:t>
      </w:r>
      <w:proofErr w:type="gramEnd"/>
      <w:r w:rsidRPr="00880CF4">
        <w:rPr>
          <w:rFonts w:asciiTheme="majorHAnsi" w:hAnsiTheme="majorHAnsi"/>
          <w:sz w:val="25"/>
          <w:szCs w:val="25"/>
        </w:rPr>
        <w:t xml:space="preserve"> </w:t>
      </w:r>
      <w:r w:rsidRPr="00880CF4">
        <w:rPr>
          <w:rFonts w:asciiTheme="majorHAnsi" w:eastAsia="Arial" w:hAnsiTheme="majorHAnsi" w:cs="Arial"/>
          <w:sz w:val="25"/>
          <w:szCs w:val="25"/>
        </w:rPr>
        <w:t>El 7 de febrero de 2014, se publicó en el Diario Oficial de la Federación el Decreto por el que se reforman y adicionan diversas disposiciones de la Constitución Política de los Estados Unidos Mexicanos, en materia de Transparencia.</w:t>
      </w:r>
    </w:p>
    <w:p w:rsidR="00574205" w:rsidRPr="00880CF4" w:rsidRDefault="00574205" w:rsidP="003209F0">
      <w:pPr>
        <w:spacing w:after="0" w:line="240" w:lineRule="auto"/>
        <w:jc w:val="both"/>
        <w:rPr>
          <w:rFonts w:asciiTheme="majorHAnsi" w:hAnsiTheme="majorHAnsi"/>
          <w:sz w:val="25"/>
          <w:szCs w:val="25"/>
        </w:rPr>
      </w:pPr>
    </w:p>
    <w:p w:rsidR="007B1E58" w:rsidRPr="00880CF4" w:rsidRDefault="00866BBD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proofErr w:type="gramStart"/>
      <w:r w:rsidRPr="00880CF4">
        <w:rPr>
          <w:rFonts w:asciiTheme="majorHAnsi" w:eastAsia="Arial" w:hAnsiTheme="majorHAnsi" w:cs="Arial"/>
          <w:b/>
          <w:sz w:val="25"/>
          <w:szCs w:val="25"/>
        </w:rPr>
        <w:t>SEGUNDO.-</w:t>
      </w:r>
      <w:proofErr w:type="gramEnd"/>
      <w:r w:rsidRPr="00880CF4">
        <w:rPr>
          <w:rFonts w:asciiTheme="majorHAnsi" w:eastAsia="Arial" w:hAnsiTheme="majorHAnsi" w:cs="Arial"/>
          <w:b/>
          <w:sz w:val="25"/>
          <w:szCs w:val="25"/>
        </w:rPr>
        <w:t xml:space="preserve"> </w:t>
      </w:r>
      <w:r w:rsidRPr="00880CF4">
        <w:rPr>
          <w:rFonts w:asciiTheme="majorHAnsi" w:eastAsia="Arial" w:hAnsiTheme="majorHAnsi" w:cs="Arial"/>
          <w:sz w:val="25"/>
          <w:szCs w:val="25"/>
        </w:rPr>
        <w:t xml:space="preserve">El 4 de mayo de 2015, se publicó en el Diario Oficial de la Federación el Decreto por el que se expide la Ley General de Transparencia y Acceso a la Información Pública, Ley reglamentaria del artículo 6 constitucional. Dicha Ley, en </w:t>
      </w:r>
      <w:r w:rsidR="007B4EEA" w:rsidRPr="00880CF4">
        <w:rPr>
          <w:rFonts w:asciiTheme="majorHAnsi" w:eastAsia="Arial" w:hAnsiTheme="majorHAnsi" w:cs="Arial"/>
          <w:sz w:val="25"/>
          <w:szCs w:val="25"/>
        </w:rPr>
        <w:t xml:space="preserve">la fracción I </w:t>
      </w:r>
      <w:r w:rsidR="0045325F" w:rsidRPr="00880CF4">
        <w:rPr>
          <w:rFonts w:asciiTheme="majorHAnsi" w:eastAsia="Arial" w:hAnsiTheme="majorHAnsi" w:cs="Arial"/>
          <w:sz w:val="25"/>
          <w:szCs w:val="25"/>
        </w:rPr>
        <w:t>del</w:t>
      </w:r>
      <w:r w:rsidRPr="00880CF4">
        <w:rPr>
          <w:rFonts w:asciiTheme="majorHAnsi" w:eastAsia="Arial" w:hAnsiTheme="majorHAnsi" w:cs="Arial"/>
          <w:sz w:val="25"/>
          <w:szCs w:val="25"/>
        </w:rPr>
        <w:t xml:space="preserve"> </w:t>
      </w:r>
      <w:r w:rsidR="007B1E58" w:rsidRPr="00880CF4">
        <w:rPr>
          <w:rFonts w:asciiTheme="majorHAnsi" w:eastAsia="Arial" w:hAnsiTheme="majorHAnsi" w:cs="Arial"/>
          <w:sz w:val="25"/>
          <w:szCs w:val="25"/>
        </w:rPr>
        <w:t xml:space="preserve">artículo </w:t>
      </w:r>
      <w:r w:rsidR="007B4EEA" w:rsidRPr="00880CF4">
        <w:rPr>
          <w:rFonts w:asciiTheme="majorHAnsi" w:eastAsia="Arial" w:hAnsiTheme="majorHAnsi" w:cs="Arial"/>
          <w:sz w:val="25"/>
          <w:szCs w:val="25"/>
        </w:rPr>
        <w:t>42</w:t>
      </w:r>
      <w:r w:rsidR="007B1E58" w:rsidRPr="00880CF4">
        <w:rPr>
          <w:rFonts w:asciiTheme="majorHAnsi" w:eastAsia="Arial" w:hAnsiTheme="majorHAnsi" w:cs="Arial"/>
          <w:sz w:val="25"/>
          <w:szCs w:val="25"/>
        </w:rPr>
        <w:t xml:space="preserve"> dispone que</w:t>
      </w:r>
      <w:r w:rsidR="007B4EEA" w:rsidRPr="00880CF4">
        <w:rPr>
          <w:rFonts w:asciiTheme="majorHAnsi" w:eastAsia="Arial" w:hAnsiTheme="majorHAnsi" w:cs="Arial"/>
          <w:sz w:val="25"/>
          <w:szCs w:val="25"/>
        </w:rPr>
        <w:t xml:space="preserve"> será atribución de los organismos garantes estatales</w:t>
      </w:r>
      <w:r w:rsidR="007B1E58" w:rsidRPr="00880CF4">
        <w:rPr>
          <w:rFonts w:asciiTheme="majorHAnsi" w:eastAsia="Arial" w:hAnsiTheme="majorHAnsi" w:cs="Arial"/>
          <w:sz w:val="25"/>
          <w:szCs w:val="25"/>
        </w:rPr>
        <w:t>:</w:t>
      </w:r>
    </w:p>
    <w:p w:rsidR="007B1E58" w:rsidRPr="00880CF4" w:rsidRDefault="007B1E58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866BBD" w:rsidRPr="00880CF4" w:rsidRDefault="007B1E58" w:rsidP="003209F0">
      <w:pPr>
        <w:spacing w:after="0" w:line="240" w:lineRule="auto"/>
        <w:ind w:left="851" w:right="616"/>
        <w:jc w:val="both"/>
        <w:rPr>
          <w:rFonts w:asciiTheme="majorHAnsi" w:eastAsia="Arial" w:hAnsiTheme="majorHAnsi" w:cs="Arial"/>
          <w:i/>
          <w:sz w:val="25"/>
          <w:szCs w:val="25"/>
        </w:rPr>
      </w:pPr>
      <w:r w:rsidRPr="00880CF4">
        <w:rPr>
          <w:rFonts w:asciiTheme="majorHAnsi" w:eastAsia="Arial" w:hAnsiTheme="majorHAnsi" w:cs="Arial"/>
          <w:i/>
          <w:sz w:val="25"/>
          <w:szCs w:val="25"/>
        </w:rPr>
        <w:t>“..</w:t>
      </w:r>
      <w:r w:rsidR="00866BBD" w:rsidRPr="00880CF4">
        <w:rPr>
          <w:rFonts w:asciiTheme="majorHAnsi" w:eastAsia="Arial" w:hAnsiTheme="majorHAnsi" w:cs="Arial"/>
          <w:i/>
          <w:sz w:val="25"/>
          <w:szCs w:val="25"/>
        </w:rPr>
        <w:t>.</w:t>
      </w:r>
      <w:r w:rsidR="007B4EEA" w:rsidRPr="00880CF4">
        <w:rPr>
          <w:rFonts w:asciiTheme="majorHAnsi" w:eastAsia="Arial" w:hAnsiTheme="majorHAnsi" w:cs="Arial"/>
          <w:i/>
          <w:sz w:val="25"/>
          <w:szCs w:val="25"/>
        </w:rPr>
        <w:t xml:space="preserve">Interpretar los ordenamientos que les resulten aplicables y que deriven de esta Ley y de la Constitución Política de los Estados Unidos </w:t>
      </w:r>
      <w:proofErr w:type="gramStart"/>
      <w:r w:rsidR="007B4EEA" w:rsidRPr="00880CF4">
        <w:rPr>
          <w:rFonts w:asciiTheme="majorHAnsi" w:eastAsia="Arial" w:hAnsiTheme="majorHAnsi" w:cs="Arial"/>
          <w:i/>
          <w:sz w:val="25"/>
          <w:szCs w:val="25"/>
        </w:rPr>
        <w:t>Mexicanos</w:t>
      </w:r>
      <w:r w:rsidR="0045325F" w:rsidRPr="00880CF4">
        <w:rPr>
          <w:rFonts w:asciiTheme="majorHAnsi" w:eastAsia="Arial" w:hAnsiTheme="majorHAnsi" w:cs="Arial"/>
          <w:i/>
          <w:sz w:val="25"/>
          <w:szCs w:val="25"/>
        </w:rPr>
        <w:t>.</w:t>
      </w:r>
      <w:r w:rsidRPr="00880CF4">
        <w:rPr>
          <w:rFonts w:asciiTheme="majorHAnsi" w:eastAsia="Arial" w:hAnsiTheme="majorHAnsi" w:cs="Arial"/>
          <w:i/>
          <w:sz w:val="25"/>
          <w:szCs w:val="25"/>
        </w:rPr>
        <w:t>…</w:t>
      </w:r>
      <w:proofErr w:type="gramEnd"/>
      <w:r w:rsidRPr="00880CF4">
        <w:rPr>
          <w:rFonts w:asciiTheme="majorHAnsi" w:eastAsia="Arial" w:hAnsiTheme="majorHAnsi" w:cs="Arial"/>
          <w:i/>
          <w:sz w:val="25"/>
          <w:szCs w:val="25"/>
        </w:rPr>
        <w:t>”</w:t>
      </w:r>
    </w:p>
    <w:p w:rsidR="007B4EEA" w:rsidRPr="00880CF4" w:rsidRDefault="007B4EEA" w:rsidP="007B4EEA">
      <w:pPr>
        <w:spacing w:after="0" w:line="240" w:lineRule="auto"/>
        <w:ind w:right="616"/>
        <w:jc w:val="both"/>
        <w:rPr>
          <w:rFonts w:asciiTheme="majorHAnsi" w:eastAsia="Arial" w:hAnsiTheme="majorHAnsi" w:cs="Arial"/>
          <w:i/>
          <w:sz w:val="25"/>
          <w:szCs w:val="25"/>
        </w:rPr>
      </w:pPr>
    </w:p>
    <w:p w:rsidR="007B4EEA" w:rsidRPr="00880CF4" w:rsidRDefault="007B4EEA" w:rsidP="00B6417B">
      <w:pPr>
        <w:spacing w:after="0" w:line="240" w:lineRule="auto"/>
        <w:ind w:right="49"/>
        <w:jc w:val="both"/>
        <w:rPr>
          <w:rFonts w:asciiTheme="majorHAnsi" w:eastAsia="Arial" w:hAnsiTheme="majorHAnsi" w:cs="Arial"/>
          <w:i/>
          <w:sz w:val="25"/>
          <w:szCs w:val="25"/>
        </w:rPr>
      </w:pPr>
      <w:r w:rsidRPr="00880CF4">
        <w:rPr>
          <w:rFonts w:asciiTheme="majorHAnsi" w:eastAsia="Arial" w:hAnsiTheme="majorHAnsi" w:cs="Arial"/>
          <w:sz w:val="25"/>
          <w:szCs w:val="25"/>
        </w:rPr>
        <w:t xml:space="preserve">Y en su artículo </w:t>
      </w:r>
      <w:r w:rsidR="00C512CF" w:rsidRPr="00880CF4">
        <w:rPr>
          <w:rFonts w:asciiTheme="majorHAnsi" w:eastAsia="Arial" w:hAnsiTheme="majorHAnsi" w:cs="Arial"/>
          <w:sz w:val="25"/>
          <w:szCs w:val="25"/>
        </w:rPr>
        <w:t>43</w:t>
      </w:r>
      <w:r w:rsidRPr="00880CF4">
        <w:rPr>
          <w:rFonts w:asciiTheme="majorHAnsi" w:eastAsia="Arial" w:hAnsiTheme="majorHAnsi" w:cs="Arial"/>
          <w:sz w:val="25"/>
          <w:szCs w:val="25"/>
        </w:rPr>
        <w:t xml:space="preserve">, </w:t>
      </w:r>
      <w:r w:rsidR="00C512CF" w:rsidRPr="00880CF4">
        <w:rPr>
          <w:rFonts w:asciiTheme="majorHAnsi" w:eastAsia="Arial" w:hAnsiTheme="majorHAnsi" w:cs="Arial"/>
          <w:sz w:val="25"/>
          <w:szCs w:val="25"/>
        </w:rPr>
        <w:t xml:space="preserve">se le impuso la obligación a cada sujeto obligado de integrar un Comité de Transparencia </w:t>
      </w:r>
      <w:r w:rsidR="00467C17" w:rsidRPr="00880CF4">
        <w:rPr>
          <w:rFonts w:asciiTheme="majorHAnsi" w:eastAsia="Arial" w:hAnsiTheme="majorHAnsi" w:cs="Arial"/>
          <w:sz w:val="25"/>
          <w:szCs w:val="25"/>
        </w:rPr>
        <w:t>c</w:t>
      </w:r>
      <w:r w:rsidR="00C512CF" w:rsidRPr="00880CF4">
        <w:rPr>
          <w:rFonts w:asciiTheme="majorHAnsi" w:eastAsia="Arial" w:hAnsiTheme="majorHAnsi" w:cs="Arial"/>
          <w:sz w:val="25"/>
          <w:szCs w:val="25"/>
        </w:rPr>
        <w:t>olegiado e integrado por un número impar.</w:t>
      </w:r>
    </w:p>
    <w:p w:rsidR="00866BBD" w:rsidRPr="00880CF4" w:rsidRDefault="00866BBD" w:rsidP="003209F0">
      <w:pPr>
        <w:spacing w:after="0" w:line="240" w:lineRule="auto"/>
        <w:jc w:val="both"/>
        <w:rPr>
          <w:rFonts w:asciiTheme="majorHAnsi" w:eastAsia="Arial" w:hAnsiTheme="majorHAnsi" w:cs="Arial"/>
          <w:b/>
          <w:i/>
          <w:sz w:val="25"/>
          <w:szCs w:val="25"/>
        </w:rPr>
      </w:pPr>
    </w:p>
    <w:p w:rsidR="00866BBD" w:rsidRPr="00880CF4" w:rsidRDefault="00866BBD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proofErr w:type="gramStart"/>
      <w:r w:rsidRPr="00880CF4">
        <w:rPr>
          <w:rFonts w:asciiTheme="majorHAnsi" w:eastAsia="Arial" w:hAnsiTheme="majorHAnsi" w:cs="Arial"/>
          <w:b/>
          <w:sz w:val="25"/>
          <w:szCs w:val="25"/>
        </w:rPr>
        <w:t>TERCERO.-</w:t>
      </w:r>
      <w:proofErr w:type="gramEnd"/>
      <w:r w:rsidRPr="00880CF4">
        <w:rPr>
          <w:rFonts w:asciiTheme="majorHAnsi" w:eastAsia="Arial" w:hAnsiTheme="majorHAnsi" w:cs="Arial"/>
          <w:b/>
          <w:sz w:val="25"/>
          <w:szCs w:val="25"/>
        </w:rPr>
        <w:t xml:space="preserve"> </w:t>
      </w:r>
      <w:r w:rsidRPr="00880CF4">
        <w:rPr>
          <w:rFonts w:asciiTheme="majorHAnsi" w:eastAsia="Arial" w:hAnsiTheme="majorHAnsi" w:cs="Arial"/>
          <w:sz w:val="25"/>
          <w:szCs w:val="25"/>
        </w:rPr>
        <w:t>El 20 de abril de 2016, se publicó en el Diario Oficial del Gobierno del Estado de Yucatán el Decreto 380/2016, por el que se modifica la Constitución Política del Estado de Yucatán, en materia de anticorrupción y transparencia. A través de dicha modificación, se sientan las bases de la homologación de la legislación estatal, acorde a lo dispuesto en la Ley general, Ley reglamentaria del artículo 6 constitucional.</w:t>
      </w:r>
    </w:p>
    <w:p w:rsidR="00866BBD" w:rsidRPr="00880CF4" w:rsidRDefault="00866BBD" w:rsidP="003209F0">
      <w:pPr>
        <w:spacing w:after="0" w:line="240" w:lineRule="auto"/>
        <w:jc w:val="both"/>
        <w:rPr>
          <w:rFonts w:asciiTheme="majorHAnsi" w:eastAsia="Arial" w:hAnsiTheme="majorHAnsi" w:cs="Arial"/>
          <w:b/>
          <w:sz w:val="25"/>
          <w:szCs w:val="25"/>
        </w:rPr>
      </w:pPr>
    </w:p>
    <w:p w:rsidR="00866BBD" w:rsidRPr="00880CF4" w:rsidRDefault="00866BBD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proofErr w:type="gramStart"/>
      <w:r w:rsidRPr="00880CF4">
        <w:rPr>
          <w:rFonts w:asciiTheme="majorHAnsi" w:eastAsia="Arial" w:hAnsiTheme="majorHAnsi" w:cs="Arial"/>
          <w:b/>
          <w:sz w:val="25"/>
          <w:szCs w:val="25"/>
        </w:rPr>
        <w:t>CUARTO.-</w:t>
      </w:r>
      <w:proofErr w:type="gramEnd"/>
      <w:r w:rsidRPr="00880CF4">
        <w:rPr>
          <w:rFonts w:asciiTheme="majorHAnsi" w:eastAsia="Arial" w:hAnsiTheme="majorHAnsi" w:cs="Arial"/>
          <w:sz w:val="25"/>
          <w:szCs w:val="25"/>
        </w:rPr>
        <w:t xml:space="preserve"> El 2 de mayo de 2016, se publicó en el Diario Oficial del Gobierno del Estado, el Decreto 388/2016, por el que se expide la Ley de Transparencia y Acceso a la Información Pública del Estado de Yucatán, a través de dicha publicación se dio </w:t>
      </w:r>
      <w:r w:rsidRPr="00880CF4">
        <w:rPr>
          <w:rFonts w:asciiTheme="majorHAnsi" w:eastAsia="Arial" w:hAnsiTheme="majorHAnsi" w:cs="Arial"/>
          <w:sz w:val="25"/>
          <w:szCs w:val="25"/>
        </w:rPr>
        <w:lastRenderedPageBreak/>
        <w:t>cumplimiento a lo establecido en el transitorio quinto de la Ley General de Transparencia y Acceso a la Información Pública, la homologación de la Ley estatal conforme a lo dispuesto en la citada Ley general.</w:t>
      </w:r>
    </w:p>
    <w:p w:rsidR="00AF3343" w:rsidRPr="00880CF4" w:rsidRDefault="00AF3343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AF3343" w:rsidRPr="00880CF4" w:rsidRDefault="00AF3343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sz w:val="25"/>
          <w:szCs w:val="25"/>
        </w:rPr>
        <w:t xml:space="preserve">La referida Ley estatal, indica en su artículo </w:t>
      </w:r>
      <w:r w:rsidR="00C273B0" w:rsidRPr="00880CF4">
        <w:rPr>
          <w:rFonts w:asciiTheme="majorHAnsi" w:eastAsia="Arial" w:hAnsiTheme="majorHAnsi" w:cs="Arial"/>
          <w:sz w:val="25"/>
          <w:szCs w:val="25"/>
        </w:rPr>
        <w:t>12 fracción I</w:t>
      </w:r>
      <w:r w:rsidRPr="00880CF4">
        <w:rPr>
          <w:rFonts w:asciiTheme="majorHAnsi" w:eastAsia="Arial" w:hAnsiTheme="majorHAnsi" w:cs="Arial"/>
          <w:sz w:val="25"/>
          <w:szCs w:val="25"/>
        </w:rPr>
        <w:t>, que</w:t>
      </w:r>
      <w:r w:rsidR="00C273B0" w:rsidRPr="00880CF4">
        <w:rPr>
          <w:rFonts w:asciiTheme="majorHAnsi" w:eastAsia="Arial" w:hAnsiTheme="majorHAnsi" w:cs="Arial"/>
          <w:sz w:val="25"/>
          <w:szCs w:val="25"/>
        </w:rPr>
        <w:t xml:space="preserve"> el Instituto Estatal de Transparencia, Acceso a la Información Pública y Protección de Datos Personales, además de las atribuciones establecidas en el artículo 42 de la Ley general, deberá</w:t>
      </w:r>
      <w:r w:rsidRPr="00880CF4">
        <w:rPr>
          <w:rFonts w:asciiTheme="majorHAnsi" w:eastAsia="Arial" w:hAnsiTheme="majorHAnsi" w:cs="Arial"/>
          <w:sz w:val="25"/>
          <w:szCs w:val="25"/>
        </w:rPr>
        <w:t>:</w:t>
      </w:r>
    </w:p>
    <w:p w:rsidR="00AF3343" w:rsidRPr="00880CF4" w:rsidRDefault="00AF3343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AF3343" w:rsidRPr="00880CF4" w:rsidRDefault="00AF3343" w:rsidP="003209F0">
      <w:pPr>
        <w:spacing w:after="0" w:line="240" w:lineRule="auto"/>
        <w:ind w:left="851" w:right="616"/>
        <w:jc w:val="both"/>
        <w:rPr>
          <w:rFonts w:asciiTheme="majorHAnsi" w:eastAsia="Arial" w:hAnsiTheme="majorHAnsi" w:cs="Arial"/>
          <w:i/>
          <w:sz w:val="25"/>
          <w:szCs w:val="25"/>
        </w:rPr>
      </w:pPr>
      <w:r w:rsidRPr="00880CF4">
        <w:rPr>
          <w:rFonts w:asciiTheme="majorHAnsi" w:eastAsia="Arial" w:hAnsiTheme="majorHAnsi" w:cs="Arial"/>
          <w:i/>
          <w:sz w:val="25"/>
          <w:szCs w:val="25"/>
        </w:rPr>
        <w:t>“…</w:t>
      </w:r>
      <w:r w:rsidR="00C273B0" w:rsidRPr="00880CF4">
        <w:rPr>
          <w:rFonts w:asciiTheme="majorHAnsi" w:eastAsia="Arial" w:hAnsiTheme="majorHAnsi" w:cs="Arial"/>
          <w:i/>
          <w:sz w:val="25"/>
          <w:szCs w:val="25"/>
        </w:rPr>
        <w:t>Suplir cualquier deficiencia para garantizar el ejercicio del derecho de acceso a la información</w:t>
      </w:r>
      <w:r w:rsidRPr="00880CF4">
        <w:rPr>
          <w:rFonts w:asciiTheme="majorHAnsi" w:eastAsia="Arial" w:hAnsiTheme="majorHAnsi" w:cs="Arial"/>
          <w:i/>
          <w:sz w:val="25"/>
          <w:szCs w:val="25"/>
        </w:rPr>
        <w:t>…”</w:t>
      </w:r>
    </w:p>
    <w:p w:rsidR="00AF3343" w:rsidRPr="00880CF4" w:rsidRDefault="00AF3343" w:rsidP="003209F0">
      <w:pPr>
        <w:spacing w:after="0" w:line="240" w:lineRule="auto"/>
        <w:jc w:val="both"/>
        <w:rPr>
          <w:rFonts w:asciiTheme="majorHAnsi" w:eastAsia="Arial" w:hAnsiTheme="majorHAnsi" w:cs="Arial"/>
          <w:b/>
          <w:sz w:val="25"/>
          <w:szCs w:val="25"/>
        </w:rPr>
      </w:pPr>
    </w:p>
    <w:p w:rsidR="006710A8" w:rsidRPr="00880CF4" w:rsidRDefault="00C273B0" w:rsidP="00C512CF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sz w:val="25"/>
          <w:szCs w:val="25"/>
        </w:rPr>
        <w:t xml:space="preserve">Y en su artículo 9, se señala, </w:t>
      </w:r>
      <w:proofErr w:type="gramStart"/>
      <w:r w:rsidRPr="00880CF4">
        <w:rPr>
          <w:rFonts w:asciiTheme="majorHAnsi" w:eastAsia="Arial" w:hAnsiTheme="majorHAnsi" w:cs="Arial"/>
          <w:sz w:val="25"/>
          <w:szCs w:val="25"/>
        </w:rPr>
        <w:t>que</w:t>
      </w:r>
      <w:proofErr w:type="gramEnd"/>
      <w:r w:rsidRPr="00880CF4">
        <w:rPr>
          <w:rFonts w:asciiTheme="majorHAnsi" w:eastAsia="Arial" w:hAnsiTheme="majorHAnsi" w:cs="Arial"/>
          <w:sz w:val="25"/>
          <w:szCs w:val="25"/>
        </w:rPr>
        <w:t xml:space="preserve"> en la interpretación de la referida Ley estatal de la materia, se podrán tomar en consideración los criterios</w:t>
      </w:r>
      <w:r w:rsidR="00A96F50" w:rsidRPr="00880CF4">
        <w:rPr>
          <w:rFonts w:asciiTheme="majorHAnsi" w:eastAsia="Arial" w:hAnsiTheme="majorHAnsi" w:cs="Arial"/>
          <w:sz w:val="25"/>
          <w:szCs w:val="25"/>
        </w:rPr>
        <w:t>, determinaciones y opiniones de los organismos nacionales e internacionales en materia de transparencia</w:t>
      </w:r>
      <w:r w:rsidR="00D67D49" w:rsidRPr="00880CF4">
        <w:rPr>
          <w:rFonts w:asciiTheme="majorHAnsi" w:eastAsia="Arial" w:hAnsiTheme="majorHAnsi" w:cs="Arial"/>
          <w:sz w:val="25"/>
          <w:szCs w:val="25"/>
        </w:rPr>
        <w:t>.</w:t>
      </w:r>
    </w:p>
    <w:p w:rsidR="005A684A" w:rsidRPr="00880CF4" w:rsidRDefault="005A684A" w:rsidP="003209F0">
      <w:pPr>
        <w:spacing w:after="0" w:line="240" w:lineRule="auto"/>
        <w:jc w:val="both"/>
        <w:rPr>
          <w:rFonts w:asciiTheme="majorHAnsi" w:eastAsia="Arial" w:hAnsiTheme="majorHAnsi" w:cs="Arial"/>
          <w:b/>
          <w:sz w:val="25"/>
          <w:szCs w:val="25"/>
        </w:rPr>
      </w:pPr>
    </w:p>
    <w:p w:rsidR="00A16D01" w:rsidRPr="00880CF4" w:rsidRDefault="00A16D01" w:rsidP="003209F0">
      <w:pPr>
        <w:spacing w:after="0" w:line="240" w:lineRule="auto"/>
        <w:jc w:val="center"/>
        <w:rPr>
          <w:rFonts w:asciiTheme="majorHAnsi" w:hAnsiTheme="majorHAnsi"/>
          <w:b/>
          <w:sz w:val="25"/>
          <w:szCs w:val="25"/>
        </w:rPr>
      </w:pPr>
      <w:r w:rsidRPr="00880CF4">
        <w:rPr>
          <w:rFonts w:asciiTheme="majorHAnsi" w:hAnsiTheme="majorHAnsi"/>
          <w:b/>
          <w:sz w:val="25"/>
          <w:szCs w:val="25"/>
        </w:rPr>
        <w:t>CONSIDERANDOS</w:t>
      </w:r>
    </w:p>
    <w:p w:rsidR="00807346" w:rsidRPr="00880CF4" w:rsidRDefault="00807346" w:rsidP="003209F0">
      <w:pPr>
        <w:spacing w:after="0" w:line="240" w:lineRule="auto"/>
        <w:jc w:val="both"/>
        <w:rPr>
          <w:rFonts w:asciiTheme="majorHAnsi" w:eastAsia="Arial" w:hAnsiTheme="majorHAnsi" w:cs="Arial"/>
          <w:b/>
          <w:sz w:val="25"/>
          <w:szCs w:val="25"/>
        </w:rPr>
      </w:pPr>
    </w:p>
    <w:p w:rsidR="00807346" w:rsidRPr="00880CF4" w:rsidRDefault="00A16D01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b/>
          <w:sz w:val="25"/>
          <w:szCs w:val="25"/>
        </w:rPr>
        <w:t xml:space="preserve">PRIMERO.- </w:t>
      </w:r>
      <w:r w:rsidR="000317AB" w:rsidRPr="00880CF4">
        <w:rPr>
          <w:rFonts w:asciiTheme="majorHAnsi" w:eastAsia="Arial" w:hAnsiTheme="majorHAnsi" w:cs="Arial"/>
          <w:sz w:val="25"/>
          <w:szCs w:val="25"/>
        </w:rPr>
        <w:t xml:space="preserve">El Instituto Estatal de Transparencia, Acceso a la Información Pública y Protección de Datos Personales es un organismo público autónomo, especializado, independiente, imparcial y colegiado, con personalidad jurídica y patrimonio propios, con plena autonomía técnica de gestión, capacidad para decidir sobre el ejercicio de su presupuesto y determinar su organización interna, responsable de garantizar el ejercicio de los derechos de acceso a la información y protección de datos personales conforme a los principios y bases establecidos en el artículo 6o. de la Constitución Política de los Estados Unidos Mexicanos, así como lo dispuesto en la Constitución Política del Estado de Yucatán, la Ley general, </w:t>
      </w:r>
      <w:r w:rsidR="002A74C9" w:rsidRPr="00880CF4">
        <w:rPr>
          <w:rFonts w:asciiTheme="majorHAnsi" w:eastAsia="Arial" w:hAnsiTheme="majorHAnsi" w:cs="Arial"/>
          <w:sz w:val="25"/>
          <w:szCs w:val="25"/>
        </w:rPr>
        <w:t>la</w:t>
      </w:r>
      <w:r w:rsidR="000317AB" w:rsidRPr="00880CF4">
        <w:rPr>
          <w:rFonts w:asciiTheme="majorHAnsi" w:eastAsia="Arial" w:hAnsiTheme="majorHAnsi" w:cs="Arial"/>
          <w:sz w:val="25"/>
          <w:szCs w:val="25"/>
        </w:rPr>
        <w:t xml:space="preserve"> </w:t>
      </w:r>
      <w:r w:rsidR="002A74C9" w:rsidRPr="00880CF4">
        <w:rPr>
          <w:rFonts w:asciiTheme="majorHAnsi" w:eastAsia="Arial" w:hAnsiTheme="majorHAnsi" w:cs="Arial"/>
          <w:sz w:val="25"/>
          <w:szCs w:val="25"/>
        </w:rPr>
        <w:t>L</w:t>
      </w:r>
      <w:r w:rsidR="000317AB" w:rsidRPr="00880CF4">
        <w:rPr>
          <w:rFonts w:asciiTheme="majorHAnsi" w:eastAsia="Arial" w:hAnsiTheme="majorHAnsi" w:cs="Arial"/>
          <w:sz w:val="25"/>
          <w:szCs w:val="25"/>
        </w:rPr>
        <w:t>ey</w:t>
      </w:r>
      <w:r w:rsidR="002A74C9" w:rsidRPr="00880CF4">
        <w:rPr>
          <w:rFonts w:asciiTheme="majorHAnsi" w:eastAsia="Arial" w:hAnsiTheme="majorHAnsi" w:cs="Arial"/>
          <w:sz w:val="25"/>
          <w:szCs w:val="25"/>
        </w:rPr>
        <w:t xml:space="preserve"> estatal de la materia</w:t>
      </w:r>
      <w:r w:rsidR="000317AB" w:rsidRPr="00880CF4">
        <w:rPr>
          <w:rFonts w:asciiTheme="majorHAnsi" w:eastAsia="Arial" w:hAnsiTheme="majorHAnsi" w:cs="Arial"/>
          <w:sz w:val="25"/>
          <w:szCs w:val="25"/>
        </w:rPr>
        <w:t xml:space="preserve"> y demás disposiciones normativas aplicables.</w:t>
      </w:r>
    </w:p>
    <w:p w:rsidR="008D79B5" w:rsidRPr="00880CF4" w:rsidRDefault="008D79B5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C512CF" w:rsidRPr="00880CF4" w:rsidRDefault="009B7C56" w:rsidP="00C512CF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proofErr w:type="gramStart"/>
      <w:r w:rsidRPr="00880CF4">
        <w:rPr>
          <w:rFonts w:asciiTheme="majorHAnsi" w:eastAsia="Arial" w:hAnsiTheme="majorHAnsi" w:cs="Arial"/>
          <w:b/>
          <w:sz w:val="25"/>
          <w:szCs w:val="25"/>
        </w:rPr>
        <w:t>SEGUNDO</w:t>
      </w:r>
      <w:r w:rsidR="00085008" w:rsidRPr="00880CF4">
        <w:rPr>
          <w:rFonts w:asciiTheme="majorHAnsi" w:eastAsia="Arial" w:hAnsiTheme="majorHAnsi" w:cs="Arial"/>
          <w:b/>
          <w:sz w:val="25"/>
          <w:szCs w:val="25"/>
        </w:rPr>
        <w:t>.-</w:t>
      </w:r>
      <w:proofErr w:type="gramEnd"/>
      <w:r w:rsidR="00DE6186" w:rsidRPr="00880CF4">
        <w:rPr>
          <w:rFonts w:asciiTheme="majorHAnsi" w:eastAsia="Arial" w:hAnsiTheme="majorHAnsi" w:cs="Arial"/>
          <w:sz w:val="25"/>
          <w:szCs w:val="25"/>
        </w:rPr>
        <w:t xml:space="preserve"> </w:t>
      </w:r>
      <w:r w:rsidR="001D7F93" w:rsidRPr="00880CF4">
        <w:rPr>
          <w:rFonts w:asciiTheme="majorHAnsi" w:eastAsia="Arial" w:hAnsiTheme="majorHAnsi" w:cs="Arial"/>
          <w:sz w:val="25"/>
          <w:szCs w:val="25"/>
        </w:rPr>
        <w:t>Tal y como se referenció en el antecedente SEGUNDO</w:t>
      </w:r>
      <w:r w:rsidR="006A62EA" w:rsidRPr="00880CF4">
        <w:rPr>
          <w:rFonts w:asciiTheme="majorHAnsi" w:eastAsia="Arial" w:hAnsiTheme="majorHAnsi" w:cs="Arial"/>
          <w:sz w:val="25"/>
          <w:szCs w:val="25"/>
        </w:rPr>
        <w:t>, la Ley General de Transparencia y Acceso a la Información Pública, impuso la obligación a cada sujeto obligado de constituir e integrar un Comité de Transparencia, previendo como únicas restricciones y/o limitaciones en la conformación</w:t>
      </w:r>
      <w:r w:rsidR="00F30ADF" w:rsidRPr="00880CF4">
        <w:rPr>
          <w:rFonts w:asciiTheme="majorHAnsi" w:eastAsia="Arial" w:hAnsiTheme="majorHAnsi" w:cs="Arial"/>
          <w:sz w:val="25"/>
          <w:szCs w:val="25"/>
        </w:rPr>
        <w:t>:</w:t>
      </w:r>
      <w:r w:rsidR="006A62EA" w:rsidRPr="00880CF4">
        <w:rPr>
          <w:rFonts w:asciiTheme="majorHAnsi" w:eastAsia="Arial" w:hAnsiTheme="majorHAnsi" w:cs="Arial"/>
          <w:sz w:val="25"/>
          <w:szCs w:val="25"/>
        </w:rPr>
        <w:t xml:space="preserve"> </w:t>
      </w:r>
      <w:r w:rsidR="00D17CB4" w:rsidRPr="00880CF4">
        <w:rPr>
          <w:rFonts w:asciiTheme="majorHAnsi" w:eastAsia="Arial" w:hAnsiTheme="majorHAnsi" w:cs="Arial"/>
          <w:sz w:val="25"/>
          <w:szCs w:val="25"/>
        </w:rPr>
        <w:t xml:space="preserve">1) </w:t>
      </w:r>
      <w:r w:rsidR="006A62EA" w:rsidRPr="00880CF4">
        <w:rPr>
          <w:rFonts w:asciiTheme="majorHAnsi" w:eastAsia="Arial" w:hAnsiTheme="majorHAnsi" w:cs="Arial"/>
          <w:sz w:val="25"/>
          <w:szCs w:val="25"/>
        </w:rPr>
        <w:t xml:space="preserve">que </w:t>
      </w:r>
      <w:r w:rsidR="00D17CB4" w:rsidRPr="00880CF4">
        <w:rPr>
          <w:rFonts w:asciiTheme="majorHAnsi" w:eastAsia="Arial" w:hAnsiTheme="majorHAnsi" w:cs="Arial"/>
          <w:sz w:val="25"/>
          <w:szCs w:val="25"/>
        </w:rPr>
        <w:t xml:space="preserve">éste </w:t>
      </w:r>
      <w:r w:rsidR="006A62EA" w:rsidRPr="00880CF4">
        <w:rPr>
          <w:rFonts w:asciiTheme="majorHAnsi" w:eastAsia="Arial" w:hAnsiTheme="majorHAnsi" w:cs="Arial"/>
          <w:sz w:val="25"/>
          <w:szCs w:val="25"/>
        </w:rPr>
        <w:t>sea integrado por un número impar</w:t>
      </w:r>
      <w:r w:rsidR="00D17CB4" w:rsidRPr="00880CF4">
        <w:rPr>
          <w:rFonts w:asciiTheme="majorHAnsi" w:eastAsia="Arial" w:hAnsiTheme="majorHAnsi" w:cs="Arial"/>
          <w:sz w:val="25"/>
          <w:szCs w:val="25"/>
        </w:rPr>
        <w:t>;</w:t>
      </w:r>
      <w:r w:rsidR="006A62EA" w:rsidRPr="00880CF4">
        <w:rPr>
          <w:rFonts w:asciiTheme="majorHAnsi" w:eastAsia="Arial" w:hAnsiTheme="majorHAnsi" w:cs="Arial"/>
          <w:sz w:val="25"/>
          <w:szCs w:val="25"/>
        </w:rPr>
        <w:t xml:space="preserve"> </w:t>
      </w:r>
      <w:r w:rsidR="00D17CB4" w:rsidRPr="00880CF4">
        <w:rPr>
          <w:rFonts w:asciiTheme="majorHAnsi" w:eastAsia="Arial" w:hAnsiTheme="majorHAnsi" w:cs="Arial"/>
          <w:sz w:val="25"/>
          <w:szCs w:val="25"/>
        </w:rPr>
        <w:t>2)</w:t>
      </w:r>
      <w:r w:rsidR="006A62EA" w:rsidRPr="00880CF4">
        <w:rPr>
          <w:rFonts w:asciiTheme="majorHAnsi" w:eastAsia="Arial" w:hAnsiTheme="majorHAnsi" w:cs="Arial"/>
          <w:sz w:val="25"/>
          <w:szCs w:val="25"/>
        </w:rPr>
        <w:t xml:space="preserve"> que los integrantes de ésta figura no dependan jerárquicamente entre sí</w:t>
      </w:r>
      <w:r w:rsidR="00D17CB4" w:rsidRPr="00880CF4">
        <w:rPr>
          <w:rFonts w:asciiTheme="majorHAnsi" w:eastAsia="Arial" w:hAnsiTheme="majorHAnsi" w:cs="Arial"/>
          <w:sz w:val="25"/>
          <w:szCs w:val="25"/>
        </w:rPr>
        <w:t>; y 3)</w:t>
      </w:r>
      <w:r w:rsidR="006A62EA" w:rsidRPr="00880CF4">
        <w:rPr>
          <w:rFonts w:asciiTheme="majorHAnsi" w:eastAsia="Arial" w:hAnsiTheme="majorHAnsi" w:cs="Arial"/>
          <w:sz w:val="25"/>
          <w:szCs w:val="25"/>
        </w:rPr>
        <w:t xml:space="preserve"> no pu</w:t>
      </w:r>
      <w:r w:rsidR="00D17CB4" w:rsidRPr="00880CF4">
        <w:rPr>
          <w:rFonts w:asciiTheme="majorHAnsi" w:eastAsia="Arial" w:hAnsiTheme="majorHAnsi" w:cs="Arial"/>
          <w:sz w:val="25"/>
          <w:szCs w:val="25"/>
        </w:rPr>
        <w:t>eden reunirse</w:t>
      </w:r>
      <w:r w:rsidR="006A62EA" w:rsidRPr="00880CF4">
        <w:rPr>
          <w:rFonts w:asciiTheme="majorHAnsi" w:eastAsia="Arial" w:hAnsiTheme="majorHAnsi" w:cs="Arial"/>
          <w:sz w:val="25"/>
          <w:szCs w:val="25"/>
        </w:rPr>
        <w:t xml:space="preserve"> 2 o más de estos integrantes en u</w:t>
      </w:r>
      <w:r w:rsidR="00F50EA0" w:rsidRPr="00880CF4">
        <w:rPr>
          <w:rFonts w:asciiTheme="majorHAnsi" w:eastAsia="Arial" w:hAnsiTheme="majorHAnsi" w:cs="Arial"/>
          <w:sz w:val="25"/>
          <w:szCs w:val="25"/>
        </w:rPr>
        <w:t>na sola persona.</w:t>
      </w:r>
    </w:p>
    <w:p w:rsidR="00F50EA0" w:rsidRPr="00880CF4" w:rsidRDefault="00F50EA0" w:rsidP="00C512CF">
      <w:pPr>
        <w:spacing w:after="0" w:line="240" w:lineRule="auto"/>
        <w:jc w:val="both"/>
        <w:rPr>
          <w:rFonts w:asciiTheme="majorHAnsi" w:eastAsia="Arial" w:hAnsiTheme="majorHAnsi" w:cs="Arial"/>
          <w:b/>
          <w:sz w:val="25"/>
          <w:szCs w:val="25"/>
        </w:rPr>
      </w:pPr>
    </w:p>
    <w:p w:rsidR="00F50EA0" w:rsidRPr="00880CF4" w:rsidRDefault="003263D2" w:rsidP="00C512CF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sz w:val="25"/>
          <w:szCs w:val="25"/>
        </w:rPr>
        <w:t>La consideración de los Comités de Transparencia</w:t>
      </w:r>
      <w:r w:rsidR="00D17CB4" w:rsidRPr="00880CF4">
        <w:rPr>
          <w:rFonts w:asciiTheme="majorHAnsi" w:eastAsia="Arial" w:hAnsiTheme="majorHAnsi" w:cs="Arial"/>
          <w:sz w:val="25"/>
          <w:szCs w:val="25"/>
        </w:rPr>
        <w:t xml:space="preserve"> dentro de la Ley general de transparencia</w:t>
      </w:r>
      <w:r w:rsidRPr="00880CF4">
        <w:rPr>
          <w:rFonts w:asciiTheme="majorHAnsi" w:eastAsia="Arial" w:hAnsiTheme="majorHAnsi" w:cs="Arial"/>
          <w:sz w:val="25"/>
          <w:szCs w:val="25"/>
        </w:rPr>
        <w:t xml:space="preserve">, </w:t>
      </w:r>
      <w:r w:rsidR="00D17CB4" w:rsidRPr="00880CF4">
        <w:rPr>
          <w:rFonts w:asciiTheme="majorHAnsi" w:eastAsia="Arial" w:hAnsiTheme="majorHAnsi" w:cs="Arial"/>
          <w:sz w:val="25"/>
          <w:szCs w:val="25"/>
        </w:rPr>
        <w:t xml:space="preserve">surge de la necesidad de contar con estructuras institucionales dentro de los entes públicos, responsables de posibilitar el ejercicio pleno y efectivo del derecho humano a la información, a través del ejercicio de las atribuciones establecidas en el </w:t>
      </w:r>
      <w:r w:rsidR="00D17CB4" w:rsidRPr="00880CF4">
        <w:rPr>
          <w:rFonts w:asciiTheme="majorHAnsi" w:eastAsia="Arial" w:hAnsiTheme="majorHAnsi" w:cs="Arial"/>
          <w:sz w:val="25"/>
          <w:szCs w:val="25"/>
        </w:rPr>
        <w:lastRenderedPageBreak/>
        <w:t>artículo 44 de la Ley general de transparenci</w:t>
      </w:r>
      <w:r w:rsidR="00F30ADF" w:rsidRPr="00880CF4">
        <w:rPr>
          <w:rFonts w:asciiTheme="majorHAnsi" w:eastAsia="Arial" w:hAnsiTheme="majorHAnsi" w:cs="Arial"/>
          <w:sz w:val="25"/>
          <w:szCs w:val="25"/>
        </w:rPr>
        <w:t>a; y que las determinaciones en materia de ampliación de plazo, inexistencia de información y clasificación de información no sean determinadas por las áreas de los sujetos obligados.</w:t>
      </w:r>
    </w:p>
    <w:p w:rsidR="00F30ADF" w:rsidRPr="00880CF4" w:rsidRDefault="00F30ADF" w:rsidP="00C512CF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F30ADF" w:rsidRPr="00880CF4" w:rsidRDefault="00F30ADF" w:rsidP="00C512CF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sz w:val="25"/>
          <w:szCs w:val="25"/>
        </w:rPr>
        <w:t xml:space="preserve">Los Comités de Transparencia tienen 2 objetivos fundamentales: 1) </w:t>
      </w:r>
      <w:r w:rsidR="00E355E0" w:rsidRPr="00880CF4">
        <w:rPr>
          <w:rFonts w:asciiTheme="majorHAnsi" w:eastAsia="Arial" w:hAnsiTheme="majorHAnsi" w:cs="Arial"/>
          <w:sz w:val="25"/>
          <w:szCs w:val="25"/>
        </w:rPr>
        <w:t>brindar confianza y certeza a los solicitantes de la información</w:t>
      </w:r>
      <w:r w:rsidR="00CA156D" w:rsidRPr="00880CF4">
        <w:rPr>
          <w:rFonts w:asciiTheme="majorHAnsi" w:eastAsia="Arial" w:hAnsiTheme="majorHAnsi" w:cs="Arial"/>
          <w:sz w:val="25"/>
          <w:szCs w:val="25"/>
        </w:rPr>
        <w:t>,</w:t>
      </w:r>
      <w:r w:rsidR="00E355E0" w:rsidRPr="00880CF4">
        <w:rPr>
          <w:rFonts w:asciiTheme="majorHAnsi" w:eastAsia="Arial" w:hAnsiTheme="majorHAnsi" w:cs="Arial"/>
          <w:sz w:val="25"/>
          <w:szCs w:val="25"/>
        </w:rPr>
        <w:t xml:space="preserve"> de que la información solicitada se les proveerá de manera pronta y completa, en los casos en los que así proceda; y 2) establecer medios de control dentro de los propios sujetos obligados, toda vez que la supervisión y evaluación que el Comité de Transparencia ejerza</w:t>
      </w:r>
      <w:r w:rsidR="00CA156D" w:rsidRPr="00880CF4">
        <w:rPr>
          <w:rFonts w:asciiTheme="majorHAnsi" w:eastAsia="Arial" w:hAnsiTheme="majorHAnsi" w:cs="Arial"/>
          <w:sz w:val="25"/>
          <w:szCs w:val="25"/>
        </w:rPr>
        <w:t>,</w:t>
      </w:r>
      <w:r w:rsidR="00E355E0" w:rsidRPr="00880CF4">
        <w:rPr>
          <w:rFonts w:asciiTheme="majorHAnsi" w:eastAsia="Arial" w:hAnsiTheme="majorHAnsi" w:cs="Arial"/>
          <w:sz w:val="25"/>
          <w:szCs w:val="25"/>
        </w:rPr>
        <w:t xml:space="preserve"> evitará riesgos y disminuirá las limitaciones injustificadas o desproporcionadas de acceso a la información, </w:t>
      </w:r>
      <w:r w:rsidR="00CA156D" w:rsidRPr="00880CF4">
        <w:rPr>
          <w:rFonts w:asciiTheme="majorHAnsi" w:eastAsia="Arial" w:hAnsiTheme="majorHAnsi" w:cs="Arial"/>
          <w:sz w:val="25"/>
          <w:szCs w:val="25"/>
        </w:rPr>
        <w:t>permitiendo</w:t>
      </w:r>
      <w:r w:rsidR="00E355E0" w:rsidRPr="00880CF4">
        <w:rPr>
          <w:rFonts w:asciiTheme="majorHAnsi" w:eastAsia="Arial" w:hAnsiTheme="majorHAnsi" w:cs="Arial"/>
          <w:sz w:val="25"/>
          <w:szCs w:val="25"/>
        </w:rPr>
        <w:t xml:space="preserve"> que los procedimientos y las gestiones </w:t>
      </w:r>
      <w:r w:rsidR="00CA156D" w:rsidRPr="00880CF4">
        <w:rPr>
          <w:rFonts w:asciiTheme="majorHAnsi" w:eastAsia="Arial" w:hAnsiTheme="majorHAnsi" w:cs="Arial"/>
          <w:sz w:val="25"/>
          <w:szCs w:val="25"/>
        </w:rPr>
        <w:t>que se realicen</w:t>
      </w:r>
      <w:r w:rsidR="00E355E0" w:rsidRPr="00880CF4">
        <w:rPr>
          <w:rFonts w:asciiTheme="majorHAnsi" w:eastAsia="Arial" w:hAnsiTheme="majorHAnsi" w:cs="Arial"/>
          <w:sz w:val="25"/>
          <w:szCs w:val="25"/>
        </w:rPr>
        <w:t xml:space="preserve"> sigan un patrón de homologación conocido, confiable y transparente</w:t>
      </w:r>
      <w:r w:rsidR="00CA156D" w:rsidRPr="00880CF4">
        <w:rPr>
          <w:rFonts w:asciiTheme="majorHAnsi" w:eastAsia="Arial" w:hAnsiTheme="majorHAnsi" w:cs="Arial"/>
          <w:sz w:val="25"/>
          <w:szCs w:val="25"/>
        </w:rPr>
        <w:t>.</w:t>
      </w:r>
    </w:p>
    <w:p w:rsidR="00CA156D" w:rsidRPr="00880CF4" w:rsidRDefault="00CA156D" w:rsidP="00C512CF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CA156D" w:rsidRPr="00880CF4" w:rsidRDefault="0043447C" w:rsidP="00C512CF">
      <w:pPr>
        <w:spacing w:after="0" w:line="240" w:lineRule="auto"/>
        <w:jc w:val="both"/>
        <w:rPr>
          <w:rFonts w:asciiTheme="majorHAnsi" w:eastAsia="Arial" w:hAnsiTheme="majorHAnsi" w:cs="Arial"/>
          <w:iCs/>
          <w:sz w:val="25"/>
          <w:szCs w:val="25"/>
        </w:rPr>
      </w:pPr>
      <w:r w:rsidRPr="00880CF4">
        <w:rPr>
          <w:rFonts w:asciiTheme="majorHAnsi" w:eastAsia="Arial" w:hAnsiTheme="majorHAnsi" w:cs="Arial"/>
          <w:sz w:val="25"/>
          <w:szCs w:val="25"/>
        </w:rPr>
        <w:t xml:space="preserve">Dentro de las funciones dispuestas para el Comité de Transparencia, </w:t>
      </w:r>
      <w:r w:rsidR="004F24A3" w:rsidRPr="00880CF4">
        <w:rPr>
          <w:rFonts w:asciiTheme="majorHAnsi" w:eastAsia="Arial" w:hAnsiTheme="majorHAnsi" w:cs="Arial"/>
          <w:sz w:val="25"/>
          <w:szCs w:val="25"/>
        </w:rPr>
        <w:t xml:space="preserve">en el artículo 44 fracción II de la citada Ley general, se les otorgó las de confirmar, modificar o revocar las determinaciones que en materia </w:t>
      </w:r>
      <w:r w:rsidR="004F24A3" w:rsidRPr="00880CF4">
        <w:rPr>
          <w:rFonts w:asciiTheme="majorHAnsi" w:eastAsia="Arial" w:hAnsiTheme="majorHAnsi" w:cs="Arial"/>
          <w:iCs/>
          <w:sz w:val="25"/>
          <w:szCs w:val="25"/>
        </w:rPr>
        <w:t>de ampliación del plazo de respuesta, clasificación de la información y declaración de inexistencia o de incompetencia realicen los titulares de las Áreas de los sujetos obligados; tratándose de las declaraciones de inexistencia, el Comité deberá observar lo dispuesto en el artículo 138 de la multicitada Ley general.</w:t>
      </w:r>
    </w:p>
    <w:p w:rsidR="004F24A3" w:rsidRPr="00880CF4" w:rsidRDefault="004F24A3" w:rsidP="00C512CF">
      <w:pPr>
        <w:spacing w:after="0" w:line="240" w:lineRule="auto"/>
        <w:jc w:val="both"/>
        <w:rPr>
          <w:rFonts w:asciiTheme="majorHAnsi" w:eastAsia="Arial" w:hAnsiTheme="majorHAnsi" w:cs="Arial"/>
          <w:iCs/>
          <w:sz w:val="25"/>
          <w:szCs w:val="25"/>
        </w:rPr>
      </w:pPr>
    </w:p>
    <w:p w:rsidR="004F24A3" w:rsidRPr="00880CF4" w:rsidRDefault="00820CC9" w:rsidP="00C512CF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sz w:val="25"/>
          <w:szCs w:val="25"/>
        </w:rPr>
        <w:t>En caso de que la información solicitada no exista en los archivos del sujeto obligado, el Comité de Transparencia debe: a) Analizar el caso y tomar las medidas necesarias para localizar la información; b) Expedir una resolución que confirme la inexistencia del documento requerido; c) Ordenará que se genere o se reponga la información en caso de que ésta debiera haber existido por ser parte de las funciones, facultades o competencias del sujeto obligado o que en caso de que sea fehacientemente imposible generarla, exponga de forma fundada y motivada, las razones por las cuales no ejerció dichas facultades, competencias o funciones; y d) Notificará al órgano interno de control o a la unidad administrativa que ejerza las funciones correspondientes, para que inicie el procedimiento de responsabilidad si fuere el caso.</w:t>
      </w:r>
    </w:p>
    <w:p w:rsidR="004F24A3" w:rsidRPr="00880CF4" w:rsidRDefault="004F24A3" w:rsidP="00C512CF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4F24A3" w:rsidRPr="00880CF4" w:rsidRDefault="00820CC9" w:rsidP="00C512CF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sz w:val="25"/>
          <w:szCs w:val="25"/>
        </w:rPr>
        <w:t>Lo anteriormente referido, adquiere relevancia toda vez que a partir de la entrada en vigor de la Ley general de transparencia y la diversa estatal</w:t>
      </w:r>
      <w:r w:rsidR="0045279F" w:rsidRPr="00880CF4">
        <w:rPr>
          <w:rFonts w:asciiTheme="majorHAnsi" w:eastAsia="Arial" w:hAnsiTheme="majorHAnsi" w:cs="Arial"/>
          <w:sz w:val="25"/>
          <w:szCs w:val="25"/>
        </w:rPr>
        <w:t xml:space="preserve">, </w:t>
      </w:r>
      <w:r w:rsidRPr="00880CF4">
        <w:rPr>
          <w:rFonts w:asciiTheme="majorHAnsi" w:eastAsia="Arial" w:hAnsiTheme="majorHAnsi" w:cs="Arial"/>
          <w:sz w:val="25"/>
          <w:szCs w:val="25"/>
        </w:rPr>
        <w:t xml:space="preserve">Ley de Transparencia y Acceso a la Información Pública </w:t>
      </w:r>
      <w:r w:rsidR="0045279F" w:rsidRPr="00880CF4">
        <w:rPr>
          <w:rFonts w:asciiTheme="majorHAnsi" w:eastAsia="Arial" w:hAnsiTheme="majorHAnsi" w:cs="Arial"/>
          <w:sz w:val="25"/>
          <w:szCs w:val="25"/>
        </w:rPr>
        <w:t>del Estado de Yucatán; el Comité de Transparencia p</w:t>
      </w:r>
      <w:r w:rsidR="00F04502" w:rsidRPr="00880CF4">
        <w:rPr>
          <w:rFonts w:asciiTheme="majorHAnsi" w:eastAsia="Arial" w:hAnsiTheme="majorHAnsi" w:cs="Arial"/>
          <w:sz w:val="25"/>
          <w:szCs w:val="25"/>
        </w:rPr>
        <w:t>uede</w:t>
      </w:r>
      <w:r w:rsidR="0045279F" w:rsidRPr="00880CF4">
        <w:rPr>
          <w:rFonts w:asciiTheme="majorHAnsi" w:eastAsia="Arial" w:hAnsiTheme="majorHAnsi" w:cs="Arial"/>
          <w:sz w:val="25"/>
          <w:szCs w:val="25"/>
        </w:rPr>
        <w:t xml:space="preserve"> obligar a generar la información, a la unidad que declar</w:t>
      </w:r>
      <w:r w:rsidR="00F04502" w:rsidRPr="00880CF4">
        <w:rPr>
          <w:rFonts w:asciiTheme="majorHAnsi" w:eastAsia="Arial" w:hAnsiTheme="majorHAnsi" w:cs="Arial"/>
          <w:sz w:val="25"/>
          <w:szCs w:val="25"/>
        </w:rPr>
        <w:t>e</w:t>
      </w:r>
      <w:r w:rsidR="0045279F" w:rsidRPr="00880CF4">
        <w:rPr>
          <w:rFonts w:asciiTheme="majorHAnsi" w:eastAsia="Arial" w:hAnsiTheme="majorHAnsi" w:cs="Arial"/>
          <w:sz w:val="25"/>
          <w:szCs w:val="25"/>
        </w:rPr>
        <w:t xml:space="preserve"> su inexistencia</w:t>
      </w:r>
      <w:r w:rsidR="00F04502" w:rsidRPr="00880CF4">
        <w:rPr>
          <w:rFonts w:asciiTheme="majorHAnsi" w:eastAsia="Arial" w:hAnsiTheme="majorHAnsi" w:cs="Arial"/>
          <w:sz w:val="25"/>
          <w:szCs w:val="25"/>
        </w:rPr>
        <w:t>, en este mismo sentido</w:t>
      </w:r>
      <w:r w:rsidR="0045279F" w:rsidRPr="00880CF4">
        <w:rPr>
          <w:rFonts w:asciiTheme="majorHAnsi" w:eastAsia="Arial" w:hAnsiTheme="majorHAnsi" w:cs="Arial"/>
          <w:sz w:val="25"/>
          <w:szCs w:val="25"/>
        </w:rPr>
        <w:t xml:space="preserve"> podrá dar vista al órgano interno de control o su equivalente</w:t>
      </w:r>
      <w:r w:rsidR="00F04502" w:rsidRPr="00880CF4">
        <w:rPr>
          <w:rFonts w:asciiTheme="majorHAnsi" w:eastAsia="Arial" w:hAnsiTheme="majorHAnsi" w:cs="Arial"/>
          <w:sz w:val="25"/>
          <w:szCs w:val="25"/>
        </w:rPr>
        <w:t>, para que éste inicie el procedimiento disciplinario</w:t>
      </w:r>
      <w:r w:rsidR="00282944" w:rsidRPr="00880CF4">
        <w:rPr>
          <w:rFonts w:asciiTheme="majorHAnsi" w:eastAsia="Arial" w:hAnsiTheme="majorHAnsi" w:cs="Arial"/>
          <w:sz w:val="25"/>
          <w:szCs w:val="25"/>
        </w:rPr>
        <w:t>.</w:t>
      </w:r>
    </w:p>
    <w:p w:rsidR="00282944" w:rsidRPr="00880CF4" w:rsidRDefault="00282944" w:rsidP="00C512CF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282944" w:rsidRPr="00880CF4" w:rsidRDefault="00282944" w:rsidP="00C512CF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sz w:val="25"/>
          <w:szCs w:val="25"/>
        </w:rPr>
        <w:lastRenderedPageBreak/>
        <w:t xml:space="preserve">En atención a lo anterior resulta pertinente, que este Instituto Estatal de </w:t>
      </w:r>
      <w:r w:rsidR="00EE2723">
        <w:rPr>
          <w:rFonts w:asciiTheme="majorHAnsi" w:eastAsia="Arial" w:hAnsiTheme="majorHAnsi" w:cs="Arial"/>
          <w:sz w:val="25"/>
          <w:szCs w:val="25"/>
        </w:rPr>
        <w:t xml:space="preserve">Transparencia, </w:t>
      </w:r>
      <w:r w:rsidRPr="00880CF4">
        <w:rPr>
          <w:rFonts w:asciiTheme="majorHAnsi" w:eastAsia="Arial" w:hAnsiTheme="majorHAnsi" w:cs="Arial"/>
          <w:sz w:val="25"/>
          <w:szCs w:val="25"/>
        </w:rPr>
        <w:t>Acceso a la Información Pública</w:t>
      </w:r>
      <w:r w:rsidR="00EE2723">
        <w:rPr>
          <w:rFonts w:asciiTheme="majorHAnsi" w:eastAsia="Arial" w:hAnsiTheme="majorHAnsi" w:cs="Arial"/>
          <w:sz w:val="25"/>
          <w:szCs w:val="25"/>
        </w:rPr>
        <w:t xml:space="preserve"> y Protección de Datos Personales</w:t>
      </w:r>
      <w:r w:rsidRPr="00880CF4">
        <w:rPr>
          <w:rFonts w:asciiTheme="majorHAnsi" w:eastAsia="Arial" w:hAnsiTheme="majorHAnsi" w:cs="Arial"/>
          <w:sz w:val="25"/>
          <w:szCs w:val="25"/>
        </w:rPr>
        <w:t xml:space="preserve">, fije postura respecto a la forma idónea de cómo se deben integrar los Comités de Transparencia, para efecto de que éstos se encuentren en condiciones </w:t>
      </w:r>
      <w:r w:rsidR="00FF2AFC" w:rsidRPr="00880CF4">
        <w:rPr>
          <w:rFonts w:asciiTheme="majorHAnsi" w:eastAsia="Arial" w:hAnsiTheme="majorHAnsi" w:cs="Arial"/>
          <w:sz w:val="25"/>
          <w:szCs w:val="25"/>
        </w:rPr>
        <w:t xml:space="preserve">óptimas de </w:t>
      </w:r>
      <w:r w:rsidR="00DE66C8" w:rsidRPr="00880CF4">
        <w:rPr>
          <w:rFonts w:asciiTheme="majorHAnsi" w:eastAsia="Arial" w:hAnsiTheme="majorHAnsi" w:cs="Arial"/>
          <w:sz w:val="25"/>
          <w:szCs w:val="25"/>
        </w:rPr>
        <w:t>cumplir con sus atribuciones y así garantizar el ejercicio pleno y efectivo de los derechos humanos de acceso a la información pública</w:t>
      </w:r>
      <w:r w:rsidR="004A5CE7" w:rsidRPr="00880CF4">
        <w:rPr>
          <w:rFonts w:asciiTheme="majorHAnsi" w:eastAsia="Arial" w:hAnsiTheme="majorHAnsi" w:cs="Arial"/>
          <w:sz w:val="25"/>
          <w:szCs w:val="25"/>
        </w:rPr>
        <w:t xml:space="preserve"> y de protección de datos personales.</w:t>
      </w:r>
    </w:p>
    <w:p w:rsidR="004A5CE7" w:rsidRPr="00880CF4" w:rsidRDefault="004A5CE7" w:rsidP="00C512CF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4A5CE7" w:rsidRPr="00880CF4" w:rsidRDefault="004A5CE7" w:rsidP="00C512CF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sz w:val="25"/>
          <w:szCs w:val="25"/>
        </w:rPr>
        <w:t>De conformidad con tales consideraciones, este órgano garante estima pertinente</w:t>
      </w:r>
      <w:r w:rsidR="007751C5" w:rsidRPr="00880CF4">
        <w:rPr>
          <w:rFonts w:asciiTheme="majorHAnsi" w:eastAsia="Arial" w:hAnsiTheme="majorHAnsi" w:cs="Arial"/>
          <w:sz w:val="25"/>
          <w:szCs w:val="25"/>
        </w:rPr>
        <w:t xml:space="preserve"> establecer un criterio orientador</w:t>
      </w:r>
      <w:r w:rsidRPr="00880CF4">
        <w:rPr>
          <w:rFonts w:asciiTheme="majorHAnsi" w:eastAsia="Arial" w:hAnsiTheme="majorHAnsi" w:cs="Arial"/>
          <w:sz w:val="25"/>
          <w:szCs w:val="25"/>
        </w:rPr>
        <w:t xml:space="preserve"> </w:t>
      </w:r>
      <w:r w:rsidR="007751C5" w:rsidRPr="00880CF4">
        <w:rPr>
          <w:rFonts w:asciiTheme="majorHAnsi" w:eastAsia="Arial" w:hAnsiTheme="majorHAnsi" w:cs="Arial"/>
          <w:sz w:val="25"/>
          <w:szCs w:val="25"/>
        </w:rPr>
        <w:t>para los sujetos obligados del Estado de Yucatán</w:t>
      </w:r>
      <w:r w:rsidR="00C40023" w:rsidRPr="00880CF4">
        <w:rPr>
          <w:rFonts w:asciiTheme="majorHAnsi" w:eastAsia="Arial" w:hAnsiTheme="majorHAnsi" w:cs="Arial"/>
          <w:sz w:val="25"/>
          <w:szCs w:val="25"/>
        </w:rPr>
        <w:t xml:space="preserve">, </w:t>
      </w:r>
      <w:r w:rsidR="00C40023" w:rsidRPr="00880CF4">
        <w:rPr>
          <w:rFonts w:asciiTheme="majorHAnsi" w:eastAsia="Arial" w:hAnsiTheme="majorHAnsi" w:cs="Arial"/>
          <w:b/>
          <w:sz w:val="25"/>
          <w:szCs w:val="25"/>
        </w:rPr>
        <w:t>que tengan calidad de entes gubernamentales</w:t>
      </w:r>
      <w:r w:rsidR="007751C5" w:rsidRPr="00880CF4">
        <w:rPr>
          <w:rFonts w:asciiTheme="majorHAnsi" w:eastAsia="Arial" w:hAnsiTheme="majorHAnsi" w:cs="Arial"/>
          <w:sz w:val="25"/>
          <w:szCs w:val="25"/>
        </w:rPr>
        <w:t xml:space="preserve">, </w:t>
      </w:r>
      <w:r w:rsidR="000A563C" w:rsidRPr="00880CF4">
        <w:rPr>
          <w:rFonts w:asciiTheme="majorHAnsi" w:eastAsia="Arial" w:hAnsiTheme="majorHAnsi" w:cs="Arial"/>
          <w:sz w:val="25"/>
          <w:szCs w:val="25"/>
        </w:rPr>
        <w:t xml:space="preserve">para que al integrar sus </w:t>
      </w:r>
      <w:r w:rsidR="007751C5" w:rsidRPr="00880CF4">
        <w:rPr>
          <w:rFonts w:asciiTheme="majorHAnsi" w:eastAsia="Arial" w:hAnsiTheme="majorHAnsi" w:cs="Arial"/>
          <w:sz w:val="25"/>
          <w:szCs w:val="25"/>
        </w:rPr>
        <w:t>Comités de Transparencia</w:t>
      </w:r>
      <w:r w:rsidR="000A563C" w:rsidRPr="00880CF4">
        <w:rPr>
          <w:rFonts w:asciiTheme="majorHAnsi" w:eastAsia="Arial" w:hAnsiTheme="majorHAnsi" w:cs="Arial"/>
          <w:sz w:val="25"/>
          <w:szCs w:val="25"/>
        </w:rPr>
        <w:t>, preferentemente éstos sean integrados</w:t>
      </w:r>
      <w:r w:rsidR="007751C5" w:rsidRPr="00880CF4">
        <w:rPr>
          <w:rFonts w:asciiTheme="majorHAnsi" w:eastAsia="Arial" w:hAnsiTheme="majorHAnsi" w:cs="Arial"/>
          <w:sz w:val="25"/>
          <w:szCs w:val="25"/>
        </w:rPr>
        <w:t xml:space="preserve"> con</w:t>
      </w:r>
      <w:r w:rsidRPr="00880CF4">
        <w:rPr>
          <w:rFonts w:asciiTheme="majorHAnsi" w:eastAsia="Arial" w:hAnsiTheme="majorHAnsi" w:cs="Arial"/>
          <w:sz w:val="25"/>
          <w:szCs w:val="25"/>
        </w:rPr>
        <w:t xml:space="preserve"> los titulares de las áreas jurídicas, de las áreas de administración y finanzas y de las áreas coordinadoras de archivos</w:t>
      </w:r>
      <w:r w:rsidR="000A563C" w:rsidRPr="00880CF4">
        <w:rPr>
          <w:rFonts w:asciiTheme="majorHAnsi" w:eastAsia="Arial" w:hAnsiTheme="majorHAnsi" w:cs="Arial"/>
          <w:sz w:val="25"/>
          <w:szCs w:val="25"/>
        </w:rPr>
        <w:t xml:space="preserve">, observando en todo momento, las restricciones consideradas en el artículo 43 de la Ley general de transparencia; </w:t>
      </w:r>
      <w:r w:rsidR="00E4754B" w:rsidRPr="00880CF4">
        <w:rPr>
          <w:rFonts w:asciiTheme="majorHAnsi" w:eastAsia="Arial" w:hAnsiTheme="majorHAnsi" w:cs="Arial"/>
          <w:sz w:val="25"/>
          <w:szCs w:val="25"/>
        </w:rPr>
        <w:t>dicha orientación obedece a que por un principio de especialización las áreas jurídicas podrán brindar certidumbre respecto a la exacta aplicación de la norma, tratándose de las unidades de administración y finanzas éstas materialmente administran y ejercen los recursos públicos; mientras que las áreas coordinadoras de archivos</w:t>
      </w:r>
      <w:r w:rsidR="00A4030D" w:rsidRPr="00880CF4">
        <w:rPr>
          <w:rFonts w:asciiTheme="majorHAnsi" w:eastAsia="Arial" w:hAnsiTheme="majorHAnsi" w:cs="Arial"/>
          <w:sz w:val="25"/>
          <w:szCs w:val="25"/>
        </w:rPr>
        <w:t>,</w:t>
      </w:r>
      <w:r w:rsidR="009470E6" w:rsidRPr="00880CF4">
        <w:rPr>
          <w:rFonts w:asciiTheme="majorHAnsi" w:eastAsia="Arial" w:hAnsiTheme="majorHAnsi" w:cs="Arial"/>
          <w:sz w:val="25"/>
          <w:szCs w:val="25"/>
        </w:rPr>
        <w:t xml:space="preserve"> adquirieron una gran relevancia a partir de la reforma constitucional del 2014, en el que se impone la obligación </w:t>
      </w:r>
      <w:r w:rsidR="0066647D" w:rsidRPr="00880CF4">
        <w:rPr>
          <w:rFonts w:asciiTheme="majorHAnsi" w:eastAsia="Arial" w:hAnsiTheme="majorHAnsi" w:cs="Arial"/>
          <w:sz w:val="25"/>
          <w:szCs w:val="25"/>
        </w:rPr>
        <w:t>a los sujetos obligados de preservar sus documentos en archivos administrativos actualizados; ya que se presupone que sin archivos, no hay un efectivo acceso a la información pública.</w:t>
      </w:r>
    </w:p>
    <w:p w:rsidR="000A563C" w:rsidRPr="00880CF4" w:rsidRDefault="000A563C" w:rsidP="00C512CF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03219F" w:rsidRPr="00880CF4" w:rsidRDefault="00C671AF" w:rsidP="00C512CF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sz w:val="25"/>
          <w:szCs w:val="25"/>
        </w:rPr>
        <w:t>De igual manera</w:t>
      </w:r>
      <w:r w:rsidR="00CB234B" w:rsidRPr="00880CF4">
        <w:rPr>
          <w:rFonts w:asciiTheme="majorHAnsi" w:eastAsia="Arial" w:hAnsiTheme="majorHAnsi" w:cs="Arial"/>
          <w:sz w:val="25"/>
          <w:szCs w:val="25"/>
        </w:rPr>
        <w:t xml:space="preserve"> se recomienda a los sujetos obligados que en la integración de sus comités de Transparencia, consideren y valoren </w:t>
      </w:r>
      <w:r w:rsidRPr="00880CF4">
        <w:rPr>
          <w:rFonts w:asciiTheme="majorHAnsi" w:eastAsia="Arial" w:hAnsiTheme="majorHAnsi" w:cs="Arial"/>
          <w:sz w:val="25"/>
          <w:szCs w:val="25"/>
        </w:rPr>
        <w:t xml:space="preserve">las atribuciones que este órgano colegiado tendrá, toda vez que </w:t>
      </w:r>
      <w:r w:rsidR="00724831" w:rsidRPr="00880CF4">
        <w:rPr>
          <w:rFonts w:asciiTheme="majorHAnsi" w:eastAsia="Arial" w:hAnsiTheme="majorHAnsi" w:cs="Arial"/>
          <w:sz w:val="25"/>
          <w:szCs w:val="25"/>
        </w:rPr>
        <w:t>de dicho órgano dependerá el ejercicio pleno y efectivo de los derechos humanos de acceso a la información pública y de protección de datos personales. Lo anterior adquiere relevancia toda vez que tratándose de inexistencias de información, el Comité de Transparencia podrá notificar al órgano interno de control o a la unidad administrativa que ejerza las funciones correspondientes, para que inicie el procedimiento de responsabilidad si fuere el caso</w:t>
      </w:r>
      <w:r w:rsidR="00334296" w:rsidRPr="00880CF4">
        <w:rPr>
          <w:rFonts w:asciiTheme="majorHAnsi" w:eastAsia="Arial" w:hAnsiTheme="majorHAnsi" w:cs="Arial"/>
          <w:sz w:val="25"/>
          <w:szCs w:val="25"/>
        </w:rPr>
        <w:t>, tal y como fuera referenciado en el presente considerando</w:t>
      </w:r>
      <w:r w:rsidR="00724831" w:rsidRPr="00880CF4">
        <w:rPr>
          <w:rFonts w:asciiTheme="majorHAnsi" w:eastAsia="Arial" w:hAnsiTheme="majorHAnsi" w:cs="Arial"/>
          <w:sz w:val="25"/>
          <w:szCs w:val="25"/>
        </w:rPr>
        <w:t xml:space="preserve">; </w:t>
      </w:r>
      <w:r w:rsidR="00334296" w:rsidRPr="00880CF4">
        <w:rPr>
          <w:rFonts w:asciiTheme="majorHAnsi" w:eastAsia="Arial" w:hAnsiTheme="majorHAnsi" w:cs="Arial"/>
          <w:sz w:val="25"/>
          <w:szCs w:val="25"/>
        </w:rPr>
        <w:t>en razón de lo anterior, se sugiere que los órganos de control interno, no presidan los Comités de Transparencia</w:t>
      </w:r>
      <w:r w:rsidR="00F2199D" w:rsidRPr="00880CF4">
        <w:rPr>
          <w:rFonts w:asciiTheme="majorHAnsi" w:eastAsia="Arial" w:hAnsiTheme="majorHAnsi" w:cs="Arial"/>
          <w:sz w:val="25"/>
          <w:szCs w:val="25"/>
        </w:rPr>
        <w:t>, toda vez que</w:t>
      </w:r>
      <w:r w:rsidR="00014ECF">
        <w:rPr>
          <w:rFonts w:asciiTheme="majorHAnsi" w:eastAsia="Arial" w:hAnsiTheme="majorHAnsi" w:cs="Arial"/>
          <w:sz w:val="25"/>
          <w:szCs w:val="25"/>
        </w:rPr>
        <w:t xml:space="preserve"> el</w:t>
      </w:r>
      <w:r w:rsidR="00F2199D" w:rsidRPr="00880CF4">
        <w:rPr>
          <w:rFonts w:asciiTheme="majorHAnsi" w:eastAsia="Arial" w:hAnsiTheme="majorHAnsi" w:cs="Arial"/>
          <w:sz w:val="25"/>
          <w:szCs w:val="25"/>
        </w:rPr>
        <w:t xml:space="preserve"> desempeño de dicha función pudiese menoscabar el </w:t>
      </w:r>
      <w:r w:rsidR="0003628D" w:rsidRPr="00880CF4">
        <w:rPr>
          <w:rFonts w:asciiTheme="majorHAnsi" w:eastAsia="Arial" w:hAnsiTheme="majorHAnsi" w:cs="Arial"/>
          <w:sz w:val="25"/>
          <w:szCs w:val="25"/>
        </w:rPr>
        <w:t>ejercicio de las funciones atribuidas al cargo</w:t>
      </w:r>
      <w:r w:rsidR="00F2199D" w:rsidRPr="00880CF4">
        <w:rPr>
          <w:rFonts w:asciiTheme="majorHAnsi" w:eastAsia="Arial" w:hAnsiTheme="majorHAnsi" w:cs="Arial"/>
          <w:sz w:val="25"/>
          <w:szCs w:val="25"/>
        </w:rPr>
        <w:t xml:space="preserve"> para el que fue</w:t>
      </w:r>
      <w:r w:rsidR="0003628D" w:rsidRPr="00880CF4">
        <w:rPr>
          <w:rFonts w:asciiTheme="majorHAnsi" w:eastAsia="Arial" w:hAnsiTheme="majorHAnsi" w:cs="Arial"/>
          <w:sz w:val="25"/>
          <w:szCs w:val="25"/>
        </w:rPr>
        <w:t>ron</w:t>
      </w:r>
      <w:r w:rsidR="00F2199D" w:rsidRPr="00880CF4">
        <w:rPr>
          <w:rFonts w:asciiTheme="majorHAnsi" w:eastAsia="Arial" w:hAnsiTheme="majorHAnsi" w:cs="Arial"/>
          <w:sz w:val="25"/>
          <w:szCs w:val="25"/>
        </w:rPr>
        <w:t xml:space="preserve"> des</w:t>
      </w:r>
      <w:r w:rsidR="0003628D" w:rsidRPr="00880CF4">
        <w:rPr>
          <w:rFonts w:asciiTheme="majorHAnsi" w:eastAsia="Arial" w:hAnsiTheme="majorHAnsi" w:cs="Arial"/>
          <w:sz w:val="25"/>
          <w:szCs w:val="25"/>
        </w:rPr>
        <w:t>ignados.</w:t>
      </w:r>
    </w:p>
    <w:p w:rsidR="00724831" w:rsidRPr="00880CF4" w:rsidRDefault="00724831" w:rsidP="00C512CF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C10F91" w:rsidRPr="00880CF4" w:rsidRDefault="00C10F91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sz w:val="25"/>
          <w:szCs w:val="25"/>
        </w:rPr>
        <w:t xml:space="preserve">En tal razón, </w:t>
      </w:r>
      <w:r w:rsidR="00334296" w:rsidRPr="00880CF4">
        <w:rPr>
          <w:rFonts w:asciiTheme="majorHAnsi" w:eastAsia="Arial" w:hAnsiTheme="majorHAnsi" w:cs="Arial"/>
          <w:sz w:val="25"/>
          <w:szCs w:val="25"/>
        </w:rPr>
        <w:t>se recomienda</w:t>
      </w:r>
      <w:r w:rsidR="00AF3700">
        <w:rPr>
          <w:rFonts w:asciiTheme="majorHAnsi" w:eastAsia="Arial" w:hAnsiTheme="majorHAnsi" w:cs="Arial"/>
          <w:sz w:val="25"/>
          <w:szCs w:val="25"/>
        </w:rPr>
        <w:t xml:space="preserve"> y acuerda</w:t>
      </w:r>
      <w:r w:rsidRPr="00880CF4">
        <w:rPr>
          <w:rFonts w:asciiTheme="majorHAnsi" w:eastAsia="Arial" w:hAnsiTheme="majorHAnsi" w:cs="Arial"/>
          <w:sz w:val="25"/>
          <w:szCs w:val="25"/>
        </w:rPr>
        <w:t>:</w:t>
      </w:r>
    </w:p>
    <w:p w:rsidR="00C10F91" w:rsidRPr="00880CF4" w:rsidRDefault="00C10F91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C10F91" w:rsidRPr="00880CF4" w:rsidRDefault="00C10F91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r w:rsidRPr="00880CF4">
        <w:rPr>
          <w:rFonts w:asciiTheme="majorHAnsi" w:eastAsia="Arial" w:hAnsiTheme="majorHAnsi" w:cs="Arial"/>
          <w:b/>
          <w:sz w:val="25"/>
          <w:szCs w:val="25"/>
        </w:rPr>
        <w:t xml:space="preserve">PRIMERO.- </w:t>
      </w:r>
      <w:r w:rsidR="00F2199D" w:rsidRPr="00880CF4">
        <w:rPr>
          <w:rFonts w:asciiTheme="majorHAnsi" w:eastAsia="Arial" w:hAnsiTheme="majorHAnsi" w:cs="Arial"/>
          <w:sz w:val="25"/>
          <w:szCs w:val="25"/>
        </w:rPr>
        <w:t>A l</w:t>
      </w:r>
      <w:r w:rsidR="00334296" w:rsidRPr="00880CF4">
        <w:rPr>
          <w:rFonts w:asciiTheme="majorHAnsi" w:eastAsia="Arial" w:hAnsiTheme="majorHAnsi" w:cs="Arial"/>
          <w:sz w:val="25"/>
          <w:szCs w:val="25"/>
        </w:rPr>
        <w:t xml:space="preserve">os sujetos obligados del Estado de Yucatán, </w:t>
      </w:r>
      <w:r w:rsidR="00334296" w:rsidRPr="00880CF4">
        <w:rPr>
          <w:rFonts w:asciiTheme="majorHAnsi" w:eastAsia="Arial" w:hAnsiTheme="majorHAnsi" w:cs="Arial"/>
          <w:b/>
          <w:sz w:val="25"/>
          <w:szCs w:val="25"/>
        </w:rPr>
        <w:t xml:space="preserve">que tengan </w:t>
      </w:r>
      <w:r w:rsidR="00F2199D" w:rsidRPr="00880CF4">
        <w:rPr>
          <w:rFonts w:asciiTheme="majorHAnsi" w:eastAsia="Arial" w:hAnsiTheme="majorHAnsi" w:cs="Arial"/>
          <w:b/>
          <w:sz w:val="25"/>
          <w:szCs w:val="25"/>
        </w:rPr>
        <w:t xml:space="preserve">la </w:t>
      </w:r>
      <w:r w:rsidR="00334296" w:rsidRPr="00880CF4">
        <w:rPr>
          <w:rFonts w:asciiTheme="majorHAnsi" w:eastAsia="Arial" w:hAnsiTheme="majorHAnsi" w:cs="Arial"/>
          <w:b/>
          <w:sz w:val="25"/>
          <w:szCs w:val="25"/>
        </w:rPr>
        <w:t>calidad de entes gubernamentales</w:t>
      </w:r>
      <w:r w:rsidR="00334296" w:rsidRPr="00880CF4">
        <w:rPr>
          <w:rFonts w:asciiTheme="majorHAnsi" w:eastAsia="Arial" w:hAnsiTheme="majorHAnsi" w:cs="Arial"/>
          <w:sz w:val="25"/>
          <w:szCs w:val="25"/>
        </w:rPr>
        <w:t xml:space="preserve">, </w:t>
      </w:r>
      <w:r w:rsidR="00F2199D" w:rsidRPr="00880CF4">
        <w:rPr>
          <w:rFonts w:asciiTheme="majorHAnsi" w:eastAsia="Arial" w:hAnsiTheme="majorHAnsi" w:cs="Arial"/>
          <w:sz w:val="25"/>
          <w:szCs w:val="25"/>
        </w:rPr>
        <w:t>integren</w:t>
      </w:r>
      <w:r w:rsidR="00334296" w:rsidRPr="00880CF4">
        <w:rPr>
          <w:rFonts w:asciiTheme="majorHAnsi" w:eastAsia="Arial" w:hAnsiTheme="majorHAnsi" w:cs="Arial"/>
          <w:sz w:val="25"/>
          <w:szCs w:val="25"/>
        </w:rPr>
        <w:t xml:space="preserve"> sus Comités de Transparencia, preferentemente con los </w:t>
      </w:r>
      <w:r w:rsidR="00334296" w:rsidRPr="00880CF4">
        <w:rPr>
          <w:rFonts w:asciiTheme="majorHAnsi" w:eastAsia="Arial" w:hAnsiTheme="majorHAnsi" w:cs="Arial"/>
          <w:sz w:val="25"/>
          <w:szCs w:val="25"/>
        </w:rPr>
        <w:lastRenderedPageBreak/>
        <w:t>titulares de las áreas jurídicas, de las áreas de administración y finanzas y de las áreas coordinadoras de archivos, observando en todo momento, las restricciones consideradas en el artículo 43 de la Ley general de transparencia</w:t>
      </w:r>
      <w:r w:rsidR="00F2199D" w:rsidRPr="00880CF4">
        <w:rPr>
          <w:rFonts w:asciiTheme="majorHAnsi" w:eastAsia="Arial" w:hAnsiTheme="majorHAnsi" w:cs="Arial"/>
          <w:sz w:val="25"/>
          <w:szCs w:val="25"/>
        </w:rPr>
        <w:t>; en este mismo sentido se recomienda que en caso de que el órgano de control interno o sus equivalentes formen parte de los Comités de Transparencia, éstos no sean designados presidentes de dichos órganos colegiados, en términos de lo referido en el considerando SEGUNDO.</w:t>
      </w:r>
    </w:p>
    <w:p w:rsidR="00C10F91" w:rsidRPr="00880CF4" w:rsidRDefault="00C10F91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616330" w:rsidRPr="00880CF4" w:rsidRDefault="0050662C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proofErr w:type="gramStart"/>
      <w:r w:rsidRPr="00880CF4">
        <w:rPr>
          <w:rFonts w:asciiTheme="majorHAnsi" w:eastAsia="Arial" w:hAnsiTheme="majorHAnsi" w:cs="Arial"/>
          <w:b/>
          <w:sz w:val="25"/>
          <w:szCs w:val="25"/>
        </w:rPr>
        <w:t>SEGUNDO.-</w:t>
      </w:r>
      <w:proofErr w:type="gramEnd"/>
      <w:r w:rsidRPr="00880CF4">
        <w:rPr>
          <w:rFonts w:asciiTheme="majorHAnsi" w:eastAsia="Arial" w:hAnsiTheme="majorHAnsi" w:cs="Arial"/>
          <w:b/>
          <w:sz w:val="25"/>
          <w:szCs w:val="25"/>
        </w:rPr>
        <w:t xml:space="preserve"> </w:t>
      </w:r>
      <w:r w:rsidR="00616330" w:rsidRPr="00880CF4">
        <w:rPr>
          <w:rFonts w:asciiTheme="majorHAnsi" w:eastAsia="Arial" w:hAnsiTheme="majorHAnsi" w:cs="Arial"/>
          <w:sz w:val="25"/>
          <w:szCs w:val="25"/>
        </w:rPr>
        <w:t>Notifíquese de manera electrónica a los sujetos obligados</w:t>
      </w:r>
      <w:r w:rsidR="00F2199D" w:rsidRPr="00880CF4">
        <w:rPr>
          <w:rFonts w:asciiTheme="majorHAnsi" w:eastAsia="Arial" w:hAnsiTheme="majorHAnsi" w:cs="Arial"/>
          <w:sz w:val="25"/>
          <w:szCs w:val="25"/>
        </w:rPr>
        <w:t xml:space="preserve"> que tengan la calidad de entes gubernamentales</w:t>
      </w:r>
      <w:r w:rsidR="00616330" w:rsidRPr="00880CF4">
        <w:rPr>
          <w:rFonts w:asciiTheme="majorHAnsi" w:eastAsia="Arial" w:hAnsiTheme="majorHAnsi" w:cs="Arial"/>
          <w:sz w:val="25"/>
          <w:szCs w:val="25"/>
        </w:rPr>
        <w:t>, a través de los correos electrónicos señ</w:t>
      </w:r>
      <w:r w:rsidR="00567B3D" w:rsidRPr="00880CF4">
        <w:rPr>
          <w:rFonts w:asciiTheme="majorHAnsi" w:eastAsia="Arial" w:hAnsiTheme="majorHAnsi" w:cs="Arial"/>
          <w:sz w:val="25"/>
          <w:szCs w:val="25"/>
        </w:rPr>
        <w:t>alados para recibir solicitudes.</w:t>
      </w:r>
    </w:p>
    <w:p w:rsidR="00616330" w:rsidRPr="00880CF4" w:rsidRDefault="00616330" w:rsidP="003209F0">
      <w:pPr>
        <w:spacing w:after="0" w:line="240" w:lineRule="auto"/>
        <w:jc w:val="both"/>
        <w:rPr>
          <w:rFonts w:asciiTheme="majorHAnsi" w:eastAsia="Arial" w:hAnsiTheme="majorHAnsi" w:cs="Arial"/>
          <w:b/>
          <w:sz w:val="25"/>
          <w:szCs w:val="25"/>
        </w:rPr>
      </w:pPr>
    </w:p>
    <w:p w:rsidR="00545E0A" w:rsidRPr="00880CF4" w:rsidRDefault="00F2199D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proofErr w:type="gramStart"/>
      <w:r w:rsidRPr="00880CF4">
        <w:rPr>
          <w:rFonts w:asciiTheme="majorHAnsi" w:eastAsia="Arial" w:hAnsiTheme="majorHAnsi" w:cs="Arial"/>
          <w:b/>
          <w:sz w:val="25"/>
          <w:szCs w:val="25"/>
        </w:rPr>
        <w:t>TERCERO</w:t>
      </w:r>
      <w:r w:rsidR="00567B3D" w:rsidRPr="00880CF4">
        <w:rPr>
          <w:rFonts w:asciiTheme="majorHAnsi" w:eastAsia="Arial" w:hAnsiTheme="majorHAnsi" w:cs="Arial"/>
          <w:b/>
          <w:sz w:val="25"/>
          <w:szCs w:val="25"/>
        </w:rPr>
        <w:t>.-</w:t>
      </w:r>
      <w:proofErr w:type="gramEnd"/>
      <w:r w:rsidR="00567B3D" w:rsidRPr="00880CF4">
        <w:rPr>
          <w:rFonts w:asciiTheme="majorHAnsi" w:eastAsia="Arial" w:hAnsiTheme="majorHAnsi" w:cs="Arial"/>
          <w:b/>
          <w:sz w:val="25"/>
          <w:szCs w:val="25"/>
        </w:rPr>
        <w:t xml:space="preserve"> </w:t>
      </w:r>
      <w:r w:rsidR="00905A05" w:rsidRPr="00880CF4">
        <w:rPr>
          <w:rFonts w:asciiTheme="majorHAnsi" w:eastAsia="Arial" w:hAnsiTheme="majorHAnsi" w:cs="Arial"/>
          <w:sz w:val="25"/>
          <w:szCs w:val="25"/>
        </w:rPr>
        <w:t xml:space="preserve">Publíquese </w:t>
      </w:r>
      <w:r w:rsidR="000414AD" w:rsidRPr="00880CF4">
        <w:rPr>
          <w:rFonts w:asciiTheme="majorHAnsi" w:eastAsia="Arial" w:hAnsiTheme="majorHAnsi" w:cs="Arial"/>
          <w:sz w:val="25"/>
          <w:szCs w:val="25"/>
        </w:rPr>
        <w:t>en el sitio de internet de este órgano garante</w:t>
      </w:r>
      <w:r w:rsidR="0050662C" w:rsidRPr="00880CF4">
        <w:rPr>
          <w:rFonts w:asciiTheme="majorHAnsi" w:eastAsia="Arial" w:hAnsiTheme="majorHAnsi" w:cs="Arial"/>
          <w:sz w:val="25"/>
          <w:szCs w:val="25"/>
        </w:rPr>
        <w:t>.</w:t>
      </w:r>
    </w:p>
    <w:p w:rsidR="0085476E" w:rsidRPr="00880CF4" w:rsidRDefault="0085476E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85476E" w:rsidRDefault="00F2199D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  <w:proofErr w:type="gramStart"/>
      <w:r w:rsidRPr="00880CF4">
        <w:rPr>
          <w:rFonts w:asciiTheme="majorHAnsi" w:eastAsia="Arial" w:hAnsiTheme="majorHAnsi" w:cs="Arial"/>
          <w:b/>
          <w:sz w:val="25"/>
          <w:szCs w:val="25"/>
        </w:rPr>
        <w:t>CUARTO</w:t>
      </w:r>
      <w:r w:rsidR="0085476E" w:rsidRPr="00880CF4">
        <w:rPr>
          <w:rFonts w:asciiTheme="majorHAnsi" w:eastAsia="Arial" w:hAnsiTheme="majorHAnsi" w:cs="Arial"/>
          <w:b/>
          <w:sz w:val="25"/>
          <w:szCs w:val="25"/>
        </w:rPr>
        <w:t>.-</w:t>
      </w:r>
      <w:proofErr w:type="gramEnd"/>
      <w:r w:rsidR="0085476E" w:rsidRPr="00880CF4">
        <w:rPr>
          <w:rFonts w:asciiTheme="majorHAnsi" w:eastAsia="Arial" w:hAnsiTheme="majorHAnsi" w:cs="Arial"/>
          <w:b/>
          <w:sz w:val="25"/>
          <w:szCs w:val="25"/>
        </w:rPr>
        <w:t xml:space="preserve"> </w:t>
      </w:r>
      <w:r w:rsidR="0085476E" w:rsidRPr="00880CF4">
        <w:rPr>
          <w:rFonts w:asciiTheme="majorHAnsi" w:eastAsia="Arial" w:hAnsiTheme="majorHAnsi" w:cs="Arial"/>
          <w:sz w:val="25"/>
          <w:szCs w:val="25"/>
        </w:rPr>
        <w:t>Cúmplase.</w:t>
      </w:r>
    </w:p>
    <w:p w:rsidR="000C58B7" w:rsidRDefault="000C58B7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0C58B7" w:rsidRDefault="000C58B7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0C58B7" w:rsidRDefault="000C58B7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p w:rsidR="000C58B7" w:rsidRPr="00880CF4" w:rsidRDefault="000C58B7" w:rsidP="003209F0">
      <w:pPr>
        <w:spacing w:after="0" w:line="240" w:lineRule="auto"/>
        <w:jc w:val="both"/>
        <w:rPr>
          <w:rFonts w:asciiTheme="majorHAnsi" w:eastAsia="Arial" w:hAnsiTheme="majorHAnsi" w:cs="Arial"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28"/>
      </w:tblGrid>
      <w:tr w:rsidR="007F42DF" w:rsidRPr="007514A8" w:rsidTr="0044045B">
        <w:tc>
          <w:tcPr>
            <w:tcW w:w="8828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306"/>
              <w:gridCol w:w="4306"/>
            </w:tblGrid>
            <w:tr w:rsidR="007F42DF" w:rsidRPr="00880CF4" w:rsidTr="0042281B">
              <w:tc>
                <w:tcPr>
                  <w:tcW w:w="8828" w:type="dxa"/>
                  <w:gridSpan w:val="2"/>
                  <w:shd w:val="clear" w:color="auto" w:fill="auto"/>
                </w:tcPr>
                <w:p w:rsidR="007F42DF" w:rsidRPr="00880CF4" w:rsidRDefault="007F42DF" w:rsidP="007F42DF">
                  <w:pPr>
                    <w:spacing w:after="0" w:line="240" w:lineRule="auto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</w:p>
                <w:p w:rsidR="007F42DF" w:rsidRPr="00880CF4" w:rsidRDefault="00CD6ADD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(Rúbrica)</w:t>
                  </w:r>
                </w:p>
                <w:p w:rsidR="007F42DF" w:rsidRPr="00880CF4" w:rsidRDefault="00C512C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LICDA. MARÍA EUGENIA SANSORES RUZ</w:t>
                  </w: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COMISIONADA PRESIDENTA</w:t>
                  </w:r>
                </w:p>
              </w:tc>
            </w:tr>
            <w:tr w:rsidR="007F42DF" w:rsidRPr="00F87531" w:rsidTr="0042281B">
              <w:tc>
                <w:tcPr>
                  <w:tcW w:w="4414" w:type="dxa"/>
                  <w:shd w:val="clear" w:color="auto" w:fill="auto"/>
                </w:tcPr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CD6ADD" w:rsidRPr="00880CF4" w:rsidRDefault="00CD6ADD" w:rsidP="00CD6AD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(Rúbrica)</w:t>
                  </w:r>
                </w:p>
                <w:p w:rsidR="00C512CF" w:rsidRPr="00880CF4" w:rsidRDefault="00C512CF" w:rsidP="00C512C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LICDA. SUSANA AGUILAR COVARRUBIAS</w:t>
                  </w: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COMISIONADA</w:t>
                  </w:r>
                </w:p>
              </w:tc>
              <w:tc>
                <w:tcPr>
                  <w:tcW w:w="4414" w:type="dxa"/>
                  <w:shd w:val="clear" w:color="auto" w:fill="auto"/>
                </w:tcPr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7F42DF" w:rsidRPr="00880CF4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</w:pPr>
                </w:p>
                <w:p w:rsidR="00CD6ADD" w:rsidRPr="00880CF4" w:rsidRDefault="00CD6ADD" w:rsidP="00CD6ADD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(Rúbrica)</w:t>
                  </w:r>
                </w:p>
                <w:p w:rsidR="007F42DF" w:rsidRPr="00880CF4" w:rsidRDefault="00F2199D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MD</w:t>
                  </w:r>
                  <w:r w:rsidR="007F42DF" w:rsidRPr="00880CF4"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  <w:t>. ALDRIN MARTÍN BRICEÑO CONRADO</w:t>
                  </w:r>
                </w:p>
                <w:p w:rsidR="007F42DF" w:rsidRPr="00F87531" w:rsidRDefault="007F42DF" w:rsidP="007F42DF">
                  <w:pPr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sz w:val="24"/>
                      <w:szCs w:val="24"/>
                    </w:rPr>
                  </w:pPr>
                  <w:r w:rsidRPr="00880CF4">
                    <w:rPr>
                      <w:rFonts w:asciiTheme="majorHAnsi" w:hAnsiTheme="majorHAnsi" w:cstheme="majorHAnsi"/>
                      <w:b/>
                      <w:bCs/>
                      <w:sz w:val="24"/>
                      <w:szCs w:val="24"/>
                    </w:rPr>
                    <w:t>COMISIONADO</w:t>
                  </w:r>
                </w:p>
              </w:tc>
            </w:tr>
          </w:tbl>
          <w:p w:rsidR="007F42DF" w:rsidRDefault="007F42DF" w:rsidP="007F42DF"/>
        </w:tc>
      </w:tr>
    </w:tbl>
    <w:p w:rsidR="00474CE3" w:rsidRPr="007514A8" w:rsidRDefault="00474CE3" w:rsidP="006710A8">
      <w:pPr>
        <w:spacing w:after="0" w:line="240" w:lineRule="auto"/>
        <w:rPr>
          <w:rFonts w:asciiTheme="majorHAnsi" w:hAnsiTheme="majorHAnsi"/>
          <w:b/>
          <w:sz w:val="25"/>
          <w:szCs w:val="25"/>
        </w:rPr>
      </w:pPr>
    </w:p>
    <w:sectPr w:rsidR="00474CE3" w:rsidRPr="007514A8" w:rsidSect="006710A8">
      <w:headerReference w:type="default" r:id="rId8"/>
      <w:footerReference w:type="default" r:id="rId9"/>
      <w:type w:val="continuous"/>
      <w:pgSz w:w="12240" w:h="15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343" w:rsidRDefault="00417343">
      <w:pPr>
        <w:spacing w:after="0" w:line="240" w:lineRule="auto"/>
      </w:pPr>
      <w:r>
        <w:separator/>
      </w:r>
    </w:p>
  </w:endnote>
  <w:endnote w:type="continuationSeparator" w:id="0">
    <w:p w:rsidR="00417343" w:rsidRDefault="0041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1633540"/>
      <w:docPartObj>
        <w:docPartGallery w:val="Page Numbers (Bottom of Page)"/>
        <w:docPartUnique/>
      </w:docPartObj>
    </w:sdtPr>
    <w:sdtEndPr/>
    <w:sdtContent>
      <w:p w:rsidR="002B1365" w:rsidRDefault="001C41FE">
        <w:pPr>
          <w:pStyle w:val="Piedepgina"/>
          <w:jc w:val="right"/>
        </w:pPr>
        <w:r>
          <w:fldChar w:fldCharType="begin"/>
        </w:r>
        <w:r w:rsidR="002B1365">
          <w:instrText xml:space="preserve"> PAGE   \* MERGEFORMAT </w:instrText>
        </w:r>
        <w:r>
          <w:fldChar w:fldCharType="separate"/>
        </w:r>
        <w:r w:rsidR="00DC70A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1365" w:rsidRDefault="002B13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343" w:rsidRDefault="00417343">
      <w:pPr>
        <w:spacing w:after="0" w:line="240" w:lineRule="auto"/>
      </w:pPr>
      <w:r>
        <w:separator/>
      </w:r>
    </w:p>
  </w:footnote>
  <w:footnote w:type="continuationSeparator" w:id="0">
    <w:p w:rsidR="00417343" w:rsidRDefault="0041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365" w:rsidRDefault="002B1365">
    <w:pPr>
      <w:pStyle w:val="Encabezado"/>
    </w:pPr>
    <w:r>
      <w:rPr>
        <w:noProof/>
        <w:lang w:eastAsia="es-MX"/>
      </w:rPr>
      <w:drawing>
        <wp:inline distT="0" distB="0" distL="0" distR="0">
          <wp:extent cx="5612130" cy="9442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INAIP-01 Nue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B1365" w:rsidRDefault="002B13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674A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C18FE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77F1F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829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3CEE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F7C4C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E2C0F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76C9F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D1A3B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6784C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53FE6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2BB0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77855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C3766"/>
    <w:multiLevelType w:val="hybridMultilevel"/>
    <w:tmpl w:val="441A0F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B73234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9D22D6"/>
    <w:multiLevelType w:val="hybridMultilevel"/>
    <w:tmpl w:val="4984D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B37A0"/>
    <w:multiLevelType w:val="hybridMultilevel"/>
    <w:tmpl w:val="560EE4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2E5603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E32AE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72C22"/>
    <w:multiLevelType w:val="hybridMultilevel"/>
    <w:tmpl w:val="BA24A8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77E98"/>
    <w:multiLevelType w:val="hybridMultilevel"/>
    <w:tmpl w:val="4984D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C75F8F"/>
    <w:multiLevelType w:val="hybridMultilevel"/>
    <w:tmpl w:val="7BE45E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403F0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CE6925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A5175D"/>
    <w:multiLevelType w:val="hybridMultilevel"/>
    <w:tmpl w:val="0FF225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9"/>
  </w:num>
  <w:num w:numId="4">
    <w:abstractNumId w:val="16"/>
  </w:num>
  <w:num w:numId="5">
    <w:abstractNumId w:val="0"/>
  </w:num>
  <w:num w:numId="6">
    <w:abstractNumId w:val="14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2"/>
  </w:num>
  <w:num w:numId="13">
    <w:abstractNumId w:val="3"/>
  </w:num>
  <w:num w:numId="14">
    <w:abstractNumId w:val="8"/>
  </w:num>
  <w:num w:numId="15">
    <w:abstractNumId w:val="9"/>
  </w:num>
  <w:num w:numId="16">
    <w:abstractNumId w:val="7"/>
  </w:num>
  <w:num w:numId="17">
    <w:abstractNumId w:val="18"/>
  </w:num>
  <w:num w:numId="18">
    <w:abstractNumId w:val="17"/>
  </w:num>
  <w:num w:numId="19">
    <w:abstractNumId w:val="23"/>
  </w:num>
  <w:num w:numId="20">
    <w:abstractNumId w:val="22"/>
  </w:num>
  <w:num w:numId="21">
    <w:abstractNumId w:val="12"/>
  </w:num>
  <w:num w:numId="22">
    <w:abstractNumId w:val="24"/>
  </w:num>
  <w:num w:numId="23">
    <w:abstractNumId w:val="11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377"/>
    <w:rsid w:val="000012E5"/>
    <w:rsid w:val="00004EDF"/>
    <w:rsid w:val="000071D7"/>
    <w:rsid w:val="0001395C"/>
    <w:rsid w:val="00013F16"/>
    <w:rsid w:val="00014ECF"/>
    <w:rsid w:val="00020AD8"/>
    <w:rsid w:val="0002140A"/>
    <w:rsid w:val="000215CF"/>
    <w:rsid w:val="0002173F"/>
    <w:rsid w:val="00024E27"/>
    <w:rsid w:val="000276BF"/>
    <w:rsid w:val="00030D75"/>
    <w:rsid w:val="000317AB"/>
    <w:rsid w:val="00031A83"/>
    <w:rsid w:val="0003219F"/>
    <w:rsid w:val="000321FA"/>
    <w:rsid w:val="000340E5"/>
    <w:rsid w:val="0003628D"/>
    <w:rsid w:val="000414AD"/>
    <w:rsid w:val="000454BF"/>
    <w:rsid w:val="000479CD"/>
    <w:rsid w:val="000540BD"/>
    <w:rsid w:val="0005547B"/>
    <w:rsid w:val="000561A7"/>
    <w:rsid w:val="00067719"/>
    <w:rsid w:val="000756D6"/>
    <w:rsid w:val="00075EBF"/>
    <w:rsid w:val="00081527"/>
    <w:rsid w:val="00084179"/>
    <w:rsid w:val="00084E1D"/>
    <w:rsid w:val="00085008"/>
    <w:rsid w:val="000919AC"/>
    <w:rsid w:val="000925B9"/>
    <w:rsid w:val="0009262C"/>
    <w:rsid w:val="00092C59"/>
    <w:rsid w:val="00092FC7"/>
    <w:rsid w:val="000962B8"/>
    <w:rsid w:val="000977A4"/>
    <w:rsid w:val="000A1022"/>
    <w:rsid w:val="000A1C54"/>
    <w:rsid w:val="000A32F2"/>
    <w:rsid w:val="000A4A38"/>
    <w:rsid w:val="000A563C"/>
    <w:rsid w:val="000A69E1"/>
    <w:rsid w:val="000B13A0"/>
    <w:rsid w:val="000B290E"/>
    <w:rsid w:val="000B2C6B"/>
    <w:rsid w:val="000B6899"/>
    <w:rsid w:val="000C04E5"/>
    <w:rsid w:val="000C58B7"/>
    <w:rsid w:val="000D1CA5"/>
    <w:rsid w:val="000D1D47"/>
    <w:rsid w:val="000D2DD5"/>
    <w:rsid w:val="000D3188"/>
    <w:rsid w:val="000E1784"/>
    <w:rsid w:val="000E456D"/>
    <w:rsid w:val="000E467C"/>
    <w:rsid w:val="000E6952"/>
    <w:rsid w:val="000E6D6D"/>
    <w:rsid w:val="000E7B9F"/>
    <w:rsid w:val="000F0C05"/>
    <w:rsid w:val="000F4D33"/>
    <w:rsid w:val="00103D9E"/>
    <w:rsid w:val="0010693C"/>
    <w:rsid w:val="00107072"/>
    <w:rsid w:val="00107390"/>
    <w:rsid w:val="001109EE"/>
    <w:rsid w:val="00114868"/>
    <w:rsid w:val="001158E2"/>
    <w:rsid w:val="001160AC"/>
    <w:rsid w:val="00116E3B"/>
    <w:rsid w:val="0011797E"/>
    <w:rsid w:val="00121A35"/>
    <w:rsid w:val="00126C25"/>
    <w:rsid w:val="0013214A"/>
    <w:rsid w:val="001433DD"/>
    <w:rsid w:val="00144481"/>
    <w:rsid w:val="00144A0F"/>
    <w:rsid w:val="00146FC7"/>
    <w:rsid w:val="0015074F"/>
    <w:rsid w:val="00150B8D"/>
    <w:rsid w:val="00152A49"/>
    <w:rsid w:val="0015307D"/>
    <w:rsid w:val="001556BA"/>
    <w:rsid w:val="00157959"/>
    <w:rsid w:val="0016053B"/>
    <w:rsid w:val="00161514"/>
    <w:rsid w:val="00163E09"/>
    <w:rsid w:val="001643EA"/>
    <w:rsid w:val="001648EE"/>
    <w:rsid w:val="001744A7"/>
    <w:rsid w:val="00176082"/>
    <w:rsid w:val="001809D9"/>
    <w:rsid w:val="00181101"/>
    <w:rsid w:val="00192E51"/>
    <w:rsid w:val="00193374"/>
    <w:rsid w:val="00193D6C"/>
    <w:rsid w:val="001971EB"/>
    <w:rsid w:val="001A0F52"/>
    <w:rsid w:val="001A3D76"/>
    <w:rsid w:val="001A3F93"/>
    <w:rsid w:val="001A5928"/>
    <w:rsid w:val="001A6B69"/>
    <w:rsid w:val="001B2453"/>
    <w:rsid w:val="001B378D"/>
    <w:rsid w:val="001B5885"/>
    <w:rsid w:val="001B61B4"/>
    <w:rsid w:val="001B68B0"/>
    <w:rsid w:val="001B6F56"/>
    <w:rsid w:val="001C0596"/>
    <w:rsid w:val="001C41FE"/>
    <w:rsid w:val="001C6ACA"/>
    <w:rsid w:val="001C78FF"/>
    <w:rsid w:val="001C7C21"/>
    <w:rsid w:val="001D03B8"/>
    <w:rsid w:val="001D15AC"/>
    <w:rsid w:val="001D1C90"/>
    <w:rsid w:val="001D2BBE"/>
    <w:rsid w:val="001D39D3"/>
    <w:rsid w:val="001D4329"/>
    <w:rsid w:val="001D7085"/>
    <w:rsid w:val="001D7F93"/>
    <w:rsid w:val="001E0BE1"/>
    <w:rsid w:val="001E4551"/>
    <w:rsid w:val="001E7478"/>
    <w:rsid w:val="001F06C3"/>
    <w:rsid w:val="001F2821"/>
    <w:rsid w:val="001F4541"/>
    <w:rsid w:val="0020546F"/>
    <w:rsid w:val="0020765B"/>
    <w:rsid w:val="00214F0A"/>
    <w:rsid w:val="00216830"/>
    <w:rsid w:val="002259C5"/>
    <w:rsid w:val="00234D8D"/>
    <w:rsid w:val="002413D1"/>
    <w:rsid w:val="00242D91"/>
    <w:rsid w:val="00243ABA"/>
    <w:rsid w:val="00244A84"/>
    <w:rsid w:val="00244BD3"/>
    <w:rsid w:val="00246985"/>
    <w:rsid w:val="00253E8D"/>
    <w:rsid w:val="002601A3"/>
    <w:rsid w:val="0026020B"/>
    <w:rsid w:val="00260D66"/>
    <w:rsid w:val="0026202F"/>
    <w:rsid w:val="00263828"/>
    <w:rsid w:val="00266580"/>
    <w:rsid w:val="0026712D"/>
    <w:rsid w:val="00267257"/>
    <w:rsid w:val="002747FA"/>
    <w:rsid w:val="00280CC3"/>
    <w:rsid w:val="0028142D"/>
    <w:rsid w:val="00282944"/>
    <w:rsid w:val="00284647"/>
    <w:rsid w:val="002847A4"/>
    <w:rsid w:val="002855C2"/>
    <w:rsid w:val="0028747C"/>
    <w:rsid w:val="002918D2"/>
    <w:rsid w:val="0029442E"/>
    <w:rsid w:val="00295DD9"/>
    <w:rsid w:val="00296FB5"/>
    <w:rsid w:val="002974D7"/>
    <w:rsid w:val="002A0AC3"/>
    <w:rsid w:val="002A16A1"/>
    <w:rsid w:val="002A2785"/>
    <w:rsid w:val="002A4397"/>
    <w:rsid w:val="002A73A1"/>
    <w:rsid w:val="002A74C9"/>
    <w:rsid w:val="002B1365"/>
    <w:rsid w:val="002B4AAB"/>
    <w:rsid w:val="002B5977"/>
    <w:rsid w:val="002B6D9B"/>
    <w:rsid w:val="002B704F"/>
    <w:rsid w:val="002B73D4"/>
    <w:rsid w:val="002C4F4E"/>
    <w:rsid w:val="002C5689"/>
    <w:rsid w:val="002C5A4A"/>
    <w:rsid w:val="002D06E6"/>
    <w:rsid w:val="002D1991"/>
    <w:rsid w:val="002D29A8"/>
    <w:rsid w:val="002D2E32"/>
    <w:rsid w:val="002D7C64"/>
    <w:rsid w:val="002D7D33"/>
    <w:rsid w:val="002E0491"/>
    <w:rsid w:val="002E0A64"/>
    <w:rsid w:val="002E676C"/>
    <w:rsid w:val="002F09D7"/>
    <w:rsid w:val="002F1209"/>
    <w:rsid w:val="002F25C1"/>
    <w:rsid w:val="002F3F50"/>
    <w:rsid w:val="002F5CDD"/>
    <w:rsid w:val="002F6F97"/>
    <w:rsid w:val="002F757D"/>
    <w:rsid w:val="002F78C8"/>
    <w:rsid w:val="002F7989"/>
    <w:rsid w:val="00300372"/>
    <w:rsid w:val="003010A0"/>
    <w:rsid w:val="00313857"/>
    <w:rsid w:val="003162C9"/>
    <w:rsid w:val="003164A3"/>
    <w:rsid w:val="003209F0"/>
    <w:rsid w:val="003263D2"/>
    <w:rsid w:val="00330A4A"/>
    <w:rsid w:val="00330D38"/>
    <w:rsid w:val="00333E10"/>
    <w:rsid w:val="00334296"/>
    <w:rsid w:val="0033618C"/>
    <w:rsid w:val="00340A60"/>
    <w:rsid w:val="00340D7B"/>
    <w:rsid w:val="0035013D"/>
    <w:rsid w:val="003516E9"/>
    <w:rsid w:val="00351DD9"/>
    <w:rsid w:val="0035215C"/>
    <w:rsid w:val="00354281"/>
    <w:rsid w:val="003608B9"/>
    <w:rsid w:val="00362C25"/>
    <w:rsid w:val="00367B19"/>
    <w:rsid w:val="003714F8"/>
    <w:rsid w:val="003730AC"/>
    <w:rsid w:val="00373F25"/>
    <w:rsid w:val="003816E8"/>
    <w:rsid w:val="00390282"/>
    <w:rsid w:val="00390694"/>
    <w:rsid w:val="0039456A"/>
    <w:rsid w:val="003A01CC"/>
    <w:rsid w:val="003A0AF3"/>
    <w:rsid w:val="003A2131"/>
    <w:rsid w:val="003A6170"/>
    <w:rsid w:val="003A6412"/>
    <w:rsid w:val="003A6BA5"/>
    <w:rsid w:val="003A780D"/>
    <w:rsid w:val="003A7A47"/>
    <w:rsid w:val="003B008B"/>
    <w:rsid w:val="003B243D"/>
    <w:rsid w:val="003B2AC9"/>
    <w:rsid w:val="003B5FE4"/>
    <w:rsid w:val="003C29B3"/>
    <w:rsid w:val="003C2E39"/>
    <w:rsid w:val="003C457B"/>
    <w:rsid w:val="003C473D"/>
    <w:rsid w:val="003D3DAD"/>
    <w:rsid w:val="003D602D"/>
    <w:rsid w:val="003D7C83"/>
    <w:rsid w:val="003E06C3"/>
    <w:rsid w:val="003E417F"/>
    <w:rsid w:val="003E6DEA"/>
    <w:rsid w:val="003E7A6E"/>
    <w:rsid w:val="003E7C2B"/>
    <w:rsid w:val="003F1F58"/>
    <w:rsid w:val="003F2145"/>
    <w:rsid w:val="003F2201"/>
    <w:rsid w:val="003F2C7A"/>
    <w:rsid w:val="003F3270"/>
    <w:rsid w:val="003F34A4"/>
    <w:rsid w:val="003F3634"/>
    <w:rsid w:val="003F4DF1"/>
    <w:rsid w:val="003F5031"/>
    <w:rsid w:val="003F585E"/>
    <w:rsid w:val="003F7952"/>
    <w:rsid w:val="003F7DA1"/>
    <w:rsid w:val="00401D14"/>
    <w:rsid w:val="00401E35"/>
    <w:rsid w:val="00402EAD"/>
    <w:rsid w:val="004037A1"/>
    <w:rsid w:val="00410B7D"/>
    <w:rsid w:val="0041575F"/>
    <w:rsid w:val="00417343"/>
    <w:rsid w:val="00420622"/>
    <w:rsid w:val="004215DC"/>
    <w:rsid w:val="0042185C"/>
    <w:rsid w:val="00422341"/>
    <w:rsid w:val="00423747"/>
    <w:rsid w:val="004254F3"/>
    <w:rsid w:val="00426A12"/>
    <w:rsid w:val="00432D76"/>
    <w:rsid w:val="0043447C"/>
    <w:rsid w:val="00437C5C"/>
    <w:rsid w:val="0044045B"/>
    <w:rsid w:val="0044347C"/>
    <w:rsid w:val="004475A1"/>
    <w:rsid w:val="004516DC"/>
    <w:rsid w:val="0045279F"/>
    <w:rsid w:val="004527E5"/>
    <w:rsid w:val="0045325F"/>
    <w:rsid w:val="00454513"/>
    <w:rsid w:val="0046034C"/>
    <w:rsid w:val="004607DB"/>
    <w:rsid w:val="004634F1"/>
    <w:rsid w:val="00466359"/>
    <w:rsid w:val="00466C12"/>
    <w:rsid w:val="00467C17"/>
    <w:rsid w:val="004704D3"/>
    <w:rsid w:val="00474CE3"/>
    <w:rsid w:val="004755A1"/>
    <w:rsid w:val="00480FE1"/>
    <w:rsid w:val="00482ABC"/>
    <w:rsid w:val="004838F7"/>
    <w:rsid w:val="004852CC"/>
    <w:rsid w:val="00490AE1"/>
    <w:rsid w:val="004952DE"/>
    <w:rsid w:val="004A00AB"/>
    <w:rsid w:val="004A0293"/>
    <w:rsid w:val="004A1A73"/>
    <w:rsid w:val="004A1E30"/>
    <w:rsid w:val="004A40A8"/>
    <w:rsid w:val="004A433D"/>
    <w:rsid w:val="004A493A"/>
    <w:rsid w:val="004A5CE7"/>
    <w:rsid w:val="004B2313"/>
    <w:rsid w:val="004B5713"/>
    <w:rsid w:val="004B5F8E"/>
    <w:rsid w:val="004B709E"/>
    <w:rsid w:val="004C4C5D"/>
    <w:rsid w:val="004D012A"/>
    <w:rsid w:val="004D1FE1"/>
    <w:rsid w:val="004D287E"/>
    <w:rsid w:val="004E1AB3"/>
    <w:rsid w:val="004E79E1"/>
    <w:rsid w:val="004F24A3"/>
    <w:rsid w:val="004F4FE2"/>
    <w:rsid w:val="004F6C82"/>
    <w:rsid w:val="004F75B6"/>
    <w:rsid w:val="00503C55"/>
    <w:rsid w:val="005060B8"/>
    <w:rsid w:val="0050662C"/>
    <w:rsid w:val="00507203"/>
    <w:rsid w:val="005073CE"/>
    <w:rsid w:val="00510DA9"/>
    <w:rsid w:val="00520A77"/>
    <w:rsid w:val="00526642"/>
    <w:rsid w:val="00530A72"/>
    <w:rsid w:val="0053148D"/>
    <w:rsid w:val="00531E4C"/>
    <w:rsid w:val="00534718"/>
    <w:rsid w:val="0053708B"/>
    <w:rsid w:val="005404C9"/>
    <w:rsid w:val="005453F5"/>
    <w:rsid w:val="00545E0A"/>
    <w:rsid w:val="00546A08"/>
    <w:rsid w:val="00551F8B"/>
    <w:rsid w:val="00556E42"/>
    <w:rsid w:val="005604F7"/>
    <w:rsid w:val="005611FC"/>
    <w:rsid w:val="00561D42"/>
    <w:rsid w:val="00567B3D"/>
    <w:rsid w:val="005700C1"/>
    <w:rsid w:val="00570CCA"/>
    <w:rsid w:val="005730BC"/>
    <w:rsid w:val="00573E01"/>
    <w:rsid w:val="00574205"/>
    <w:rsid w:val="00580068"/>
    <w:rsid w:val="00580E0D"/>
    <w:rsid w:val="005821FD"/>
    <w:rsid w:val="00582AA2"/>
    <w:rsid w:val="00585098"/>
    <w:rsid w:val="00591107"/>
    <w:rsid w:val="005914F2"/>
    <w:rsid w:val="0059597A"/>
    <w:rsid w:val="005A01B3"/>
    <w:rsid w:val="005A3DF8"/>
    <w:rsid w:val="005A684A"/>
    <w:rsid w:val="005A7222"/>
    <w:rsid w:val="005B6A86"/>
    <w:rsid w:val="005B7F55"/>
    <w:rsid w:val="005C41D3"/>
    <w:rsid w:val="005C5DD8"/>
    <w:rsid w:val="005D28AB"/>
    <w:rsid w:val="005D3932"/>
    <w:rsid w:val="005D42B8"/>
    <w:rsid w:val="005D4BF7"/>
    <w:rsid w:val="005E18A4"/>
    <w:rsid w:val="005E19D8"/>
    <w:rsid w:val="005E34C6"/>
    <w:rsid w:val="005F0D74"/>
    <w:rsid w:val="005F2B71"/>
    <w:rsid w:val="005F3135"/>
    <w:rsid w:val="005F3418"/>
    <w:rsid w:val="00601076"/>
    <w:rsid w:val="00604B18"/>
    <w:rsid w:val="00606985"/>
    <w:rsid w:val="006136C0"/>
    <w:rsid w:val="00614800"/>
    <w:rsid w:val="00614B14"/>
    <w:rsid w:val="006159DD"/>
    <w:rsid w:val="00616330"/>
    <w:rsid w:val="00620069"/>
    <w:rsid w:val="00621EB7"/>
    <w:rsid w:val="0062300B"/>
    <w:rsid w:val="0062501A"/>
    <w:rsid w:val="00627058"/>
    <w:rsid w:val="006311FC"/>
    <w:rsid w:val="00635ED9"/>
    <w:rsid w:val="00637F5E"/>
    <w:rsid w:val="0064431C"/>
    <w:rsid w:val="006455A2"/>
    <w:rsid w:val="00647639"/>
    <w:rsid w:val="006476EF"/>
    <w:rsid w:val="00657BBD"/>
    <w:rsid w:val="00660632"/>
    <w:rsid w:val="0066647D"/>
    <w:rsid w:val="00670F83"/>
    <w:rsid w:val="006710A8"/>
    <w:rsid w:val="00671C05"/>
    <w:rsid w:val="00673685"/>
    <w:rsid w:val="00673CCF"/>
    <w:rsid w:val="006747BB"/>
    <w:rsid w:val="006772C5"/>
    <w:rsid w:val="00677D06"/>
    <w:rsid w:val="006806C4"/>
    <w:rsid w:val="0068252D"/>
    <w:rsid w:val="006848E0"/>
    <w:rsid w:val="0069163F"/>
    <w:rsid w:val="00691B34"/>
    <w:rsid w:val="00696615"/>
    <w:rsid w:val="006967AC"/>
    <w:rsid w:val="006A1DB5"/>
    <w:rsid w:val="006A20CD"/>
    <w:rsid w:val="006A30CF"/>
    <w:rsid w:val="006A45B7"/>
    <w:rsid w:val="006A62EA"/>
    <w:rsid w:val="006A7BDA"/>
    <w:rsid w:val="006B1B9E"/>
    <w:rsid w:val="006B2575"/>
    <w:rsid w:val="006B48DD"/>
    <w:rsid w:val="006C04EE"/>
    <w:rsid w:val="006C0633"/>
    <w:rsid w:val="006C1908"/>
    <w:rsid w:val="006C36AF"/>
    <w:rsid w:val="006C3719"/>
    <w:rsid w:val="006C4DCC"/>
    <w:rsid w:val="006C5CC3"/>
    <w:rsid w:val="006C5E73"/>
    <w:rsid w:val="006D20CC"/>
    <w:rsid w:val="006D290B"/>
    <w:rsid w:val="006E50D9"/>
    <w:rsid w:val="006E5411"/>
    <w:rsid w:val="006E6CD2"/>
    <w:rsid w:val="006F1F41"/>
    <w:rsid w:val="006F221C"/>
    <w:rsid w:val="006F2C34"/>
    <w:rsid w:val="006F3ACC"/>
    <w:rsid w:val="00701099"/>
    <w:rsid w:val="00702913"/>
    <w:rsid w:val="0071286A"/>
    <w:rsid w:val="00715B0F"/>
    <w:rsid w:val="00722ACF"/>
    <w:rsid w:val="00724831"/>
    <w:rsid w:val="0072504F"/>
    <w:rsid w:val="0072670A"/>
    <w:rsid w:val="00730E67"/>
    <w:rsid w:val="0073148D"/>
    <w:rsid w:val="00731529"/>
    <w:rsid w:val="00731F58"/>
    <w:rsid w:val="00732881"/>
    <w:rsid w:val="00732D45"/>
    <w:rsid w:val="00735D56"/>
    <w:rsid w:val="00735DE5"/>
    <w:rsid w:val="007369DF"/>
    <w:rsid w:val="00737FDA"/>
    <w:rsid w:val="00740DDF"/>
    <w:rsid w:val="00741171"/>
    <w:rsid w:val="00743B75"/>
    <w:rsid w:val="007462A0"/>
    <w:rsid w:val="00747B21"/>
    <w:rsid w:val="00751012"/>
    <w:rsid w:val="007514A8"/>
    <w:rsid w:val="0075493D"/>
    <w:rsid w:val="00756285"/>
    <w:rsid w:val="00762917"/>
    <w:rsid w:val="00771BC4"/>
    <w:rsid w:val="00771E39"/>
    <w:rsid w:val="00772938"/>
    <w:rsid w:val="007751C5"/>
    <w:rsid w:val="0077790E"/>
    <w:rsid w:val="0078249F"/>
    <w:rsid w:val="00783ADD"/>
    <w:rsid w:val="00790144"/>
    <w:rsid w:val="007922B9"/>
    <w:rsid w:val="00794C50"/>
    <w:rsid w:val="007B1E58"/>
    <w:rsid w:val="007B4EEA"/>
    <w:rsid w:val="007B6AFB"/>
    <w:rsid w:val="007C13DC"/>
    <w:rsid w:val="007C3054"/>
    <w:rsid w:val="007C38B1"/>
    <w:rsid w:val="007C5CCB"/>
    <w:rsid w:val="007D1CDD"/>
    <w:rsid w:val="007D6BA5"/>
    <w:rsid w:val="007E0ACA"/>
    <w:rsid w:val="007E2638"/>
    <w:rsid w:val="007E27D0"/>
    <w:rsid w:val="007E37CC"/>
    <w:rsid w:val="007E69EE"/>
    <w:rsid w:val="007E6A9E"/>
    <w:rsid w:val="007E77DE"/>
    <w:rsid w:val="007E7ACF"/>
    <w:rsid w:val="007F0AD1"/>
    <w:rsid w:val="007F42DF"/>
    <w:rsid w:val="007F4425"/>
    <w:rsid w:val="007F5208"/>
    <w:rsid w:val="007F5A92"/>
    <w:rsid w:val="007F5CA6"/>
    <w:rsid w:val="007F6B68"/>
    <w:rsid w:val="0080055D"/>
    <w:rsid w:val="00801827"/>
    <w:rsid w:val="00803B99"/>
    <w:rsid w:val="008041E6"/>
    <w:rsid w:val="0080554C"/>
    <w:rsid w:val="00807346"/>
    <w:rsid w:val="008106CF"/>
    <w:rsid w:val="00810F7A"/>
    <w:rsid w:val="008164F0"/>
    <w:rsid w:val="00820CC9"/>
    <w:rsid w:val="00821618"/>
    <w:rsid w:val="008225AF"/>
    <w:rsid w:val="00824569"/>
    <w:rsid w:val="00826E6D"/>
    <w:rsid w:val="00833E35"/>
    <w:rsid w:val="00835870"/>
    <w:rsid w:val="00836E3C"/>
    <w:rsid w:val="008434A1"/>
    <w:rsid w:val="00844F15"/>
    <w:rsid w:val="00845CD4"/>
    <w:rsid w:val="00847797"/>
    <w:rsid w:val="00847D11"/>
    <w:rsid w:val="0085000A"/>
    <w:rsid w:val="00851480"/>
    <w:rsid w:val="00851856"/>
    <w:rsid w:val="00853B09"/>
    <w:rsid w:val="0085476E"/>
    <w:rsid w:val="00854A65"/>
    <w:rsid w:val="00862C7F"/>
    <w:rsid w:val="00863CB2"/>
    <w:rsid w:val="00866BBD"/>
    <w:rsid w:val="00867C7B"/>
    <w:rsid w:val="008705C5"/>
    <w:rsid w:val="00870623"/>
    <w:rsid w:val="008745FF"/>
    <w:rsid w:val="00875E38"/>
    <w:rsid w:val="00880CF4"/>
    <w:rsid w:val="00881E2E"/>
    <w:rsid w:val="008859EB"/>
    <w:rsid w:val="00885B48"/>
    <w:rsid w:val="0088677F"/>
    <w:rsid w:val="008930E0"/>
    <w:rsid w:val="00894D29"/>
    <w:rsid w:val="00897802"/>
    <w:rsid w:val="00897BFB"/>
    <w:rsid w:val="008A0080"/>
    <w:rsid w:val="008A2B9F"/>
    <w:rsid w:val="008A3F69"/>
    <w:rsid w:val="008A416E"/>
    <w:rsid w:val="008A4824"/>
    <w:rsid w:val="008A64B0"/>
    <w:rsid w:val="008A6627"/>
    <w:rsid w:val="008B0115"/>
    <w:rsid w:val="008B080C"/>
    <w:rsid w:val="008B2026"/>
    <w:rsid w:val="008B39DF"/>
    <w:rsid w:val="008C39A9"/>
    <w:rsid w:val="008C7107"/>
    <w:rsid w:val="008C7C20"/>
    <w:rsid w:val="008D0CF9"/>
    <w:rsid w:val="008D79B5"/>
    <w:rsid w:val="008E16E5"/>
    <w:rsid w:val="008E417F"/>
    <w:rsid w:val="008F2872"/>
    <w:rsid w:val="008F493B"/>
    <w:rsid w:val="008F5EEE"/>
    <w:rsid w:val="008F6A38"/>
    <w:rsid w:val="00901D59"/>
    <w:rsid w:val="00902388"/>
    <w:rsid w:val="00905181"/>
    <w:rsid w:val="00905A05"/>
    <w:rsid w:val="0090682D"/>
    <w:rsid w:val="009128C7"/>
    <w:rsid w:val="009160F1"/>
    <w:rsid w:val="00921F09"/>
    <w:rsid w:val="0092213D"/>
    <w:rsid w:val="009252CA"/>
    <w:rsid w:val="009275CE"/>
    <w:rsid w:val="009311F7"/>
    <w:rsid w:val="00931A05"/>
    <w:rsid w:val="00934A0F"/>
    <w:rsid w:val="009361A7"/>
    <w:rsid w:val="00937F61"/>
    <w:rsid w:val="009417C6"/>
    <w:rsid w:val="00942CA0"/>
    <w:rsid w:val="00943267"/>
    <w:rsid w:val="0094360B"/>
    <w:rsid w:val="00944A5B"/>
    <w:rsid w:val="0094610A"/>
    <w:rsid w:val="00946C5E"/>
    <w:rsid w:val="009470E6"/>
    <w:rsid w:val="009522D6"/>
    <w:rsid w:val="009543DE"/>
    <w:rsid w:val="0095597A"/>
    <w:rsid w:val="00956729"/>
    <w:rsid w:val="00957999"/>
    <w:rsid w:val="009605DD"/>
    <w:rsid w:val="009606C4"/>
    <w:rsid w:val="009636EF"/>
    <w:rsid w:val="0096423A"/>
    <w:rsid w:val="00964D20"/>
    <w:rsid w:val="009713D6"/>
    <w:rsid w:val="00974298"/>
    <w:rsid w:val="00974575"/>
    <w:rsid w:val="009762E1"/>
    <w:rsid w:val="00983142"/>
    <w:rsid w:val="0098404B"/>
    <w:rsid w:val="00984552"/>
    <w:rsid w:val="00987BFB"/>
    <w:rsid w:val="0099788B"/>
    <w:rsid w:val="009B3613"/>
    <w:rsid w:val="009B4A9B"/>
    <w:rsid w:val="009B5F17"/>
    <w:rsid w:val="009B7C56"/>
    <w:rsid w:val="009B7D5D"/>
    <w:rsid w:val="009C0C3E"/>
    <w:rsid w:val="009C1415"/>
    <w:rsid w:val="009C5C25"/>
    <w:rsid w:val="009C79D3"/>
    <w:rsid w:val="009C7ECC"/>
    <w:rsid w:val="009D3474"/>
    <w:rsid w:val="009D5EB5"/>
    <w:rsid w:val="009D6EBF"/>
    <w:rsid w:val="009E1728"/>
    <w:rsid w:val="009E4623"/>
    <w:rsid w:val="009F16AA"/>
    <w:rsid w:val="009F1E55"/>
    <w:rsid w:val="009F518E"/>
    <w:rsid w:val="009F650A"/>
    <w:rsid w:val="00A01E09"/>
    <w:rsid w:val="00A027E9"/>
    <w:rsid w:val="00A034CF"/>
    <w:rsid w:val="00A04712"/>
    <w:rsid w:val="00A04C06"/>
    <w:rsid w:val="00A13B7B"/>
    <w:rsid w:val="00A1491D"/>
    <w:rsid w:val="00A16D01"/>
    <w:rsid w:val="00A1788B"/>
    <w:rsid w:val="00A210FE"/>
    <w:rsid w:val="00A269A1"/>
    <w:rsid w:val="00A30416"/>
    <w:rsid w:val="00A31801"/>
    <w:rsid w:val="00A34D90"/>
    <w:rsid w:val="00A4030D"/>
    <w:rsid w:val="00A41505"/>
    <w:rsid w:val="00A43891"/>
    <w:rsid w:val="00A4487E"/>
    <w:rsid w:val="00A456C6"/>
    <w:rsid w:val="00A46318"/>
    <w:rsid w:val="00A50515"/>
    <w:rsid w:val="00A50D4A"/>
    <w:rsid w:val="00A51F17"/>
    <w:rsid w:val="00A5583B"/>
    <w:rsid w:val="00A617CD"/>
    <w:rsid w:val="00A61DD3"/>
    <w:rsid w:val="00A62572"/>
    <w:rsid w:val="00A64E41"/>
    <w:rsid w:val="00A6726A"/>
    <w:rsid w:val="00A674ED"/>
    <w:rsid w:val="00A7038D"/>
    <w:rsid w:val="00A7049F"/>
    <w:rsid w:val="00A74E89"/>
    <w:rsid w:val="00A77257"/>
    <w:rsid w:val="00A81D3E"/>
    <w:rsid w:val="00A8337D"/>
    <w:rsid w:val="00A85DA7"/>
    <w:rsid w:val="00A86549"/>
    <w:rsid w:val="00A865BE"/>
    <w:rsid w:val="00A94178"/>
    <w:rsid w:val="00A94257"/>
    <w:rsid w:val="00A9604C"/>
    <w:rsid w:val="00A96F50"/>
    <w:rsid w:val="00A97FF8"/>
    <w:rsid w:val="00AA502E"/>
    <w:rsid w:val="00AB0565"/>
    <w:rsid w:val="00AB46AF"/>
    <w:rsid w:val="00AC1E38"/>
    <w:rsid w:val="00AC4F49"/>
    <w:rsid w:val="00AC62EE"/>
    <w:rsid w:val="00AC6D42"/>
    <w:rsid w:val="00AC7E7A"/>
    <w:rsid w:val="00AD126B"/>
    <w:rsid w:val="00AD3753"/>
    <w:rsid w:val="00AD40B1"/>
    <w:rsid w:val="00AD41FE"/>
    <w:rsid w:val="00AD5C53"/>
    <w:rsid w:val="00AE042A"/>
    <w:rsid w:val="00AE2131"/>
    <w:rsid w:val="00AE308A"/>
    <w:rsid w:val="00AE64A0"/>
    <w:rsid w:val="00AF047D"/>
    <w:rsid w:val="00AF0C7A"/>
    <w:rsid w:val="00AF23E6"/>
    <w:rsid w:val="00AF3343"/>
    <w:rsid w:val="00AF3700"/>
    <w:rsid w:val="00AF58E7"/>
    <w:rsid w:val="00AF7D95"/>
    <w:rsid w:val="00B002A4"/>
    <w:rsid w:val="00B01658"/>
    <w:rsid w:val="00B0635A"/>
    <w:rsid w:val="00B06490"/>
    <w:rsid w:val="00B1430B"/>
    <w:rsid w:val="00B223F6"/>
    <w:rsid w:val="00B2369A"/>
    <w:rsid w:val="00B2425C"/>
    <w:rsid w:val="00B24F1C"/>
    <w:rsid w:val="00B2591D"/>
    <w:rsid w:val="00B2708E"/>
    <w:rsid w:val="00B3227A"/>
    <w:rsid w:val="00B33254"/>
    <w:rsid w:val="00B344C0"/>
    <w:rsid w:val="00B4073D"/>
    <w:rsid w:val="00B42CA5"/>
    <w:rsid w:val="00B431B0"/>
    <w:rsid w:val="00B453B5"/>
    <w:rsid w:val="00B46B78"/>
    <w:rsid w:val="00B5141E"/>
    <w:rsid w:val="00B523F3"/>
    <w:rsid w:val="00B5250D"/>
    <w:rsid w:val="00B54AE7"/>
    <w:rsid w:val="00B56B19"/>
    <w:rsid w:val="00B60444"/>
    <w:rsid w:val="00B62DDF"/>
    <w:rsid w:val="00B6417B"/>
    <w:rsid w:val="00B667B0"/>
    <w:rsid w:val="00B66B74"/>
    <w:rsid w:val="00B70140"/>
    <w:rsid w:val="00B8058A"/>
    <w:rsid w:val="00B80729"/>
    <w:rsid w:val="00B80A72"/>
    <w:rsid w:val="00B818A5"/>
    <w:rsid w:val="00B871AA"/>
    <w:rsid w:val="00B9156B"/>
    <w:rsid w:val="00B93606"/>
    <w:rsid w:val="00B93C43"/>
    <w:rsid w:val="00B93CB9"/>
    <w:rsid w:val="00B959BC"/>
    <w:rsid w:val="00B95E7E"/>
    <w:rsid w:val="00B97883"/>
    <w:rsid w:val="00B97AE8"/>
    <w:rsid w:val="00B97AF5"/>
    <w:rsid w:val="00BA28F0"/>
    <w:rsid w:val="00BA2FEB"/>
    <w:rsid w:val="00BB1218"/>
    <w:rsid w:val="00BC046D"/>
    <w:rsid w:val="00BC696D"/>
    <w:rsid w:val="00BD1C35"/>
    <w:rsid w:val="00BD3CCF"/>
    <w:rsid w:val="00BD63B2"/>
    <w:rsid w:val="00BD787B"/>
    <w:rsid w:val="00BE45E0"/>
    <w:rsid w:val="00BE5DD4"/>
    <w:rsid w:val="00BF24CC"/>
    <w:rsid w:val="00BF2B94"/>
    <w:rsid w:val="00BF2C09"/>
    <w:rsid w:val="00BF44CD"/>
    <w:rsid w:val="00BF5B57"/>
    <w:rsid w:val="00C01F2A"/>
    <w:rsid w:val="00C0259E"/>
    <w:rsid w:val="00C042D9"/>
    <w:rsid w:val="00C10F91"/>
    <w:rsid w:val="00C11BA1"/>
    <w:rsid w:val="00C13D1C"/>
    <w:rsid w:val="00C20F21"/>
    <w:rsid w:val="00C22901"/>
    <w:rsid w:val="00C23BAE"/>
    <w:rsid w:val="00C273B0"/>
    <w:rsid w:val="00C27C05"/>
    <w:rsid w:val="00C30344"/>
    <w:rsid w:val="00C31020"/>
    <w:rsid w:val="00C3167A"/>
    <w:rsid w:val="00C31F39"/>
    <w:rsid w:val="00C36E52"/>
    <w:rsid w:val="00C40023"/>
    <w:rsid w:val="00C40DCC"/>
    <w:rsid w:val="00C43492"/>
    <w:rsid w:val="00C44869"/>
    <w:rsid w:val="00C46431"/>
    <w:rsid w:val="00C46DFD"/>
    <w:rsid w:val="00C512CF"/>
    <w:rsid w:val="00C51C63"/>
    <w:rsid w:val="00C52138"/>
    <w:rsid w:val="00C534C4"/>
    <w:rsid w:val="00C60219"/>
    <w:rsid w:val="00C6057E"/>
    <w:rsid w:val="00C6362C"/>
    <w:rsid w:val="00C64B1C"/>
    <w:rsid w:val="00C6621E"/>
    <w:rsid w:val="00C66BB5"/>
    <w:rsid w:val="00C66D4C"/>
    <w:rsid w:val="00C671AF"/>
    <w:rsid w:val="00C67365"/>
    <w:rsid w:val="00C72CE5"/>
    <w:rsid w:val="00C74906"/>
    <w:rsid w:val="00C7654E"/>
    <w:rsid w:val="00C77110"/>
    <w:rsid w:val="00C83A34"/>
    <w:rsid w:val="00C83F72"/>
    <w:rsid w:val="00C83FC1"/>
    <w:rsid w:val="00C841F4"/>
    <w:rsid w:val="00C84F03"/>
    <w:rsid w:val="00C90720"/>
    <w:rsid w:val="00C96377"/>
    <w:rsid w:val="00C97021"/>
    <w:rsid w:val="00C971EF"/>
    <w:rsid w:val="00CA156D"/>
    <w:rsid w:val="00CA29F2"/>
    <w:rsid w:val="00CA65AD"/>
    <w:rsid w:val="00CA6BA6"/>
    <w:rsid w:val="00CA6D0F"/>
    <w:rsid w:val="00CB234B"/>
    <w:rsid w:val="00CB6B36"/>
    <w:rsid w:val="00CC193E"/>
    <w:rsid w:val="00CC2452"/>
    <w:rsid w:val="00CC380D"/>
    <w:rsid w:val="00CC5C3D"/>
    <w:rsid w:val="00CD2C73"/>
    <w:rsid w:val="00CD3508"/>
    <w:rsid w:val="00CD40A8"/>
    <w:rsid w:val="00CD6ADD"/>
    <w:rsid w:val="00CD6D25"/>
    <w:rsid w:val="00CE01B8"/>
    <w:rsid w:val="00CE63D7"/>
    <w:rsid w:val="00CF3DE3"/>
    <w:rsid w:val="00CF5992"/>
    <w:rsid w:val="00CF786B"/>
    <w:rsid w:val="00D12955"/>
    <w:rsid w:val="00D1463B"/>
    <w:rsid w:val="00D1657B"/>
    <w:rsid w:val="00D178F4"/>
    <w:rsid w:val="00D17CB4"/>
    <w:rsid w:val="00D21E38"/>
    <w:rsid w:val="00D2381F"/>
    <w:rsid w:val="00D25B7C"/>
    <w:rsid w:val="00D2666F"/>
    <w:rsid w:val="00D26888"/>
    <w:rsid w:val="00D33A34"/>
    <w:rsid w:val="00D343E9"/>
    <w:rsid w:val="00D36E39"/>
    <w:rsid w:val="00D414E3"/>
    <w:rsid w:val="00D43BD4"/>
    <w:rsid w:val="00D4400C"/>
    <w:rsid w:val="00D467E5"/>
    <w:rsid w:val="00D4693B"/>
    <w:rsid w:val="00D534E9"/>
    <w:rsid w:val="00D5624B"/>
    <w:rsid w:val="00D577BF"/>
    <w:rsid w:val="00D60A6A"/>
    <w:rsid w:val="00D619D5"/>
    <w:rsid w:val="00D63AF7"/>
    <w:rsid w:val="00D67D49"/>
    <w:rsid w:val="00D70332"/>
    <w:rsid w:val="00D71729"/>
    <w:rsid w:val="00D7253B"/>
    <w:rsid w:val="00D73A05"/>
    <w:rsid w:val="00D74ACA"/>
    <w:rsid w:val="00D74F02"/>
    <w:rsid w:val="00D7586C"/>
    <w:rsid w:val="00D76707"/>
    <w:rsid w:val="00D8010F"/>
    <w:rsid w:val="00D804B0"/>
    <w:rsid w:val="00D813A4"/>
    <w:rsid w:val="00D85455"/>
    <w:rsid w:val="00D90379"/>
    <w:rsid w:val="00D94442"/>
    <w:rsid w:val="00DA3693"/>
    <w:rsid w:val="00DB19F5"/>
    <w:rsid w:val="00DB3F8A"/>
    <w:rsid w:val="00DB66A8"/>
    <w:rsid w:val="00DB66E8"/>
    <w:rsid w:val="00DB6CF6"/>
    <w:rsid w:val="00DB7FB5"/>
    <w:rsid w:val="00DC4A2F"/>
    <w:rsid w:val="00DC4CF8"/>
    <w:rsid w:val="00DC70A8"/>
    <w:rsid w:val="00DD203F"/>
    <w:rsid w:val="00DD540C"/>
    <w:rsid w:val="00DD5722"/>
    <w:rsid w:val="00DE15F6"/>
    <w:rsid w:val="00DE168C"/>
    <w:rsid w:val="00DE410C"/>
    <w:rsid w:val="00DE4F2D"/>
    <w:rsid w:val="00DE5278"/>
    <w:rsid w:val="00DE6186"/>
    <w:rsid w:val="00DE66C8"/>
    <w:rsid w:val="00DF0DDB"/>
    <w:rsid w:val="00DF7F7E"/>
    <w:rsid w:val="00E108B3"/>
    <w:rsid w:val="00E122FC"/>
    <w:rsid w:val="00E1259A"/>
    <w:rsid w:val="00E13DAF"/>
    <w:rsid w:val="00E172E1"/>
    <w:rsid w:val="00E20DE1"/>
    <w:rsid w:val="00E244E6"/>
    <w:rsid w:val="00E312A1"/>
    <w:rsid w:val="00E355E0"/>
    <w:rsid w:val="00E374EF"/>
    <w:rsid w:val="00E42CB8"/>
    <w:rsid w:val="00E450F3"/>
    <w:rsid w:val="00E45DF0"/>
    <w:rsid w:val="00E4754B"/>
    <w:rsid w:val="00E47ECC"/>
    <w:rsid w:val="00E47F23"/>
    <w:rsid w:val="00E50092"/>
    <w:rsid w:val="00E525BA"/>
    <w:rsid w:val="00E56B4B"/>
    <w:rsid w:val="00E6086D"/>
    <w:rsid w:val="00E618FF"/>
    <w:rsid w:val="00E6237B"/>
    <w:rsid w:val="00E6652C"/>
    <w:rsid w:val="00E67522"/>
    <w:rsid w:val="00E71735"/>
    <w:rsid w:val="00E71946"/>
    <w:rsid w:val="00E72261"/>
    <w:rsid w:val="00E75F17"/>
    <w:rsid w:val="00E762D8"/>
    <w:rsid w:val="00E826E8"/>
    <w:rsid w:val="00E83981"/>
    <w:rsid w:val="00E83BCA"/>
    <w:rsid w:val="00E84660"/>
    <w:rsid w:val="00E852FA"/>
    <w:rsid w:val="00E87EF2"/>
    <w:rsid w:val="00E904B4"/>
    <w:rsid w:val="00E96F9E"/>
    <w:rsid w:val="00E9762C"/>
    <w:rsid w:val="00EA574B"/>
    <w:rsid w:val="00EB3198"/>
    <w:rsid w:val="00EB36F2"/>
    <w:rsid w:val="00EB72A4"/>
    <w:rsid w:val="00EB7C65"/>
    <w:rsid w:val="00EC29A9"/>
    <w:rsid w:val="00EC4C0B"/>
    <w:rsid w:val="00ED26B2"/>
    <w:rsid w:val="00ED398D"/>
    <w:rsid w:val="00ED64A1"/>
    <w:rsid w:val="00ED7F39"/>
    <w:rsid w:val="00EE0550"/>
    <w:rsid w:val="00EE2723"/>
    <w:rsid w:val="00EF2CC8"/>
    <w:rsid w:val="00EF376C"/>
    <w:rsid w:val="00EF6259"/>
    <w:rsid w:val="00EF73A3"/>
    <w:rsid w:val="00EF74F2"/>
    <w:rsid w:val="00F044C8"/>
    <w:rsid w:val="00F04502"/>
    <w:rsid w:val="00F04F4B"/>
    <w:rsid w:val="00F054DA"/>
    <w:rsid w:val="00F06549"/>
    <w:rsid w:val="00F0684E"/>
    <w:rsid w:val="00F069A6"/>
    <w:rsid w:val="00F10665"/>
    <w:rsid w:val="00F107FE"/>
    <w:rsid w:val="00F13F36"/>
    <w:rsid w:val="00F2199D"/>
    <w:rsid w:val="00F224D8"/>
    <w:rsid w:val="00F2284B"/>
    <w:rsid w:val="00F22C76"/>
    <w:rsid w:val="00F24BCE"/>
    <w:rsid w:val="00F25B69"/>
    <w:rsid w:val="00F30ADF"/>
    <w:rsid w:val="00F337CE"/>
    <w:rsid w:val="00F35CF4"/>
    <w:rsid w:val="00F3652C"/>
    <w:rsid w:val="00F36C64"/>
    <w:rsid w:val="00F405BD"/>
    <w:rsid w:val="00F4138E"/>
    <w:rsid w:val="00F42317"/>
    <w:rsid w:val="00F44026"/>
    <w:rsid w:val="00F50EA0"/>
    <w:rsid w:val="00F5442D"/>
    <w:rsid w:val="00F609C8"/>
    <w:rsid w:val="00F63A0D"/>
    <w:rsid w:val="00F71174"/>
    <w:rsid w:val="00F725D0"/>
    <w:rsid w:val="00F729F5"/>
    <w:rsid w:val="00F729FE"/>
    <w:rsid w:val="00F83B17"/>
    <w:rsid w:val="00F86FA7"/>
    <w:rsid w:val="00F91AA5"/>
    <w:rsid w:val="00FA0B01"/>
    <w:rsid w:val="00FA0D53"/>
    <w:rsid w:val="00FA1B9A"/>
    <w:rsid w:val="00FA2A85"/>
    <w:rsid w:val="00FA36C7"/>
    <w:rsid w:val="00FA76CF"/>
    <w:rsid w:val="00FA76FA"/>
    <w:rsid w:val="00FB114E"/>
    <w:rsid w:val="00FB1B66"/>
    <w:rsid w:val="00FB275A"/>
    <w:rsid w:val="00FB2DB0"/>
    <w:rsid w:val="00FB3D7D"/>
    <w:rsid w:val="00FB5474"/>
    <w:rsid w:val="00FB5D33"/>
    <w:rsid w:val="00FC29A3"/>
    <w:rsid w:val="00FC358A"/>
    <w:rsid w:val="00FC474E"/>
    <w:rsid w:val="00FC4880"/>
    <w:rsid w:val="00FC58FF"/>
    <w:rsid w:val="00FC7186"/>
    <w:rsid w:val="00FD58F5"/>
    <w:rsid w:val="00FD66DA"/>
    <w:rsid w:val="00FE0B4C"/>
    <w:rsid w:val="00FE51DB"/>
    <w:rsid w:val="00FF2381"/>
    <w:rsid w:val="00FF2AFC"/>
    <w:rsid w:val="00FF6122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D017989E-0C5A-4134-A6AA-92E27653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6BB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B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866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66BBD"/>
    <w:rPr>
      <w:color w:val="0563C1" w:themeColor="hyperlink"/>
      <w:u w:val="single"/>
    </w:rPr>
  </w:style>
  <w:style w:type="paragraph" w:customStyle="1" w:styleId="Default">
    <w:name w:val="Default"/>
    <w:rsid w:val="00866B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866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6BBD"/>
  </w:style>
  <w:style w:type="paragraph" w:styleId="Piedepgina">
    <w:name w:val="footer"/>
    <w:basedOn w:val="Normal"/>
    <w:link w:val="PiedepginaCar"/>
    <w:uiPriority w:val="99"/>
    <w:unhideWhenUsed/>
    <w:rsid w:val="00866B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6BBD"/>
  </w:style>
  <w:style w:type="paragraph" w:styleId="Textodeglobo">
    <w:name w:val="Balloon Text"/>
    <w:basedOn w:val="Normal"/>
    <w:link w:val="TextodegloboCar"/>
    <w:uiPriority w:val="99"/>
    <w:semiHidden/>
    <w:unhideWhenUsed/>
    <w:rsid w:val="00604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B1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Fuentedeprrafopredeter"/>
    <w:rsid w:val="007B1E58"/>
  </w:style>
  <w:style w:type="character" w:styleId="Refdecomentario">
    <w:name w:val="annotation reference"/>
    <w:basedOn w:val="Fuentedeprrafopredeter"/>
    <w:uiPriority w:val="99"/>
    <w:semiHidden/>
    <w:unhideWhenUsed/>
    <w:rsid w:val="00E6237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237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237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237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237B"/>
    <w:rPr>
      <w:b/>
      <w:bCs/>
      <w:sz w:val="20"/>
      <w:szCs w:val="20"/>
    </w:rPr>
  </w:style>
  <w:style w:type="paragraph" w:customStyle="1" w:styleId="Estilo">
    <w:name w:val="Estilo"/>
    <w:basedOn w:val="Sinespaciado"/>
    <w:link w:val="EstiloCar"/>
    <w:qFormat/>
    <w:rsid w:val="00862C7F"/>
    <w:pPr>
      <w:jc w:val="both"/>
    </w:pPr>
    <w:rPr>
      <w:rFonts w:ascii="Arial" w:hAnsi="Arial"/>
      <w:sz w:val="24"/>
    </w:rPr>
  </w:style>
  <w:style w:type="character" w:customStyle="1" w:styleId="EstiloCar">
    <w:name w:val="Estilo Car"/>
    <w:basedOn w:val="Fuentedeprrafopredeter"/>
    <w:link w:val="Estilo"/>
    <w:rsid w:val="00862C7F"/>
    <w:rPr>
      <w:rFonts w:ascii="Arial" w:hAnsi="Arial"/>
      <w:sz w:val="24"/>
    </w:rPr>
  </w:style>
  <w:style w:type="paragraph" w:styleId="Sinespaciado">
    <w:name w:val="No Spacing"/>
    <w:uiPriority w:val="1"/>
    <w:qFormat/>
    <w:rsid w:val="00862C7F"/>
    <w:pPr>
      <w:spacing w:after="0" w:line="240" w:lineRule="auto"/>
    </w:pPr>
  </w:style>
  <w:style w:type="paragraph" w:customStyle="1" w:styleId="Texto">
    <w:name w:val="Texto"/>
    <w:basedOn w:val="Normal"/>
    <w:link w:val="TextoCar"/>
    <w:rsid w:val="002974D7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2974D7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A3">
    <w:name w:val="A3"/>
    <w:uiPriority w:val="99"/>
    <w:rsid w:val="004F24A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36746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6395">
          <w:marLeft w:val="72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B2658-3C5B-44D5-BC59-7F4784D0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1733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 Tecnica</dc:creator>
  <cp:lastModifiedBy>Apoyo Plenario</cp:lastModifiedBy>
  <cp:revision>2</cp:revision>
  <cp:lastPrinted>2018-05-23T17:11:00Z</cp:lastPrinted>
  <dcterms:created xsi:type="dcterms:W3CDTF">2018-09-11T13:46:00Z</dcterms:created>
  <dcterms:modified xsi:type="dcterms:W3CDTF">2018-09-11T13:46:00Z</dcterms:modified>
</cp:coreProperties>
</file>