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4C9" w:rsidRPr="00BB4AFB" w:rsidRDefault="006B46F2" w:rsidP="00BB4AFB">
      <w:pPr>
        <w:spacing w:after="0" w:line="240" w:lineRule="auto"/>
        <w:jc w:val="both"/>
        <w:rPr>
          <w:rFonts w:asciiTheme="majorHAnsi" w:hAnsiTheme="majorHAnsi" w:cstheme="majorHAnsi"/>
          <w:b/>
          <w:sz w:val="24"/>
          <w:szCs w:val="24"/>
        </w:rPr>
      </w:pPr>
      <w:r w:rsidRPr="00BB4AFB">
        <w:rPr>
          <w:rFonts w:asciiTheme="majorHAnsi" w:eastAsia="Arial" w:hAnsiTheme="majorHAnsi" w:cstheme="majorHAnsi"/>
          <w:b/>
          <w:sz w:val="24"/>
          <w:szCs w:val="24"/>
        </w:rPr>
        <w:t>MODIFICACIÓN DE LAS TABLAS DE APLICABILIDAD DE LAS OBLIGACIONES DE TRANSPARENCIA COMUNES DE DIVERSOS SUJETOS OBLIGADOS</w:t>
      </w:r>
      <w:r w:rsidR="00EB4EC4" w:rsidRPr="00BB4AFB">
        <w:rPr>
          <w:rFonts w:asciiTheme="majorHAnsi" w:eastAsia="Arial" w:hAnsiTheme="majorHAnsi" w:cstheme="majorHAnsi"/>
          <w:b/>
          <w:sz w:val="24"/>
          <w:szCs w:val="24"/>
        </w:rPr>
        <w:t>.</w:t>
      </w:r>
    </w:p>
    <w:p w:rsidR="002A74C9" w:rsidRPr="00BB4AFB" w:rsidRDefault="002A74C9" w:rsidP="00BB4AFB">
      <w:pPr>
        <w:spacing w:after="0" w:line="240" w:lineRule="auto"/>
        <w:jc w:val="center"/>
        <w:rPr>
          <w:rFonts w:asciiTheme="majorHAnsi" w:hAnsiTheme="majorHAnsi" w:cstheme="majorHAnsi"/>
          <w:b/>
          <w:sz w:val="24"/>
          <w:szCs w:val="24"/>
        </w:rPr>
      </w:pPr>
    </w:p>
    <w:p w:rsidR="005B6048" w:rsidRPr="00BB4AFB" w:rsidRDefault="005B6048"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En la ciudad d</w:t>
      </w:r>
      <w:r w:rsidR="000E0AFA">
        <w:rPr>
          <w:rFonts w:asciiTheme="majorHAnsi" w:eastAsia="Arial" w:hAnsiTheme="majorHAnsi" w:cstheme="majorHAnsi"/>
          <w:sz w:val="24"/>
          <w:szCs w:val="24"/>
        </w:rPr>
        <w:t>e Mérida, Yucatán, siendo las 12 horas con 55</w:t>
      </w:r>
      <w:r w:rsidRPr="00BB4AFB">
        <w:rPr>
          <w:rFonts w:asciiTheme="majorHAnsi" w:eastAsia="Arial" w:hAnsiTheme="majorHAnsi" w:cstheme="majorHAnsi"/>
          <w:sz w:val="24"/>
          <w:szCs w:val="24"/>
        </w:rPr>
        <w:t xml:space="preserve"> </w:t>
      </w:r>
      <w:r w:rsidR="000E0AFA">
        <w:rPr>
          <w:rFonts w:asciiTheme="majorHAnsi" w:eastAsia="Arial" w:hAnsiTheme="majorHAnsi" w:cstheme="majorHAnsi"/>
          <w:sz w:val="24"/>
          <w:szCs w:val="24"/>
        </w:rPr>
        <w:t>minutos, del día 16</w:t>
      </w:r>
      <w:r w:rsidRPr="00BB4AFB">
        <w:rPr>
          <w:rFonts w:asciiTheme="majorHAnsi" w:eastAsia="Arial" w:hAnsiTheme="majorHAnsi" w:cstheme="majorHAnsi"/>
          <w:sz w:val="24"/>
          <w:szCs w:val="24"/>
        </w:rPr>
        <w:t xml:space="preserve"> de julio del año 2018, encontrándose reunidos los integrantes del Pleno del Instituto Estatal de Transparencia, Acceso a la Información Pública y Protección de Datos Personales, las Licenciadas en Derecho, María Eugenia Sansores Ruz y Susana Aguilar Covarrubias, y el Maestro en Derecho Aldrin Martín Briceño Conrado, Comisionada Presidente y Comisionados, respectivamente, emiten el presente acuerdo de conformidad con los siguientes:</w:t>
      </w:r>
    </w:p>
    <w:p w:rsidR="00367B19" w:rsidRPr="00BB4AFB" w:rsidRDefault="00367B19" w:rsidP="00BB4AFB">
      <w:pPr>
        <w:spacing w:after="0" w:line="240" w:lineRule="auto"/>
        <w:jc w:val="center"/>
        <w:rPr>
          <w:rFonts w:asciiTheme="majorHAnsi" w:hAnsiTheme="majorHAnsi" w:cstheme="majorHAnsi"/>
          <w:b/>
          <w:sz w:val="24"/>
          <w:szCs w:val="24"/>
        </w:rPr>
      </w:pPr>
    </w:p>
    <w:p w:rsidR="00866BBD" w:rsidRPr="00BB4AFB" w:rsidRDefault="00866BBD" w:rsidP="00BB4AFB">
      <w:pPr>
        <w:spacing w:after="0" w:line="240" w:lineRule="auto"/>
        <w:jc w:val="center"/>
        <w:rPr>
          <w:rFonts w:asciiTheme="majorHAnsi" w:hAnsiTheme="majorHAnsi" w:cstheme="majorHAnsi"/>
          <w:b/>
          <w:sz w:val="24"/>
          <w:szCs w:val="24"/>
        </w:rPr>
      </w:pPr>
      <w:r w:rsidRPr="00BB4AFB">
        <w:rPr>
          <w:rFonts w:asciiTheme="majorHAnsi" w:hAnsiTheme="majorHAnsi" w:cstheme="majorHAnsi"/>
          <w:b/>
          <w:sz w:val="24"/>
          <w:szCs w:val="24"/>
        </w:rPr>
        <w:t>ANTECEDENTES</w:t>
      </w:r>
    </w:p>
    <w:p w:rsidR="00866BBD" w:rsidRPr="00BB4AFB" w:rsidRDefault="00866BBD" w:rsidP="00BB4AFB">
      <w:pPr>
        <w:spacing w:after="0" w:line="240" w:lineRule="auto"/>
        <w:jc w:val="center"/>
        <w:rPr>
          <w:rFonts w:asciiTheme="majorHAnsi" w:hAnsiTheme="majorHAnsi" w:cstheme="majorHAnsi"/>
          <w:b/>
          <w:sz w:val="24"/>
          <w:szCs w:val="24"/>
        </w:rPr>
      </w:pPr>
    </w:p>
    <w:p w:rsidR="00771C09" w:rsidRPr="00BB4AFB" w:rsidRDefault="00866BBD" w:rsidP="00BB4AFB">
      <w:pPr>
        <w:spacing w:after="0" w:line="240" w:lineRule="auto"/>
        <w:jc w:val="both"/>
        <w:rPr>
          <w:rFonts w:asciiTheme="majorHAnsi" w:eastAsia="Arial" w:hAnsiTheme="majorHAnsi" w:cstheme="majorHAnsi"/>
          <w:sz w:val="24"/>
          <w:szCs w:val="24"/>
        </w:rPr>
      </w:pPr>
      <w:r w:rsidRPr="00BB4AFB">
        <w:rPr>
          <w:rFonts w:asciiTheme="majorHAnsi" w:hAnsiTheme="majorHAnsi" w:cstheme="majorHAnsi"/>
          <w:b/>
          <w:sz w:val="24"/>
          <w:szCs w:val="24"/>
        </w:rPr>
        <w:t>PRIMERO.-</w:t>
      </w:r>
      <w:r w:rsidRPr="00BB4AFB">
        <w:rPr>
          <w:rFonts w:asciiTheme="majorHAnsi" w:hAnsiTheme="majorHAnsi" w:cstheme="majorHAnsi"/>
          <w:sz w:val="24"/>
          <w:szCs w:val="24"/>
        </w:rPr>
        <w:t xml:space="preserve"> </w:t>
      </w:r>
      <w:r w:rsidR="00F239DD" w:rsidRPr="00BB4AFB">
        <w:rPr>
          <w:rFonts w:asciiTheme="majorHAnsi" w:eastAsia="Arial" w:hAnsiTheme="majorHAnsi" w:cstheme="majorHAnsi"/>
          <w:sz w:val="24"/>
          <w:szCs w:val="24"/>
        </w:rPr>
        <w:t>El 8 de mayo de 2017, el Pleno del Instituto Estatal de Transparencia, Acceso a la Información Pública y Protección de Datos Personales</w:t>
      </w:r>
      <w:r w:rsidR="00AD554E" w:rsidRPr="00BB4AFB">
        <w:rPr>
          <w:rFonts w:asciiTheme="majorHAnsi" w:eastAsia="Arial" w:hAnsiTheme="majorHAnsi" w:cstheme="majorHAnsi"/>
          <w:sz w:val="24"/>
          <w:szCs w:val="24"/>
        </w:rPr>
        <w:t xml:space="preserve">, aprobó la tabla de aplicabilidad de las obligaciones de transparencia </w:t>
      </w:r>
      <w:r w:rsidR="00C67E47" w:rsidRPr="00BB4AFB">
        <w:rPr>
          <w:rFonts w:asciiTheme="majorHAnsi" w:eastAsia="Arial" w:hAnsiTheme="majorHAnsi" w:cstheme="majorHAnsi"/>
          <w:sz w:val="24"/>
          <w:szCs w:val="24"/>
        </w:rPr>
        <w:t xml:space="preserve">comunes </w:t>
      </w:r>
      <w:r w:rsidR="00AD554E" w:rsidRPr="00BB4AFB">
        <w:rPr>
          <w:rFonts w:asciiTheme="majorHAnsi" w:eastAsia="Arial" w:hAnsiTheme="majorHAnsi" w:cstheme="majorHAnsi"/>
          <w:sz w:val="24"/>
          <w:szCs w:val="24"/>
        </w:rPr>
        <w:t>de los sujetos obligados del Poder Ejecutivo, ayuntamientos, organismos municipales y partidos políticos del Estado de Yucatán.</w:t>
      </w:r>
    </w:p>
    <w:p w:rsidR="00C67E47" w:rsidRPr="00BB4AFB" w:rsidRDefault="00C67E47" w:rsidP="00BB4AFB">
      <w:pPr>
        <w:spacing w:after="0" w:line="240" w:lineRule="auto"/>
        <w:jc w:val="both"/>
        <w:rPr>
          <w:rFonts w:asciiTheme="majorHAnsi" w:eastAsia="Arial" w:hAnsiTheme="majorHAnsi" w:cstheme="majorHAnsi"/>
          <w:sz w:val="24"/>
          <w:szCs w:val="24"/>
        </w:rPr>
      </w:pPr>
    </w:p>
    <w:p w:rsidR="00960F5A" w:rsidRPr="00BB4AFB" w:rsidRDefault="008F453A"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SEGUNDO</w:t>
      </w:r>
      <w:r w:rsidR="00C67E47" w:rsidRPr="00BB4AFB">
        <w:rPr>
          <w:rFonts w:asciiTheme="majorHAnsi" w:eastAsia="Arial" w:hAnsiTheme="majorHAnsi" w:cstheme="majorHAnsi"/>
          <w:b/>
          <w:sz w:val="24"/>
          <w:szCs w:val="24"/>
        </w:rPr>
        <w:t>.-</w:t>
      </w:r>
      <w:r w:rsidR="00C67E47" w:rsidRPr="00BB4AFB">
        <w:rPr>
          <w:rFonts w:asciiTheme="majorHAnsi" w:eastAsia="Arial" w:hAnsiTheme="majorHAnsi" w:cstheme="majorHAnsi"/>
          <w:sz w:val="24"/>
          <w:szCs w:val="24"/>
        </w:rPr>
        <w:t xml:space="preserve"> </w:t>
      </w:r>
      <w:r w:rsidR="00960F5A" w:rsidRPr="00BB4AFB">
        <w:rPr>
          <w:rFonts w:asciiTheme="majorHAnsi" w:eastAsia="Arial" w:hAnsiTheme="majorHAnsi" w:cstheme="majorHAnsi"/>
          <w:sz w:val="24"/>
          <w:szCs w:val="24"/>
        </w:rPr>
        <w:t>El 18 de mayo de 2017, el Pleno del Instituto Estatal de Transparencia, Acceso a la Información Pública y Protección de Datos Personales, aprobó la tabla de aplicabilidad de las obligaciones de transparencia comunes de los sujetos obligados del Poder Legislativo.</w:t>
      </w:r>
    </w:p>
    <w:p w:rsidR="00960F5A" w:rsidRPr="00BB4AFB" w:rsidRDefault="00960F5A" w:rsidP="00BB4AFB">
      <w:pPr>
        <w:spacing w:after="0" w:line="240" w:lineRule="auto"/>
        <w:jc w:val="both"/>
        <w:rPr>
          <w:rFonts w:asciiTheme="majorHAnsi" w:eastAsia="Arial" w:hAnsiTheme="majorHAnsi" w:cstheme="majorHAnsi"/>
          <w:sz w:val="24"/>
          <w:szCs w:val="24"/>
          <w:highlight w:val="yellow"/>
        </w:rPr>
      </w:pPr>
    </w:p>
    <w:p w:rsidR="00C67E47" w:rsidRPr="00BB4AFB" w:rsidRDefault="00960F5A"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TERCERO.-</w:t>
      </w:r>
      <w:r w:rsidRPr="00BB4AFB">
        <w:rPr>
          <w:rFonts w:asciiTheme="majorHAnsi" w:eastAsia="Arial" w:hAnsiTheme="majorHAnsi" w:cstheme="majorHAnsi"/>
          <w:sz w:val="24"/>
          <w:szCs w:val="24"/>
        </w:rPr>
        <w:t xml:space="preserve"> </w:t>
      </w:r>
      <w:r w:rsidR="001E13D3" w:rsidRPr="00BB4AFB">
        <w:rPr>
          <w:rFonts w:asciiTheme="majorHAnsi" w:eastAsia="Arial" w:hAnsiTheme="majorHAnsi" w:cstheme="majorHAnsi"/>
          <w:sz w:val="24"/>
          <w:szCs w:val="24"/>
        </w:rPr>
        <w:t xml:space="preserve">El </w:t>
      </w:r>
      <w:r w:rsidR="00C278C5" w:rsidRPr="00BB4AFB">
        <w:rPr>
          <w:rFonts w:asciiTheme="majorHAnsi" w:eastAsia="Arial" w:hAnsiTheme="majorHAnsi" w:cstheme="majorHAnsi"/>
          <w:sz w:val="24"/>
          <w:szCs w:val="24"/>
        </w:rPr>
        <w:t>25</w:t>
      </w:r>
      <w:r w:rsidR="001E13D3" w:rsidRPr="00BB4AFB">
        <w:rPr>
          <w:rFonts w:asciiTheme="majorHAnsi" w:eastAsia="Arial" w:hAnsiTheme="majorHAnsi" w:cstheme="majorHAnsi"/>
          <w:sz w:val="24"/>
          <w:szCs w:val="24"/>
        </w:rPr>
        <w:t xml:space="preserve"> de mayo de 2017, el Pleno del Instituto Estatal de Transparencia, Acceso a la Información Pública y Protección de Datos Personales, aprobó la tabla de aplicabilidad de las obligaciones de transparencia comunes de los </w:t>
      </w:r>
      <w:r w:rsidR="00C278C5" w:rsidRPr="00BB4AFB">
        <w:rPr>
          <w:rFonts w:asciiTheme="majorHAnsi" w:eastAsia="Arial" w:hAnsiTheme="majorHAnsi" w:cstheme="majorHAnsi"/>
          <w:sz w:val="24"/>
          <w:szCs w:val="24"/>
        </w:rPr>
        <w:t xml:space="preserve">organismos autónomos </w:t>
      </w:r>
      <w:r w:rsidR="001E13D3" w:rsidRPr="00BB4AFB">
        <w:rPr>
          <w:rFonts w:asciiTheme="majorHAnsi" w:eastAsia="Arial" w:hAnsiTheme="majorHAnsi" w:cstheme="majorHAnsi"/>
          <w:sz w:val="24"/>
          <w:szCs w:val="24"/>
        </w:rPr>
        <w:t>del Estado de Yucatán.</w:t>
      </w:r>
    </w:p>
    <w:p w:rsidR="00C278C5" w:rsidRPr="00BB4AFB" w:rsidRDefault="00C278C5" w:rsidP="00BB4AFB">
      <w:pPr>
        <w:spacing w:after="0" w:line="240" w:lineRule="auto"/>
        <w:jc w:val="both"/>
        <w:rPr>
          <w:rFonts w:asciiTheme="majorHAnsi" w:eastAsia="Arial" w:hAnsiTheme="majorHAnsi" w:cstheme="majorHAnsi"/>
          <w:sz w:val="24"/>
          <w:szCs w:val="24"/>
        </w:rPr>
      </w:pPr>
    </w:p>
    <w:p w:rsidR="00960F5A" w:rsidRPr="00BB4AFB" w:rsidRDefault="00960F5A"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CUARTO</w:t>
      </w:r>
      <w:r w:rsidR="00C278C5" w:rsidRPr="00BB4AFB">
        <w:rPr>
          <w:rFonts w:asciiTheme="majorHAnsi" w:eastAsia="Arial" w:hAnsiTheme="majorHAnsi" w:cstheme="majorHAnsi"/>
          <w:b/>
          <w:sz w:val="24"/>
          <w:szCs w:val="24"/>
        </w:rPr>
        <w:t xml:space="preserve">.- </w:t>
      </w:r>
      <w:r w:rsidRPr="00BB4AFB">
        <w:rPr>
          <w:rFonts w:asciiTheme="majorHAnsi" w:eastAsia="Arial" w:hAnsiTheme="majorHAnsi" w:cstheme="majorHAnsi"/>
          <w:sz w:val="24"/>
          <w:szCs w:val="24"/>
        </w:rPr>
        <w:t>El 21 de julio de 2017, el Pleno del Instituto Estatal de Transparencia, Acceso a la Información Pública y Protección de Datos Personales, aprobó la tabla de aplicabilidad de las obligaciones de transparencia comunes de los sujetos obligados del Poder Judicial.</w:t>
      </w:r>
    </w:p>
    <w:p w:rsidR="00853CEE" w:rsidRPr="00BB4AFB" w:rsidRDefault="00853CEE" w:rsidP="00BB4AFB">
      <w:pPr>
        <w:spacing w:after="0" w:line="240" w:lineRule="auto"/>
        <w:jc w:val="both"/>
        <w:rPr>
          <w:rFonts w:asciiTheme="majorHAnsi" w:eastAsia="Arial" w:hAnsiTheme="majorHAnsi" w:cstheme="majorHAnsi"/>
          <w:sz w:val="24"/>
          <w:szCs w:val="24"/>
        </w:rPr>
      </w:pPr>
    </w:p>
    <w:p w:rsidR="00853CEE" w:rsidRPr="00BB4AFB" w:rsidRDefault="00853CEE" w:rsidP="00BB4AFB">
      <w:pPr>
        <w:spacing w:after="0" w:line="240" w:lineRule="auto"/>
        <w:jc w:val="both"/>
        <w:rPr>
          <w:rFonts w:asciiTheme="majorHAnsi" w:eastAsia="Arial" w:hAnsiTheme="majorHAnsi" w:cstheme="majorHAnsi"/>
          <w:b/>
          <w:sz w:val="24"/>
          <w:szCs w:val="24"/>
        </w:rPr>
      </w:pPr>
      <w:r w:rsidRPr="00BB4AFB">
        <w:rPr>
          <w:rFonts w:asciiTheme="majorHAnsi" w:eastAsia="Arial" w:hAnsiTheme="majorHAnsi" w:cstheme="majorHAnsi"/>
          <w:b/>
          <w:sz w:val="24"/>
          <w:szCs w:val="24"/>
        </w:rPr>
        <w:t xml:space="preserve">QUINTO.- </w:t>
      </w:r>
      <w:r w:rsidRPr="00BB4AFB">
        <w:rPr>
          <w:rFonts w:asciiTheme="majorHAnsi" w:eastAsia="Arial" w:hAnsiTheme="majorHAnsi" w:cstheme="majorHAnsi"/>
          <w:sz w:val="24"/>
          <w:szCs w:val="24"/>
        </w:rPr>
        <w:t>El 05 de abril de 2018, el Pleno del Instituto Estatal de Transparencia, Acceso a la Información Pública y Protección de Datos Personales, aprobó la modificación de la tabla de aplicabilidad de las obligaciones de transparencia comunes de diversos sujetos obligados del Poder Ejecutivo.</w:t>
      </w:r>
    </w:p>
    <w:p w:rsidR="00960F5A" w:rsidRPr="00BB4AFB" w:rsidRDefault="00960F5A" w:rsidP="00BB4AFB">
      <w:pPr>
        <w:spacing w:after="0" w:line="240" w:lineRule="auto"/>
        <w:jc w:val="both"/>
        <w:rPr>
          <w:rFonts w:asciiTheme="majorHAnsi" w:eastAsia="Arial" w:hAnsiTheme="majorHAnsi" w:cstheme="majorHAnsi"/>
          <w:b/>
          <w:sz w:val="24"/>
          <w:szCs w:val="24"/>
        </w:rPr>
      </w:pPr>
    </w:p>
    <w:p w:rsidR="00B21E1D" w:rsidRPr="00BB4AFB" w:rsidRDefault="00853CEE"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SEXTO</w:t>
      </w:r>
      <w:r w:rsidR="002837B0" w:rsidRPr="00BB4AFB">
        <w:rPr>
          <w:rFonts w:asciiTheme="majorHAnsi" w:eastAsia="Arial" w:hAnsiTheme="majorHAnsi" w:cstheme="majorHAnsi"/>
          <w:b/>
          <w:sz w:val="24"/>
          <w:szCs w:val="24"/>
        </w:rPr>
        <w:t xml:space="preserve">.- </w:t>
      </w:r>
      <w:r w:rsidR="00D7026E" w:rsidRPr="00BB4AFB">
        <w:rPr>
          <w:rFonts w:asciiTheme="majorHAnsi" w:eastAsia="Arial" w:hAnsiTheme="majorHAnsi" w:cstheme="majorHAnsi"/>
          <w:sz w:val="24"/>
          <w:szCs w:val="24"/>
        </w:rPr>
        <w:t xml:space="preserve">Con base a las consideraciones realizadas en los acuerdos a través de los cuales se aprobaron las tablas de aplicabilidad de las obligaciones de transparencia, </w:t>
      </w:r>
      <w:r w:rsidR="008F453A" w:rsidRPr="00BB4AFB">
        <w:rPr>
          <w:rFonts w:asciiTheme="majorHAnsi" w:eastAsia="Arial" w:hAnsiTheme="majorHAnsi" w:cstheme="majorHAnsi"/>
          <w:sz w:val="24"/>
          <w:szCs w:val="24"/>
        </w:rPr>
        <w:t>se realizaron diversas reuniones de trabajo</w:t>
      </w:r>
      <w:r w:rsidR="005C3E6D" w:rsidRPr="00BB4AFB">
        <w:rPr>
          <w:rFonts w:asciiTheme="majorHAnsi" w:eastAsia="Arial" w:hAnsiTheme="majorHAnsi" w:cstheme="majorHAnsi"/>
          <w:sz w:val="24"/>
          <w:szCs w:val="24"/>
        </w:rPr>
        <w:t>, entre otros,</w:t>
      </w:r>
      <w:r w:rsidR="008F453A" w:rsidRPr="00BB4AFB">
        <w:rPr>
          <w:rFonts w:asciiTheme="majorHAnsi" w:eastAsia="Arial" w:hAnsiTheme="majorHAnsi" w:cstheme="majorHAnsi"/>
          <w:sz w:val="24"/>
          <w:szCs w:val="24"/>
        </w:rPr>
        <w:t xml:space="preserve"> con </w:t>
      </w:r>
      <w:r w:rsidR="00B21E1D" w:rsidRPr="00BB4AFB">
        <w:rPr>
          <w:rFonts w:asciiTheme="majorHAnsi" w:eastAsia="Arial" w:hAnsiTheme="majorHAnsi" w:cstheme="majorHAnsi"/>
          <w:sz w:val="24"/>
          <w:szCs w:val="24"/>
        </w:rPr>
        <w:t xml:space="preserve">los siguientes sujetos obligados: </w:t>
      </w:r>
    </w:p>
    <w:p w:rsidR="008528A6" w:rsidRPr="00BB4AFB" w:rsidRDefault="008528A6" w:rsidP="00BB4AFB">
      <w:pPr>
        <w:spacing w:after="0" w:line="240" w:lineRule="auto"/>
        <w:jc w:val="both"/>
        <w:rPr>
          <w:rFonts w:asciiTheme="majorHAnsi" w:eastAsia="Arial" w:hAnsiTheme="majorHAnsi" w:cstheme="majorHAnsi"/>
          <w:sz w:val="24"/>
          <w:szCs w:val="24"/>
        </w:rPr>
      </w:pPr>
    </w:p>
    <w:p w:rsidR="00B21E1D" w:rsidRPr="00BB4AFB" w:rsidRDefault="00B21E1D" w:rsidP="00BB4AFB">
      <w:pPr>
        <w:pStyle w:val="Prrafodelista"/>
        <w:numPr>
          <w:ilvl w:val="0"/>
          <w:numId w:val="25"/>
        </w:num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lastRenderedPageBreak/>
        <w:t>Con la Secretaría de Administración y Finanzas, donde se solicitó la reconsideración de la obligación de transparencia dispuesta en la fracción XLIII del artículo 70 de la Ley general de transparencia.</w:t>
      </w:r>
    </w:p>
    <w:p w:rsidR="00B21E1D" w:rsidRPr="00BB4AFB" w:rsidRDefault="00B21E1D" w:rsidP="00BB4AFB">
      <w:pPr>
        <w:pStyle w:val="Prrafodelista"/>
        <w:numPr>
          <w:ilvl w:val="0"/>
          <w:numId w:val="25"/>
        </w:num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Con el Tribunal de lo Contencioso Administrativo del Municipio de Mérida, donde se solicitó la reconsideración de la obligación de transparencia dispuesta en la fracción XXXVI del artículo 70 de la Ley general de transparencia.</w:t>
      </w:r>
    </w:p>
    <w:p w:rsidR="008F453A" w:rsidRPr="00BB4AFB" w:rsidRDefault="008F453A" w:rsidP="00BB4AFB">
      <w:pPr>
        <w:spacing w:after="0" w:line="240" w:lineRule="auto"/>
        <w:jc w:val="both"/>
        <w:rPr>
          <w:rFonts w:asciiTheme="majorHAnsi" w:eastAsia="Arial" w:hAnsiTheme="majorHAnsi" w:cstheme="majorHAnsi"/>
          <w:sz w:val="24"/>
          <w:szCs w:val="24"/>
        </w:rPr>
      </w:pPr>
    </w:p>
    <w:p w:rsidR="00AF7826" w:rsidRPr="00BB4AFB" w:rsidRDefault="00853CEE"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SÉPTIMO</w:t>
      </w:r>
      <w:r w:rsidR="008F453A" w:rsidRPr="00BB4AFB">
        <w:rPr>
          <w:rFonts w:asciiTheme="majorHAnsi" w:eastAsia="Arial" w:hAnsiTheme="majorHAnsi" w:cstheme="majorHAnsi"/>
          <w:b/>
          <w:sz w:val="24"/>
          <w:szCs w:val="24"/>
        </w:rPr>
        <w:t xml:space="preserve">.- </w:t>
      </w:r>
      <w:r w:rsidR="00AF7826" w:rsidRPr="00BB4AFB">
        <w:rPr>
          <w:rFonts w:asciiTheme="majorHAnsi" w:eastAsia="Arial" w:hAnsiTheme="majorHAnsi" w:cstheme="majorHAnsi"/>
          <w:sz w:val="24"/>
          <w:szCs w:val="24"/>
        </w:rPr>
        <w:t xml:space="preserve">En fecha 18 de julio de 2017, se publicó en el Diario Oficial del Gobierno del Estado, el Decreto 510/2017 por el que se expide la Ley de Responsabilidades Administrativas del Estado de Yucatán, </w:t>
      </w:r>
      <w:r w:rsidR="00330796" w:rsidRPr="00BB4AFB">
        <w:rPr>
          <w:rFonts w:asciiTheme="majorHAnsi" w:eastAsia="Arial" w:hAnsiTheme="majorHAnsi" w:cstheme="majorHAnsi"/>
          <w:sz w:val="24"/>
          <w:szCs w:val="24"/>
        </w:rPr>
        <w:t xml:space="preserve">que tiene por objeto </w:t>
      </w:r>
      <w:r w:rsidR="00521CF9" w:rsidRPr="00BB4AFB">
        <w:rPr>
          <w:rFonts w:asciiTheme="majorHAnsi" w:eastAsia="Arial" w:hAnsiTheme="majorHAnsi" w:cstheme="majorHAnsi"/>
          <w:sz w:val="24"/>
          <w:szCs w:val="24"/>
        </w:rPr>
        <w:t xml:space="preserve">distribuir competencias entre los distintos órdenes de gobierno en el Estado, </w:t>
      </w:r>
      <w:r w:rsidR="00691370" w:rsidRPr="00BB4AFB">
        <w:rPr>
          <w:rFonts w:asciiTheme="majorHAnsi" w:eastAsia="Arial" w:hAnsiTheme="majorHAnsi" w:cstheme="majorHAnsi"/>
          <w:sz w:val="24"/>
          <w:szCs w:val="24"/>
        </w:rPr>
        <w:t xml:space="preserve">para conocer de las responsabilidades administrativas de los servidores públicos; </w:t>
      </w:r>
      <w:r w:rsidR="00AF7826" w:rsidRPr="00BB4AFB">
        <w:rPr>
          <w:rFonts w:asciiTheme="majorHAnsi" w:eastAsia="Arial" w:hAnsiTheme="majorHAnsi" w:cstheme="majorHAnsi"/>
          <w:sz w:val="24"/>
          <w:szCs w:val="24"/>
        </w:rPr>
        <w:t xml:space="preserve">dando lugar </w:t>
      </w:r>
      <w:r w:rsidR="00691370" w:rsidRPr="00BB4AFB">
        <w:rPr>
          <w:rFonts w:asciiTheme="majorHAnsi" w:eastAsia="Arial" w:hAnsiTheme="majorHAnsi" w:cstheme="majorHAnsi"/>
          <w:sz w:val="24"/>
          <w:szCs w:val="24"/>
        </w:rPr>
        <w:t xml:space="preserve">de esta manera </w:t>
      </w:r>
      <w:r w:rsidR="00AF7826" w:rsidRPr="00BB4AFB">
        <w:rPr>
          <w:rFonts w:asciiTheme="majorHAnsi" w:eastAsia="Arial" w:hAnsiTheme="majorHAnsi" w:cstheme="majorHAnsi"/>
          <w:sz w:val="24"/>
          <w:szCs w:val="24"/>
        </w:rPr>
        <w:t>a la reconsideración de la obligación de transparencia dispuesta en la fracción XII del artículo 70 de la Ley general de transparencia.</w:t>
      </w:r>
    </w:p>
    <w:p w:rsidR="00D7026E" w:rsidRPr="00BB4AFB" w:rsidRDefault="00D7026E" w:rsidP="00BB4AFB">
      <w:pPr>
        <w:spacing w:after="0" w:line="240" w:lineRule="auto"/>
        <w:jc w:val="both"/>
        <w:rPr>
          <w:rFonts w:asciiTheme="majorHAnsi" w:eastAsia="Arial" w:hAnsiTheme="majorHAnsi" w:cstheme="majorHAnsi"/>
          <w:sz w:val="24"/>
          <w:szCs w:val="24"/>
        </w:rPr>
      </w:pPr>
    </w:p>
    <w:p w:rsidR="00A16D01" w:rsidRPr="00BB4AFB" w:rsidRDefault="00A16D01" w:rsidP="00BB4AFB">
      <w:pPr>
        <w:spacing w:after="0" w:line="240" w:lineRule="auto"/>
        <w:jc w:val="center"/>
        <w:rPr>
          <w:rFonts w:asciiTheme="majorHAnsi" w:hAnsiTheme="majorHAnsi" w:cstheme="majorHAnsi"/>
          <w:b/>
          <w:sz w:val="24"/>
          <w:szCs w:val="24"/>
        </w:rPr>
      </w:pPr>
      <w:r w:rsidRPr="00BB4AFB">
        <w:rPr>
          <w:rFonts w:asciiTheme="majorHAnsi" w:hAnsiTheme="majorHAnsi" w:cstheme="majorHAnsi"/>
          <w:b/>
          <w:sz w:val="24"/>
          <w:szCs w:val="24"/>
        </w:rPr>
        <w:t>CONSIDERANDOS</w:t>
      </w:r>
    </w:p>
    <w:p w:rsidR="00807346" w:rsidRPr="00BB4AFB" w:rsidRDefault="00807346" w:rsidP="00BB4AFB">
      <w:pPr>
        <w:spacing w:after="0" w:line="240" w:lineRule="auto"/>
        <w:jc w:val="both"/>
        <w:rPr>
          <w:rFonts w:asciiTheme="majorHAnsi" w:eastAsia="Arial" w:hAnsiTheme="majorHAnsi" w:cstheme="majorHAnsi"/>
          <w:b/>
          <w:sz w:val="24"/>
          <w:szCs w:val="24"/>
        </w:rPr>
      </w:pPr>
    </w:p>
    <w:p w:rsidR="00807346" w:rsidRPr="00BB4AFB" w:rsidRDefault="00A16D01"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 xml:space="preserve">PRIMERO.- </w:t>
      </w:r>
      <w:r w:rsidR="000317AB" w:rsidRPr="00BB4AFB">
        <w:rPr>
          <w:rFonts w:asciiTheme="majorHAnsi" w:eastAsia="Arial" w:hAnsiTheme="majorHAnsi" w:cstheme="majorHAnsi"/>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BB4AFB">
        <w:rPr>
          <w:rFonts w:asciiTheme="majorHAnsi" w:eastAsia="Arial" w:hAnsiTheme="majorHAnsi" w:cstheme="majorHAnsi"/>
          <w:sz w:val="24"/>
          <w:szCs w:val="24"/>
        </w:rPr>
        <w:t>la</w:t>
      </w:r>
      <w:r w:rsidR="000317AB" w:rsidRPr="00BB4AFB">
        <w:rPr>
          <w:rFonts w:asciiTheme="majorHAnsi" w:eastAsia="Arial" w:hAnsiTheme="majorHAnsi" w:cstheme="majorHAnsi"/>
          <w:sz w:val="24"/>
          <w:szCs w:val="24"/>
        </w:rPr>
        <w:t xml:space="preserve"> </w:t>
      </w:r>
      <w:r w:rsidR="002A74C9" w:rsidRPr="00BB4AFB">
        <w:rPr>
          <w:rFonts w:asciiTheme="majorHAnsi" w:eastAsia="Arial" w:hAnsiTheme="majorHAnsi" w:cstheme="majorHAnsi"/>
          <w:sz w:val="24"/>
          <w:szCs w:val="24"/>
        </w:rPr>
        <w:t>L</w:t>
      </w:r>
      <w:r w:rsidR="000317AB" w:rsidRPr="00BB4AFB">
        <w:rPr>
          <w:rFonts w:asciiTheme="majorHAnsi" w:eastAsia="Arial" w:hAnsiTheme="majorHAnsi" w:cstheme="majorHAnsi"/>
          <w:sz w:val="24"/>
          <w:szCs w:val="24"/>
        </w:rPr>
        <w:t>ey</w:t>
      </w:r>
      <w:r w:rsidR="002A74C9" w:rsidRPr="00BB4AFB">
        <w:rPr>
          <w:rFonts w:asciiTheme="majorHAnsi" w:eastAsia="Arial" w:hAnsiTheme="majorHAnsi" w:cstheme="majorHAnsi"/>
          <w:sz w:val="24"/>
          <w:szCs w:val="24"/>
        </w:rPr>
        <w:t xml:space="preserve"> estatal de la materia</w:t>
      </w:r>
      <w:r w:rsidR="000317AB" w:rsidRPr="00BB4AFB">
        <w:rPr>
          <w:rFonts w:asciiTheme="majorHAnsi" w:eastAsia="Arial" w:hAnsiTheme="majorHAnsi" w:cstheme="majorHAnsi"/>
          <w:sz w:val="24"/>
          <w:szCs w:val="24"/>
        </w:rPr>
        <w:t xml:space="preserve"> y demás disposiciones normativas aplicables.</w:t>
      </w:r>
    </w:p>
    <w:p w:rsidR="006136C0" w:rsidRPr="00BB4AFB" w:rsidRDefault="006136C0" w:rsidP="00BB4AFB">
      <w:pPr>
        <w:spacing w:after="0" w:line="240" w:lineRule="auto"/>
        <w:jc w:val="both"/>
        <w:rPr>
          <w:rFonts w:asciiTheme="majorHAnsi" w:eastAsia="Arial" w:hAnsiTheme="majorHAnsi" w:cstheme="majorHAnsi"/>
          <w:sz w:val="24"/>
          <w:szCs w:val="24"/>
        </w:rPr>
      </w:pPr>
    </w:p>
    <w:p w:rsidR="009160F1" w:rsidRPr="00BB4AFB" w:rsidRDefault="00D94442"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SEGUNDO.</w:t>
      </w:r>
      <w:r w:rsidRPr="00BB4AFB">
        <w:rPr>
          <w:rFonts w:asciiTheme="majorHAnsi" w:eastAsia="Arial" w:hAnsiTheme="majorHAnsi" w:cstheme="majorHAnsi"/>
          <w:sz w:val="24"/>
          <w:szCs w:val="24"/>
        </w:rPr>
        <w:t>-</w:t>
      </w:r>
      <w:r w:rsidR="000317AB" w:rsidRPr="00BB4AFB">
        <w:rPr>
          <w:rFonts w:asciiTheme="majorHAnsi" w:eastAsia="Arial" w:hAnsiTheme="majorHAnsi" w:cstheme="majorHAnsi"/>
          <w:sz w:val="24"/>
          <w:szCs w:val="24"/>
        </w:rPr>
        <w:t xml:space="preserve"> </w:t>
      </w:r>
      <w:r w:rsidR="009160F1" w:rsidRPr="00BB4AFB">
        <w:rPr>
          <w:rFonts w:asciiTheme="majorHAnsi" w:eastAsia="Arial" w:hAnsiTheme="majorHAnsi" w:cstheme="majorHAnsi"/>
          <w:sz w:val="24"/>
          <w:szCs w:val="24"/>
        </w:rPr>
        <w:t xml:space="preserve">De conformidad con lo señalado en el </w:t>
      </w:r>
      <w:r w:rsidR="00F8649F" w:rsidRPr="00BB4AFB">
        <w:rPr>
          <w:rFonts w:asciiTheme="majorHAnsi" w:eastAsia="Arial" w:hAnsiTheme="majorHAnsi" w:cstheme="majorHAnsi"/>
          <w:sz w:val="24"/>
          <w:szCs w:val="24"/>
        </w:rPr>
        <w:t>numeral noveno de los Lineamientos Técnicos Generales</w:t>
      </w:r>
      <w:r w:rsidR="00FE1A82" w:rsidRPr="00BB4AFB">
        <w:rPr>
          <w:rFonts w:asciiTheme="majorHAnsi" w:eastAsia="Arial" w:hAnsiTheme="majorHAnsi" w:cstheme="majorHAnsi"/>
          <w:sz w:val="24"/>
          <w:szCs w:val="24"/>
        </w:rPr>
        <w:t>, en su fracci</w:t>
      </w:r>
      <w:r w:rsidR="003A51BF" w:rsidRPr="00BB4AFB">
        <w:rPr>
          <w:rFonts w:asciiTheme="majorHAnsi" w:eastAsia="Arial" w:hAnsiTheme="majorHAnsi" w:cstheme="majorHAnsi"/>
          <w:sz w:val="24"/>
          <w:szCs w:val="24"/>
        </w:rPr>
        <w:t>ón III, los sujetos obligados publicarán la</w:t>
      </w:r>
      <w:r w:rsidR="00872F92" w:rsidRPr="00BB4AFB">
        <w:rPr>
          <w:rFonts w:asciiTheme="majorHAnsi" w:eastAsia="Arial" w:hAnsiTheme="majorHAnsi" w:cstheme="majorHAnsi"/>
          <w:sz w:val="24"/>
          <w:szCs w:val="24"/>
        </w:rPr>
        <w:t>s</w:t>
      </w:r>
      <w:r w:rsidR="003A51BF" w:rsidRPr="00BB4AFB">
        <w:rPr>
          <w:rFonts w:asciiTheme="majorHAnsi" w:eastAsia="Arial" w:hAnsiTheme="majorHAnsi" w:cstheme="majorHAnsi"/>
          <w:sz w:val="24"/>
          <w:szCs w:val="24"/>
        </w:rPr>
        <w:t xml:space="preserve"> tabla</w:t>
      </w:r>
      <w:r w:rsidR="00872F92" w:rsidRPr="00BB4AFB">
        <w:rPr>
          <w:rFonts w:asciiTheme="majorHAnsi" w:eastAsia="Arial" w:hAnsiTheme="majorHAnsi" w:cstheme="majorHAnsi"/>
          <w:sz w:val="24"/>
          <w:szCs w:val="24"/>
        </w:rPr>
        <w:t>s</w:t>
      </w:r>
      <w:r w:rsidR="003A51BF" w:rsidRPr="00BB4AFB">
        <w:rPr>
          <w:rFonts w:asciiTheme="majorHAnsi" w:eastAsia="Arial" w:hAnsiTheme="majorHAnsi" w:cstheme="majorHAnsi"/>
          <w:sz w:val="24"/>
          <w:szCs w:val="24"/>
        </w:rPr>
        <w:t xml:space="preserve"> de aplicabilidad de las obligaciones de transparencia comunes y específicas, la</w:t>
      </w:r>
      <w:r w:rsidR="00872F92" w:rsidRPr="00BB4AFB">
        <w:rPr>
          <w:rFonts w:asciiTheme="majorHAnsi" w:eastAsia="Arial" w:hAnsiTheme="majorHAnsi" w:cstheme="majorHAnsi"/>
          <w:sz w:val="24"/>
          <w:szCs w:val="24"/>
        </w:rPr>
        <w:t>s</w:t>
      </w:r>
      <w:r w:rsidR="003A51BF" w:rsidRPr="00BB4AFB">
        <w:rPr>
          <w:rFonts w:asciiTheme="majorHAnsi" w:eastAsia="Arial" w:hAnsiTheme="majorHAnsi" w:cstheme="majorHAnsi"/>
          <w:sz w:val="24"/>
          <w:szCs w:val="24"/>
        </w:rPr>
        <w:t xml:space="preserve"> cual</w:t>
      </w:r>
      <w:r w:rsidR="00872F92" w:rsidRPr="00BB4AFB">
        <w:rPr>
          <w:rFonts w:asciiTheme="majorHAnsi" w:eastAsia="Arial" w:hAnsiTheme="majorHAnsi" w:cstheme="majorHAnsi"/>
          <w:sz w:val="24"/>
          <w:szCs w:val="24"/>
        </w:rPr>
        <w:t>es</w:t>
      </w:r>
      <w:r w:rsidR="003A51BF" w:rsidRPr="00BB4AFB">
        <w:rPr>
          <w:rFonts w:asciiTheme="majorHAnsi" w:eastAsia="Arial" w:hAnsiTheme="majorHAnsi" w:cstheme="majorHAnsi"/>
          <w:sz w:val="24"/>
          <w:szCs w:val="24"/>
        </w:rPr>
        <w:t xml:space="preserve"> deberá</w:t>
      </w:r>
      <w:r w:rsidR="00872F92" w:rsidRPr="00BB4AFB">
        <w:rPr>
          <w:rFonts w:asciiTheme="majorHAnsi" w:eastAsia="Arial" w:hAnsiTheme="majorHAnsi" w:cstheme="majorHAnsi"/>
          <w:sz w:val="24"/>
          <w:szCs w:val="24"/>
        </w:rPr>
        <w:t>n</w:t>
      </w:r>
      <w:r w:rsidR="003A51BF" w:rsidRPr="00BB4AFB">
        <w:rPr>
          <w:rFonts w:asciiTheme="majorHAnsi" w:eastAsia="Arial" w:hAnsiTheme="majorHAnsi" w:cstheme="majorHAnsi"/>
          <w:sz w:val="24"/>
          <w:szCs w:val="24"/>
        </w:rPr>
        <w:t xml:space="preserve"> ser verificada</w:t>
      </w:r>
      <w:r w:rsidR="00872F92" w:rsidRPr="00BB4AFB">
        <w:rPr>
          <w:rFonts w:asciiTheme="majorHAnsi" w:eastAsia="Arial" w:hAnsiTheme="majorHAnsi" w:cstheme="majorHAnsi"/>
          <w:sz w:val="24"/>
          <w:szCs w:val="24"/>
        </w:rPr>
        <w:t>s</w:t>
      </w:r>
      <w:r w:rsidR="003A51BF" w:rsidRPr="00BB4AFB">
        <w:rPr>
          <w:rFonts w:asciiTheme="majorHAnsi" w:eastAsia="Arial" w:hAnsiTheme="majorHAnsi" w:cstheme="majorHAnsi"/>
          <w:sz w:val="24"/>
          <w:szCs w:val="24"/>
        </w:rPr>
        <w:t xml:space="preserve"> y aprobada</w:t>
      </w:r>
      <w:r w:rsidR="00872F92" w:rsidRPr="00BB4AFB">
        <w:rPr>
          <w:rFonts w:asciiTheme="majorHAnsi" w:eastAsia="Arial" w:hAnsiTheme="majorHAnsi" w:cstheme="majorHAnsi"/>
          <w:sz w:val="24"/>
          <w:szCs w:val="24"/>
        </w:rPr>
        <w:t>s</w:t>
      </w:r>
      <w:r w:rsidR="003A51BF" w:rsidRPr="00BB4AFB">
        <w:rPr>
          <w:rFonts w:asciiTheme="majorHAnsi" w:eastAsia="Arial" w:hAnsiTheme="majorHAnsi" w:cstheme="majorHAnsi"/>
          <w:sz w:val="24"/>
          <w:szCs w:val="24"/>
        </w:rPr>
        <w:t xml:space="preserve"> por el órgano garante</w:t>
      </w:r>
      <w:r w:rsidR="009160F1" w:rsidRPr="00BB4AFB">
        <w:rPr>
          <w:rFonts w:asciiTheme="majorHAnsi" w:eastAsia="Arial" w:hAnsiTheme="majorHAnsi" w:cstheme="majorHAnsi"/>
          <w:sz w:val="24"/>
          <w:szCs w:val="24"/>
        </w:rPr>
        <w:t>.</w:t>
      </w:r>
    </w:p>
    <w:p w:rsidR="00085008" w:rsidRPr="00BB4AFB" w:rsidRDefault="00085008" w:rsidP="00BB4AFB">
      <w:pPr>
        <w:spacing w:after="0" w:line="240" w:lineRule="auto"/>
        <w:jc w:val="both"/>
        <w:rPr>
          <w:rFonts w:asciiTheme="majorHAnsi" w:eastAsia="Arial" w:hAnsiTheme="majorHAnsi" w:cstheme="majorHAnsi"/>
          <w:sz w:val="24"/>
          <w:szCs w:val="24"/>
        </w:rPr>
      </w:pPr>
    </w:p>
    <w:p w:rsidR="00085008" w:rsidRPr="00BB4AFB" w:rsidRDefault="00085008"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 xml:space="preserve">TERCERO.- </w:t>
      </w:r>
      <w:r w:rsidRPr="00BB4AFB">
        <w:rPr>
          <w:rFonts w:asciiTheme="majorHAnsi" w:eastAsia="Arial" w:hAnsiTheme="majorHAnsi" w:cstheme="majorHAnsi"/>
          <w:sz w:val="24"/>
          <w:szCs w:val="24"/>
        </w:rPr>
        <w:t xml:space="preserve">Además de lo señalado </w:t>
      </w:r>
      <w:r w:rsidR="00300372" w:rsidRPr="00BB4AFB">
        <w:rPr>
          <w:rFonts w:asciiTheme="majorHAnsi" w:eastAsia="Arial" w:hAnsiTheme="majorHAnsi" w:cstheme="majorHAnsi"/>
          <w:sz w:val="24"/>
          <w:szCs w:val="24"/>
        </w:rPr>
        <w:t>en el considerando que antecede;</w:t>
      </w:r>
      <w:r w:rsidRPr="00BB4AFB">
        <w:rPr>
          <w:rFonts w:asciiTheme="majorHAnsi" w:eastAsia="Arial" w:hAnsiTheme="majorHAnsi" w:cstheme="majorHAnsi"/>
          <w:sz w:val="24"/>
          <w:szCs w:val="24"/>
        </w:rPr>
        <w:t xml:space="preserve"> </w:t>
      </w:r>
      <w:r w:rsidR="00300372" w:rsidRPr="00BB4AFB">
        <w:rPr>
          <w:rFonts w:asciiTheme="majorHAnsi" w:eastAsia="Arial" w:hAnsiTheme="majorHAnsi" w:cstheme="majorHAnsi"/>
          <w:sz w:val="24"/>
          <w:szCs w:val="24"/>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rsidR="00300372" w:rsidRPr="00BB4AFB" w:rsidRDefault="00300372" w:rsidP="00BB4AFB">
      <w:pPr>
        <w:spacing w:after="0" w:line="240" w:lineRule="auto"/>
        <w:jc w:val="both"/>
        <w:rPr>
          <w:rFonts w:asciiTheme="majorHAnsi" w:eastAsia="Arial" w:hAnsiTheme="majorHAnsi" w:cstheme="majorHAnsi"/>
          <w:sz w:val="24"/>
          <w:szCs w:val="24"/>
        </w:rPr>
      </w:pPr>
    </w:p>
    <w:p w:rsidR="00B21E1D" w:rsidRPr="00BB4AFB" w:rsidRDefault="00620069"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lastRenderedPageBreak/>
        <w:t>CUARTO.-</w:t>
      </w:r>
      <w:r w:rsidR="00B21E1D" w:rsidRPr="00BB4AFB">
        <w:rPr>
          <w:rFonts w:asciiTheme="majorHAnsi" w:eastAsia="Arial" w:hAnsiTheme="majorHAnsi" w:cstheme="majorHAnsi"/>
          <w:sz w:val="24"/>
          <w:szCs w:val="24"/>
        </w:rPr>
        <w:t xml:space="preserve"> Con base en los resultados obtenidos en las reuniones de trabajo sostenidas con personal de las unidades administrativas y de la unidad de transparencia de la Secretaría de Administración y Finanzas, en donde se analizó y vinculó el acuerdo del Pleno, referido en el antecedente primero; nos allegamos de elementos para reconsiderar la aplicabilidad de la obligación de transparencia a que hace referencia la fracción XLIII de la Ley general, en tal razón se modifica la tabla de aplicabilidad del sujeto obligado que nos ocupa, para quedar como sigue:</w:t>
      </w:r>
    </w:p>
    <w:p w:rsidR="008528A6" w:rsidRPr="00BB4AFB" w:rsidRDefault="008528A6" w:rsidP="00BB4AFB">
      <w:pPr>
        <w:spacing w:after="0" w:line="240" w:lineRule="auto"/>
        <w:jc w:val="both"/>
        <w:rPr>
          <w:rFonts w:asciiTheme="majorHAnsi" w:eastAsia="Arial" w:hAnsiTheme="majorHAnsi" w:cstheme="majorHAnsi"/>
          <w:b/>
          <w:sz w:val="24"/>
          <w:szCs w:val="24"/>
        </w:rPr>
      </w:pPr>
    </w:p>
    <w:p w:rsidR="008528A6" w:rsidRPr="00BB4AFB" w:rsidRDefault="008528A6" w:rsidP="00BB4AFB">
      <w:pPr>
        <w:spacing w:after="0" w:line="240" w:lineRule="auto"/>
        <w:jc w:val="both"/>
        <w:rPr>
          <w:rFonts w:asciiTheme="majorHAnsi" w:eastAsia="Arial" w:hAnsiTheme="majorHAnsi" w:cstheme="majorHAnsi"/>
          <w:b/>
          <w:sz w:val="24"/>
          <w:szCs w:val="24"/>
        </w:rPr>
      </w:pPr>
      <w:r w:rsidRPr="00BB4AFB">
        <w:rPr>
          <w:rFonts w:asciiTheme="majorHAnsi" w:eastAsia="Arial" w:hAnsiTheme="majorHAnsi" w:cstheme="majorHAnsi"/>
          <w:b/>
          <w:sz w:val="24"/>
          <w:szCs w:val="24"/>
        </w:rPr>
        <w:t>Del Poder Ejecutivo</w:t>
      </w:r>
    </w:p>
    <w:p w:rsidR="00B21E1D" w:rsidRPr="00BB4AFB" w:rsidRDefault="00B21E1D" w:rsidP="00BB4AFB">
      <w:pPr>
        <w:spacing w:after="0" w:line="240" w:lineRule="auto"/>
        <w:jc w:val="both"/>
        <w:rPr>
          <w:rFonts w:asciiTheme="majorHAnsi" w:eastAsia="Arial" w:hAnsiTheme="majorHAnsi" w:cstheme="majorHAnsi"/>
          <w:sz w:val="24"/>
          <w:szCs w:val="24"/>
          <w:highlight w:val="yellow"/>
        </w:rPr>
      </w:pPr>
    </w:p>
    <w:tbl>
      <w:tblPr>
        <w:tblStyle w:val="Tablaconcuadrcula"/>
        <w:tblW w:w="10665" w:type="dxa"/>
        <w:jc w:val="center"/>
        <w:tblLayout w:type="fixed"/>
        <w:tblLook w:val="04A0" w:firstRow="1" w:lastRow="0" w:firstColumn="1" w:lastColumn="0" w:noHBand="0" w:noVBand="1"/>
      </w:tblPr>
      <w:tblGrid>
        <w:gridCol w:w="720"/>
        <w:gridCol w:w="2030"/>
        <w:gridCol w:w="1740"/>
        <w:gridCol w:w="1449"/>
        <w:gridCol w:w="4726"/>
      </w:tblGrid>
      <w:tr w:rsidR="00B21E1D" w:rsidRPr="00BB4AFB" w:rsidTr="00BB4AFB">
        <w:trPr>
          <w:trHeight w:val="456"/>
          <w:tblHeader/>
          <w:jc w:val="center"/>
        </w:trPr>
        <w:tc>
          <w:tcPr>
            <w:tcW w:w="2750" w:type="dxa"/>
            <w:gridSpan w:val="2"/>
            <w:shd w:val="clear" w:color="auto" w:fill="B4C6E7" w:themeFill="accent5" w:themeFillTint="66"/>
            <w:vAlign w:val="center"/>
          </w:tcPr>
          <w:p w:rsidR="00B21E1D" w:rsidRPr="00BB4AFB" w:rsidRDefault="00B21E1D"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Fracción/ Obligación de Transparencia</w:t>
            </w:r>
          </w:p>
        </w:tc>
        <w:tc>
          <w:tcPr>
            <w:tcW w:w="1740" w:type="dxa"/>
            <w:shd w:val="clear" w:color="auto" w:fill="B4C6E7" w:themeFill="accent5" w:themeFillTint="66"/>
            <w:vAlign w:val="center"/>
          </w:tcPr>
          <w:p w:rsidR="00B21E1D" w:rsidRPr="00BB4AFB" w:rsidRDefault="00B21E1D"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Sujeto Obligado</w:t>
            </w:r>
          </w:p>
        </w:tc>
        <w:tc>
          <w:tcPr>
            <w:tcW w:w="1449" w:type="dxa"/>
            <w:shd w:val="clear" w:color="auto" w:fill="B4C6E7" w:themeFill="accent5" w:themeFillTint="66"/>
            <w:vAlign w:val="center"/>
          </w:tcPr>
          <w:p w:rsidR="00B21E1D" w:rsidRPr="00BB4AFB" w:rsidRDefault="00B21E1D"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Aplicable/ No Aplicable</w:t>
            </w:r>
          </w:p>
        </w:tc>
        <w:tc>
          <w:tcPr>
            <w:tcW w:w="4726" w:type="dxa"/>
            <w:shd w:val="clear" w:color="auto" w:fill="B4C6E7" w:themeFill="accent5" w:themeFillTint="66"/>
            <w:vAlign w:val="center"/>
          </w:tcPr>
          <w:p w:rsidR="00B21E1D" w:rsidRPr="00BB4AFB" w:rsidRDefault="00B21E1D"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Fundamento Legal</w:t>
            </w:r>
          </w:p>
        </w:tc>
      </w:tr>
      <w:tr w:rsidR="00B21E1D" w:rsidRPr="00BB4AFB" w:rsidTr="00BB4AFB">
        <w:trPr>
          <w:trHeight w:val="2328"/>
          <w:jc w:val="center"/>
        </w:trPr>
        <w:tc>
          <w:tcPr>
            <w:tcW w:w="720" w:type="dxa"/>
            <w:vAlign w:val="center"/>
          </w:tcPr>
          <w:p w:rsidR="00B21E1D" w:rsidRPr="00BB4AFB" w:rsidRDefault="00B21E1D"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XLIII</w:t>
            </w:r>
          </w:p>
        </w:tc>
        <w:tc>
          <w:tcPr>
            <w:tcW w:w="2030" w:type="dxa"/>
            <w:vAlign w:val="center"/>
          </w:tcPr>
          <w:p w:rsidR="00B21E1D" w:rsidRPr="00BB4AFB" w:rsidRDefault="00B21E1D" w:rsidP="00BB4AFB">
            <w:pPr>
              <w:spacing w:after="0" w:line="240" w:lineRule="auto"/>
              <w:jc w:val="both"/>
              <w:rPr>
                <w:rFonts w:asciiTheme="majorHAnsi" w:eastAsia="Arial" w:hAnsiTheme="majorHAnsi" w:cstheme="majorHAnsi"/>
                <w:sz w:val="24"/>
                <w:szCs w:val="24"/>
              </w:rPr>
            </w:pPr>
            <w:r w:rsidRPr="00BB4AFB">
              <w:rPr>
                <w:rFonts w:asciiTheme="majorHAnsi" w:eastAsia="Times New Roman" w:hAnsiTheme="majorHAnsi" w:cstheme="majorHAnsi"/>
                <w:sz w:val="24"/>
                <w:szCs w:val="24"/>
                <w:lang w:eastAsia="es-MX"/>
              </w:rPr>
              <w:t>Los ingresos recibidos por cualquier concepto señalando el nombre de los responsables de recibirlos, administrarlos y ejercerlos, así como su destino, indicando el destino de cada uno de ellos;</w:t>
            </w:r>
          </w:p>
        </w:tc>
        <w:tc>
          <w:tcPr>
            <w:tcW w:w="1740" w:type="dxa"/>
            <w:vAlign w:val="center"/>
          </w:tcPr>
          <w:p w:rsidR="00B21E1D" w:rsidRPr="00BB4AFB" w:rsidRDefault="00B21E1D"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Secretaría de Administración y Finanzas</w:t>
            </w:r>
          </w:p>
        </w:tc>
        <w:tc>
          <w:tcPr>
            <w:tcW w:w="1449" w:type="dxa"/>
            <w:vAlign w:val="center"/>
          </w:tcPr>
          <w:p w:rsidR="00B21E1D" w:rsidRPr="00BB4AFB" w:rsidRDefault="00B21E1D"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Aplicable.</w:t>
            </w:r>
          </w:p>
        </w:tc>
        <w:tc>
          <w:tcPr>
            <w:tcW w:w="4726" w:type="dxa"/>
            <w:vAlign w:val="center"/>
          </w:tcPr>
          <w:p w:rsidR="00B21E1D" w:rsidRPr="00BB4AFB" w:rsidRDefault="00B21E1D"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Tratándose de la administración pública centralizada, integrada por el Despacho del Gobernador y las dependencias contempladas en el artículo 22 del Código de la Administración Pública; esta obligación de transparencia únicamente le será aplicable a la Secretaría de Administración y Finanzas, toda vez que de conformidad con lo establecido en la Ley de ingresos vigente, le corresponde a la Secretaría de Administración y Finanzas, a través de la Tesorería General del Estado concentrar los ingresos de las dependencias de la Administración Pública Estatal o sus órganos administrativos desconcentrados; en este mismo sentido, el Reglamento del Código de la Administración Pública de Yucatán, en su artículo 61 establece que es atribución del Director General de Ingresos, recibir, concentrar y vigilar los recursos previstos en la Ley de Ingresos del Estado, así como llevar el registro de los recursos percibidos. Fundamento Legal: Artículo 85 de la Ley de Presupuesto y Contabilidad Gubernamental del Estado de Yucatán, artículo 5 de la Ley de Ingresos del Estado de Yucatán para el ejercicio fiscal 2018, y el artículo 61 fracciones III y IV del Reglamento del Código de la Administración Pública de Yucatán.</w:t>
            </w:r>
          </w:p>
        </w:tc>
      </w:tr>
    </w:tbl>
    <w:p w:rsidR="00B21E1D" w:rsidRPr="00BB4AFB" w:rsidRDefault="00B21E1D" w:rsidP="00BB4AFB">
      <w:pPr>
        <w:spacing w:after="160" w:line="240" w:lineRule="auto"/>
        <w:rPr>
          <w:rFonts w:asciiTheme="majorHAnsi" w:eastAsia="Arial" w:hAnsiTheme="majorHAnsi" w:cstheme="majorHAnsi"/>
          <w:sz w:val="24"/>
          <w:szCs w:val="24"/>
          <w:highlight w:val="yellow"/>
        </w:rPr>
      </w:pPr>
    </w:p>
    <w:p w:rsidR="008A13CA" w:rsidRPr="00BB4AFB" w:rsidRDefault="00B21E1D"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 xml:space="preserve">QUINTO.- </w:t>
      </w:r>
      <w:r w:rsidR="006F0546" w:rsidRPr="00BB4AFB">
        <w:rPr>
          <w:rFonts w:asciiTheme="majorHAnsi" w:eastAsia="Arial" w:hAnsiTheme="majorHAnsi" w:cstheme="majorHAnsi"/>
          <w:sz w:val="24"/>
          <w:szCs w:val="24"/>
        </w:rPr>
        <w:t xml:space="preserve">Con base en los resultados obtenidos </w:t>
      </w:r>
      <w:r w:rsidR="00A55E83" w:rsidRPr="00BB4AFB">
        <w:rPr>
          <w:rFonts w:asciiTheme="majorHAnsi" w:eastAsia="Arial" w:hAnsiTheme="majorHAnsi" w:cstheme="majorHAnsi"/>
          <w:sz w:val="24"/>
          <w:szCs w:val="24"/>
        </w:rPr>
        <w:t>en</w:t>
      </w:r>
      <w:r w:rsidR="006F0546" w:rsidRPr="00BB4AFB">
        <w:rPr>
          <w:rFonts w:asciiTheme="majorHAnsi" w:eastAsia="Arial" w:hAnsiTheme="majorHAnsi" w:cstheme="majorHAnsi"/>
          <w:sz w:val="24"/>
          <w:szCs w:val="24"/>
        </w:rPr>
        <w:t xml:space="preserve"> </w:t>
      </w:r>
      <w:r w:rsidR="008C7186" w:rsidRPr="00BB4AFB">
        <w:rPr>
          <w:rFonts w:asciiTheme="majorHAnsi" w:eastAsia="Arial" w:hAnsiTheme="majorHAnsi" w:cstheme="majorHAnsi"/>
          <w:sz w:val="24"/>
          <w:szCs w:val="24"/>
        </w:rPr>
        <w:t xml:space="preserve">las reuniones </w:t>
      </w:r>
      <w:r w:rsidR="00B83BDA" w:rsidRPr="00BB4AFB">
        <w:rPr>
          <w:rFonts w:asciiTheme="majorHAnsi" w:eastAsia="Arial" w:hAnsiTheme="majorHAnsi" w:cstheme="majorHAnsi"/>
          <w:sz w:val="24"/>
          <w:szCs w:val="24"/>
        </w:rPr>
        <w:t xml:space="preserve">de trabajo </w:t>
      </w:r>
      <w:r w:rsidR="008C7186" w:rsidRPr="00BB4AFB">
        <w:rPr>
          <w:rFonts w:asciiTheme="majorHAnsi" w:eastAsia="Arial" w:hAnsiTheme="majorHAnsi" w:cstheme="majorHAnsi"/>
          <w:sz w:val="24"/>
          <w:szCs w:val="24"/>
        </w:rPr>
        <w:t>sostenidas con personal de l</w:t>
      </w:r>
      <w:r w:rsidR="0056677F" w:rsidRPr="00BB4AFB">
        <w:rPr>
          <w:rFonts w:asciiTheme="majorHAnsi" w:eastAsia="Arial" w:hAnsiTheme="majorHAnsi" w:cstheme="majorHAnsi"/>
          <w:sz w:val="24"/>
          <w:szCs w:val="24"/>
        </w:rPr>
        <w:t>a</w:t>
      </w:r>
      <w:r w:rsidR="008C7186" w:rsidRPr="00BB4AFB">
        <w:rPr>
          <w:rFonts w:asciiTheme="majorHAnsi" w:eastAsia="Arial" w:hAnsiTheme="majorHAnsi" w:cstheme="majorHAnsi"/>
          <w:sz w:val="24"/>
          <w:szCs w:val="24"/>
        </w:rPr>
        <w:t>s</w:t>
      </w:r>
      <w:r w:rsidR="0056677F" w:rsidRPr="00BB4AFB">
        <w:rPr>
          <w:rFonts w:asciiTheme="majorHAnsi" w:eastAsia="Arial" w:hAnsiTheme="majorHAnsi" w:cstheme="majorHAnsi"/>
          <w:sz w:val="24"/>
          <w:szCs w:val="24"/>
        </w:rPr>
        <w:t xml:space="preserve"> unidades administrativas y </w:t>
      </w:r>
      <w:r w:rsidR="00B83BDA" w:rsidRPr="00BB4AFB">
        <w:rPr>
          <w:rFonts w:asciiTheme="majorHAnsi" w:eastAsia="Arial" w:hAnsiTheme="majorHAnsi" w:cstheme="majorHAnsi"/>
          <w:sz w:val="24"/>
          <w:szCs w:val="24"/>
        </w:rPr>
        <w:t>de la unidad</w:t>
      </w:r>
      <w:r w:rsidR="0056677F" w:rsidRPr="00BB4AFB">
        <w:rPr>
          <w:rFonts w:asciiTheme="majorHAnsi" w:eastAsia="Arial" w:hAnsiTheme="majorHAnsi" w:cstheme="majorHAnsi"/>
          <w:sz w:val="24"/>
          <w:szCs w:val="24"/>
        </w:rPr>
        <w:t xml:space="preserve"> de transparencia</w:t>
      </w:r>
      <w:r w:rsidR="00B83BDA" w:rsidRPr="00BB4AFB">
        <w:rPr>
          <w:rFonts w:asciiTheme="majorHAnsi" w:eastAsia="Arial" w:hAnsiTheme="majorHAnsi" w:cstheme="majorHAnsi"/>
          <w:sz w:val="24"/>
          <w:szCs w:val="24"/>
        </w:rPr>
        <w:t xml:space="preserve"> del</w:t>
      </w:r>
      <w:r w:rsidR="0056677F" w:rsidRPr="00BB4AFB">
        <w:rPr>
          <w:rFonts w:asciiTheme="majorHAnsi" w:eastAsia="Arial" w:hAnsiTheme="majorHAnsi" w:cstheme="majorHAnsi"/>
          <w:sz w:val="24"/>
          <w:szCs w:val="24"/>
        </w:rPr>
        <w:t xml:space="preserve"> </w:t>
      </w:r>
      <w:r w:rsidR="00B83BDA" w:rsidRPr="00BB4AFB">
        <w:rPr>
          <w:rFonts w:asciiTheme="majorHAnsi" w:eastAsia="Arial" w:hAnsiTheme="majorHAnsi" w:cstheme="majorHAnsi"/>
          <w:sz w:val="24"/>
          <w:szCs w:val="24"/>
        </w:rPr>
        <w:t>Tribunal de lo Contencioso Administrativo del Municipio de Mérida</w:t>
      </w:r>
      <w:r w:rsidR="008C7186" w:rsidRPr="00BB4AFB">
        <w:rPr>
          <w:rFonts w:asciiTheme="majorHAnsi" w:eastAsia="Arial" w:hAnsiTheme="majorHAnsi" w:cstheme="majorHAnsi"/>
          <w:sz w:val="24"/>
          <w:szCs w:val="24"/>
        </w:rPr>
        <w:t xml:space="preserve">, en </w:t>
      </w:r>
      <w:r w:rsidR="00B83BDA" w:rsidRPr="00BB4AFB">
        <w:rPr>
          <w:rFonts w:asciiTheme="majorHAnsi" w:eastAsia="Arial" w:hAnsiTheme="majorHAnsi" w:cstheme="majorHAnsi"/>
          <w:sz w:val="24"/>
          <w:szCs w:val="24"/>
        </w:rPr>
        <w:t>donde se analizó y vinculó</w:t>
      </w:r>
      <w:r w:rsidR="008C7186" w:rsidRPr="00BB4AFB">
        <w:rPr>
          <w:rFonts w:asciiTheme="majorHAnsi" w:eastAsia="Arial" w:hAnsiTheme="majorHAnsi" w:cstheme="majorHAnsi"/>
          <w:sz w:val="24"/>
          <w:szCs w:val="24"/>
        </w:rPr>
        <w:t xml:space="preserve"> </w:t>
      </w:r>
      <w:r w:rsidR="00B83BDA" w:rsidRPr="00BB4AFB">
        <w:rPr>
          <w:rFonts w:asciiTheme="majorHAnsi" w:eastAsia="Arial" w:hAnsiTheme="majorHAnsi" w:cstheme="majorHAnsi"/>
          <w:sz w:val="24"/>
          <w:szCs w:val="24"/>
        </w:rPr>
        <w:t>el</w:t>
      </w:r>
      <w:r w:rsidR="005913A6" w:rsidRPr="00BB4AFB">
        <w:rPr>
          <w:rFonts w:asciiTheme="majorHAnsi" w:eastAsia="Arial" w:hAnsiTheme="majorHAnsi" w:cstheme="majorHAnsi"/>
          <w:sz w:val="24"/>
          <w:szCs w:val="24"/>
        </w:rPr>
        <w:t xml:space="preserve"> acuerdo</w:t>
      </w:r>
      <w:r w:rsidR="00B83BDA" w:rsidRPr="00BB4AFB">
        <w:rPr>
          <w:rFonts w:asciiTheme="majorHAnsi" w:eastAsia="Arial" w:hAnsiTheme="majorHAnsi" w:cstheme="majorHAnsi"/>
          <w:sz w:val="24"/>
          <w:szCs w:val="24"/>
        </w:rPr>
        <w:t xml:space="preserve"> del Pleno, referido en el antecedente primero; </w:t>
      </w:r>
      <w:r w:rsidR="005913A6" w:rsidRPr="00BB4AFB">
        <w:rPr>
          <w:rFonts w:asciiTheme="majorHAnsi" w:eastAsia="Arial" w:hAnsiTheme="majorHAnsi" w:cstheme="majorHAnsi"/>
          <w:sz w:val="24"/>
          <w:szCs w:val="24"/>
        </w:rPr>
        <w:t xml:space="preserve">nos allegamos de elementos para </w:t>
      </w:r>
      <w:r w:rsidR="00B83BDA" w:rsidRPr="00BB4AFB">
        <w:rPr>
          <w:rFonts w:asciiTheme="majorHAnsi" w:eastAsia="Arial" w:hAnsiTheme="majorHAnsi" w:cstheme="majorHAnsi"/>
          <w:sz w:val="24"/>
          <w:szCs w:val="24"/>
        </w:rPr>
        <w:t xml:space="preserve">reconsiderar la aplicabilidad de la obligación de transparencia a que hace referencia la fracción XXXVI de la Ley general, </w:t>
      </w:r>
      <w:r w:rsidR="005913A6" w:rsidRPr="00BB4AFB">
        <w:rPr>
          <w:rFonts w:asciiTheme="majorHAnsi" w:eastAsia="Arial" w:hAnsiTheme="majorHAnsi" w:cstheme="majorHAnsi"/>
          <w:sz w:val="24"/>
          <w:szCs w:val="24"/>
        </w:rPr>
        <w:t xml:space="preserve">en tal razón se </w:t>
      </w:r>
      <w:r w:rsidR="00B83BDA" w:rsidRPr="00BB4AFB">
        <w:rPr>
          <w:rFonts w:asciiTheme="majorHAnsi" w:eastAsia="Arial" w:hAnsiTheme="majorHAnsi" w:cstheme="majorHAnsi"/>
          <w:sz w:val="24"/>
          <w:szCs w:val="24"/>
        </w:rPr>
        <w:t>modifica la tabla</w:t>
      </w:r>
      <w:r w:rsidR="00A55E83" w:rsidRPr="00BB4AFB">
        <w:rPr>
          <w:rFonts w:asciiTheme="majorHAnsi" w:eastAsia="Arial" w:hAnsiTheme="majorHAnsi" w:cstheme="majorHAnsi"/>
          <w:sz w:val="24"/>
          <w:szCs w:val="24"/>
        </w:rPr>
        <w:t xml:space="preserve"> de aplicabilidad</w:t>
      </w:r>
      <w:r w:rsidR="00B83BDA" w:rsidRPr="00BB4AFB">
        <w:rPr>
          <w:rFonts w:asciiTheme="majorHAnsi" w:eastAsia="Arial" w:hAnsiTheme="majorHAnsi" w:cstheme="majorHAnsi"/>
          <w:sz w:val="24"/>
          <w:szCs w:val="24"/>
        </w:rPr>
        <w:t xml:space="preserve"> del sujeto obligado que nos ocupa</w:t>
      </w:r>
      <w:r w:rsidR="00A55E83" w:rsidRPr="00BB4AFB">
        <w:rPr>
          <w:rFonts w:asciiTheme="majorHAnsi" w:eastAsia="Arial" w:hAnsiTheme="majorHAnsi" w:cstheme="majorHAnsi"/>
          <w:sz w:val="24"/>
          <w:szCs w:val="24"/>
        </w:rPr>
        <w:t xml:space="preserve">, </w:t>
      </w:r>
      <w:r w:rsidR="00B83BDA" w:rsidRPr="00BB4AFB">
        <w:rPr>
          <w:rFonts w:asciiTheme="majorHAnsi" w:eastAsia="Arial" w:hAnsiTheme="majorHAnsi" w:cstheme="majorHAnsi"/>
          <w:sz w:val="24"/>
          <w:szCs w:val="24"/>
        </w:rPr>
        <w:t>para quedar como sigue</w:t>
      </w:r>
      <w:r w:rsidR="00A55E83" w:rsidRPr="00BB4AFB">
        <w:rPr>
          <w:rFonts w:asciiTheme="majorHAnsi" w:eastAsia="Arial" w:hAnsiTheme="majorHAnsi" w:cstheme="majorHAnsi"/>
          <w:sz w:val="24"/>
          <w:szCs w:val="24"/>
        </w:rPr>
        <w:t>:</w:t>
      </w:r>
    </w:p>
    <w:p w:rsidR="002D0C2E" w:rsidRPr="00BB4AFB" w:rsidRDefault="002D0C2E" w:rsidP="00BB4AFB">
      <w:pPr>
        <w:spacing w:after="0" w:line="240" w:lineRule="auto"/>
        <w:jc w:val="both"/>
        <w:rPr>
          <w:rFonts w:asciiTheme="majorHAnsi" w:eastAsia="Arial" w:hAnsiTheme="majorHAnsi" w:cstheme="majorHAnsi"/>
          <w:b/>
          <w:sz w:val="24"/>
          <w:szCs w:val="24"/>
        </w:rPr>
      </w:pPr>
    </w:p>
    <w:p w:rsidR="001A257A" w:rsidRPr="00BB4AFB" w:rsidRDefault="001A257A" w:rsidP="00BB4AFB">
      <w:pPr>
        <w:spacing w:after="0" w:line="240" w:lineRule="auto"/>
        <w:jc w:val="both"/>
        <w:rPr>
          <w:rFonts w:asciiTheme="majorHAnsi" w:eastAsia="Arial" w:hAnsiTheme="majorHAnsi" w:cstheme="majorHAnsi"/>
          <w:b/>
          <w:sz w:val="24"/>
          <w:szCs w:val="24"/>
        </w:rPr>
      </w:pPr>
      <w:r w:rsidRPr="00BB4AFB">
        <w:rPr>
          <w:rFonts w:asciiTheme="majorHAnsi" w:eastAsia="Arial" w:hAnsiTheme="majorHAnsi" w:cstheme="majorHAnsi"/>
          <w:b/>
          <w:sz w:val="24"/>
          <w:szCs w:val="24"/>
        </w:rPr>
        <w:t>De</w:t>
      </w:r>
      <w:r w:rsidR="004B3AAA" w:rsidRPr="00BB4AFB">
        <w:rPr>
          <w:rFonts w:asciiTheme="majorHAnsi" w:eastAsia="Arial" w:hAnsiTheme="majorHAnsi" w:cstheme="majorHAnsi"/>
          <w:b/>
          <w:sz w:val="24"/>
          <w:szCs w:val="24"/>
        </w:rPr>
        <w:t xml:space="preserve"> los organismos municipales.</w:t>
      </w:r>
    </w:p>
    <w:p w:rsidR="001A257A" w:rsidRPr="00BB4AFB" w:rsidRDefault="001A257A" w:rsidP="00BB4AFB">
      <w:pPr>
        <w:spacing w:after="0" w:line="240" w:lineRule="auto"/>
        <w:jc w:val="both"/>
        <w:rPr>
          <w:rFonts w:asciiTheme="majorHAnsi" w:eastAsia="Arial" w:hAnsiTheme="majorHAnsi" w:cstheme="majorHAnsi"/>
          <w:sz w:val="24"/>
          <w:szCs w:val="24"/>
        </w:rPr>
      </w:pPr>
    </w:p>
    <w:tbl>
      <w:tblPr>
        <w:tblStyle w:val="Tablaconcuadrcula"/>
        <w:tblW w:w="10427" w:type="dxa"/>
        <w:jc w:val="center"/>
        <w:tblLook w:val="04A0" w:firstRow="1" w:lastRow="0" w:firstColumn="1" w:lastColumn="0" w:noHBand="0" w:noVBand="1"/>
      </w:tblPr>
      <w:tblGrid>
        <w:gridCol w:w="769"/>
        <w:gridCol w:w="2915"/>
        <w:gridCol w:w="1733"/>
        <w:gridCol w:w="1439"/>
        <w:gridCol w:w="3571"/>
      </w:tblGrid>
      <w:tr w:rsidR="006029DC" w:rsidRPr="00BB4AFB" w:rsidTr="006C69EE">
        <w:trPr>
          <w:cantSplit/>
          <w:trHeight w:val="591"/>
          <w:tblHeader/>
          <w:jc w:val="center"/>
        </w:trPr>
        <w:tc>
          <w:tcPr>
            <w:tcW w:w="3640" w:type="dxa"/>
            <w:gridSpan w:val="2"/>
            <w:shd w:val="clear" w:color="auto" w:fill="B4C6E7" w:themeFill="accent5" w:themeFillTint="66"/>
            <w:vAlign w:val="center"/>
          </w:tcPr>
          <w:p w:rsidR="006029DC" w:rsidRPr="00BB4AFB" w:rsidRDefault="006029DC"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Fracción/ Obligación de Transparencia</w:t>
            </w:r>
          </w:p>
        </w:tc>
        <w:tc>
          <w:tcPr>
            <w:tcW w:w="1735" w:type="dxa"/>
            <w:shd w:val="clear" w:color="auto" w:fill="B4C6E7" w:themeFill="accent5" w:themeFillTint="66"/>
            <w:vAlign w:val="center"/>
          </w:tcPr>
          <w:p w:rsidR="006029DC" w:rsidRPr="00BB4AFB" w:rsidRDefault="001A257A"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Sujeto Obligado</w:t>
            </w:r>
          </w:p>
        </w:tc>
        <w:tc>
          <w:tcPr>
            <w:tcW w:w="1444" w:type="dxa"/>
            <w:shd w:val="clear" w:color="auto" w:fill="B4C6E7" w:themeFill="accent5" w:themeFillTint="66"/>
            <w:vAlign w:val="center"/>
          </w:tcPr>
          <w:p w:rsidR="006029DC" w:rsidRPr="00BB4AFB" w:rsidRDefault="001A257A"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Aplicable/ No Aplicable</w:t>
            </w:r>
          </w:p>
        </w:tc>
        <w:tc>
          <w:tcPr>
            <w:tcW w:w="3608" w:type="dxa"/>
            <w:shd w:val="clear" w:color="auto" w:fill="B4C6E7" w:themeFill="accent5" w:themeFillTint="66"/>
            <w:vAlign w:val="center"/>
          </w:tcPr>
          <w:p w:rsidR="006029DC" w:rsidRPr="00BB4AFB" w:rsidRDefault="001A257A"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Fundamento Legal</w:t>
            </w:r>
          </w:p>
        </w:tc>
      </w:tr>
      <w:tr w:rsidR="006029DC" w:rsidRPr="00BB4AFB" w:rsidTr="006C69EE">
        <w:trPr>
          <w:cantSplit/>
          <w:trHeight w:val="3018"/>
          <w:jc w:val="center"/>
        </w:trPr>
        <w:tc>
          <w:tcPr>
            <w:tcW w:w="702" w:type="dxa"/>
            <w:vAlign w:val="center"/>
          </w:tcPr>
          <w:p w:rsidR="006029DC" w:rsidRPr="00BB4AFB" w:rsidRDefault="001A257A"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X</w:t>
            </w:r>
            <w:r w:rsidR="004D640D" w:rsidRPr="00BB4AFB">
              <w:rPr>
                <w:rFonts w:asciiTheme="majorHAnsi" w:eastAsia="Arial" w:hAnsiTheme="majorHAnsi" w:cstheme="majorHAnsi"/>
                <w:sz w:val="24"/>
                <w:szCs w:val="24"/>
              </w:rPr>
              <w:t>XX</w:t>
            </w:r>
            <w:r w:rsidRPr="00BB4AFB">
              <w:rPr>
                <w:rFonts w:asciiTheme="majorHAnsi" w:eastAsia="Arial" w:hAnsiTheme="majorHAnsi" w:cstheme="majorHAnsi"/>
                <w:sz w:val="24"/>
                <w:szCs w:val="24"/>
              </w:rPr>
              <w:t>V</w:t>
            </w:r>
            <w:r w:rsidR="004B3AAA" w:rsidRPr="00BB4AFB">
              <w:rPr>
                <w:rFonts w:asciiTheme="majorHAnsi" w:eastAsia="Arial" w:hAnsiTheme="majorHAnsi" w:cstheme="majorHAnsi"/>
                <w:sz w:val="24"/>
                <w:szCs w:val="24"/>
              </w:rPr>
              <w:t>I</w:t>
            </w:r>
          </w:p>
        </w:tc>
        <w:tc>
          <w:tcPr>
            <w:tcW w:w="2938" w:type="dxa"/>
            <w:vAlign w:val="center"/>
          </w:tcPr>
          <w:p w:rsidR="006029DC" w:rsidRPr="00BB4AFB" w:rsidRDefault="004B3AAA" w:rsidP="00BB4AFB">
            <w:pPr>
              <w:spacing w:after="0" w:line="240" w:lineRule="auto"/>
              <w:jc w:val="both"/>
              <w:rPr>
                <w:rFonts w:asciiTheme="majorHAnsi" w:eastAsia="Arial" w:hAnsiTheme="majorHAnsi" w:cstheme="majorHAnsi"/>
                <w:sz w:val="24"/>
                <w:szCs w:val="24"/>
              </w:rPr>
            </w:pPr>
            <w:r w:rsidRPr="00BB4AFB">
              <w:rPr>
                <w:rFonts w:asciiTheme="majorHAnsi" w:eastAsia="Times New Roman" w:hAnsiTheme="majorHAnsi" w:cstheme="majorHAnsi"/>
                <w:sz w:val="24"/>
                <w:szCs w:val="24"/>
                <w:lang w:eastAsia="es-MX"/>
              </w:rPr>
              <w:t>Las resoluciones y laudos que se emitan en procesos o procedimientos seguidos en forma de juicio.</w:t>
            </w:r>
          </w:p>
        </w:tc>
        <w:tc>
          <w:tcPr>
            <w:tcW w:w="1735" w:type="dxa"/>
            <w:vAlign w:val="center"/>
          </w:tcPr>
          <w:p w:rsidR="006029DC" w:rsidRPr="00BB4AFB" w:rsidRDefault="004B3AAA"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Tribunal de lo Contencioso Administrativo del Municipio de Mérida.</w:t>
            </w:r>
          </w:p>
        </w:tc>
        <w:tc>
          <w:tcPr>
            <w:tcW w:w="1444" w:type="dxa"/>
            <w:vAlign w:val="center"/>
          </w:tcPr>
          <w:p w:rsidR="006029DC" w:rsidRPr="00BB4AFB" w:rsidRDefault="001A257A"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Aplicable</w:t>
            </w:r>
          </w:p>
        </w:tc>
        <w:tc>
          <w:tcPr>
            <w:tcW w:w="3608" w:type="dxa"/>
            <w:vAlign w:val="center"/>
          </w:tcPr>
          <w:p w:rsidR="006029DC" w:rsidRPr="00BB4AFB" w:rsidRDefault="004B3AAA" w:rsidP="00BB4AFB">
            <w:pPr>
              <w:spacing w:after="0" w:line="240" w:lineRule="auto"/>
              <w:jc w:val="both"/>
              <w:rPr>
                <w:rFonts w:asciiTheme="majorHAnsi" w:eastAsia="Arial" w:hAnsiTheme="majorHAnsi" w:cstheme="majorHAnsi"/>
                <w:sz w:val="24"/>
                <w:szCs w:val="24"/>
              </w:rPr>
            </w:pPr>
            <w:r w:rsidRPr="00BB4AFB">
              <w:rPr>
                <w:rFonts w:asciiTheme="majorHAnsi" w:eastAsia="Times New Roman" w:hAnsiTheme="majorHAnsi" w:cstheme="majorHAnsi"/>
                <w:sz w:val="24"/>
                <w:szCs w:val="24"/>
                <w:lang w:eastAsia="es-MX"/>
              </w:rPr>
              <w:t xml:space="preserve">Le </w:t>
            </w:r>
            <w:r w:rsidR="001A257A" w:rsidRPr="00BB4AFB">
              <w:rPr>
                <w:rFonts w:asciiTheme="majorHAnsi" w:eastAsia="Times New Roman" w:hAnsiTheme="majorHAnsi" w:cstheme="majorHAnsi"/>
                <w:sz w:val="24"/>
                <w:szCs w:val="24"/>
                <w:lang w:eastAsia="es-MX"/>
              </w:rPr>
              <w:t>es aplicable, toda vez que de c</w:t>
            </w:r>
            <w:r w:rsidRPr="00BB4AFB">
              <w:rPr>
                <w:rFonts w:asciiTheme="majorHAnsi" w:eastAsia="Times New Roman" w:hAnsiTheme="majorHAnsi" w:cstheme="majorHAnsi"/>
                <w:sz w:val="24"/>
                <w:szCs w:val="24"/>
                <w:lang w:eastAsia="es-MX"/>
              </w:rPr>
              <w:t>onformidad con lo señalado en los</w:t>
            </w:r>
            <w:r w:rsidR="001A257A" w:rsidRPr="00BB4AFB">
              <w:rPr>
                <w:rFonts w:asciiTheme="majorHAnsi" w:eastAsia="Times New Roman" w:hAnsiTheme="majorHAnsi" w:cstheme="majorHAnsi"/>
                <w:sz w:val="24"/>
                <w:szCs w:val="24"/>
                <w:lang w:eastAsia="es-MX"/>
              </w:rPr>
              <w:t xml:space="preserve"> artículo</w:t>
            </w:r>
            <w:r w:rsidRPr="00BB4AFB">
              <w:rPr>
                <w:rFonts w:asciiTheme="majorHAnsi" w:eastAsia="Times New Roman" w:hAnsiTheme="majorHAnsi" w:cstheme="majorHAnsi"/>
                <w:sz w:val="24"/>
                <w:szCs w:val="24"/>
                <w:lang w:eastAsia="es-MX"/>
              </w:rPr>
              <w:t xml:space="preserve">s 2 y 68 del Reglamento de lo Contencioso Administrativo del Municipio de Mérida, este sujeto obligado es un órgano jurisdiccional en materia contenciosa administrativa municipal, con facultades para emitir resoluciones que diriman las controversias que surjan </w:t>
            </w:r>
            <w:r w:rsidR="00B83BDA" w:rsidRPr="00BB4AFB">
              <w:rPr>
                <w:rFonts w:asciiTheme="majorHAnsi" w:eastAsia="Times New Roman" w:hAnsiTheme="majorHAnsi" w:cstheme="majorHAnsi"/>
                <w:sz w:val="24"/>
                <w:szCs w:val="24"/>
                <w:lang w:eastAsia="es-MX"/>
              </w:rPr>
              <w:t>entre la Administración Pública del Municipio de Mérida y los particulares.</w:t>
            </w:r>
          </w:p>
        </w:tc>
      </w:tr>
    </w:tbl>
    <w:p w:rsidR="006C69EE" w:rsidRPr="00BB4AFB" w:rsidRDefault="006C69EE" w:rsidP="00BB4AFB">
      <w:pPr>
        <w:spacing w:after="160" w:line="240" w:lineRule="auto"/>
        <w:rPr>
          <w:rFonts w:asciiTheme="majorHAnsi" w:eastAsia="Arial" w:hAnsiTheme="majorHAnsi" w:cstheme="majorHAnsi"/>
          <w:sz w:val="24"/>
          <w:szCs w:val="24"/>
        </w:rPr>
      </w:pPr>
    </w:p>
    <w:p w:rsidR="005643CA" w:rsidRPr="00BB4AFB" w:rsidRDefault="008528A6"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SEXTO</w:t>
      </w:r>
      <w:r w:rsidR="00756791" w:rsidRPr="00BB4AFB">
        <w:rPr>
          <w:rFonts w:asciiTheme="majorHAnsi" w:eastAsia="Arial" w:hAnsiTheme="majorHAnsi" w:cstheme="majorHAnsi"/>
          <w:b/>
          <w:sz w:val="24"/>
          <w:szCs w:val="24"/>
        </w:rPr>
        <w:t>.-</w:t>
      </w:r>
      <w:r w:rsidR="00756791" w:rsidRPr="00BB4AFB">
        <w:rPr>
          <w:rFonts w:asciiTheme="majorHAnsi" w:eastAsia="Arial" w:hAnsiTheme="majorHAnsi" w:cstheme="majorHAnsi"/>
          <w:sz w:val="24"/>
          <w:szCs w:val="24"/>
        </w:rPr>
        <w:t xml:space="preserve"> </w:t>
      </w:r>
      <w:r w:rsidR="005643CA" w:rsidRPr="00BB4AFB">
        <w:rPr>
          <w:rFonts w:asciiTheme="majorHAnsi" w:eastAsia="Arial" w:hAnsiTheme="majorHAnsi" w:cstheme="majorHAnsi"/>
          <w:sz w:val="24"/>
          <w:szCs w:val="24"/>
        </w:rPr>
        <w:t>Con motivo de la publicación en el Diario Oficial del Gobierno del Estado, en fecha 18 de julio de 2017, del Decreto 510/2017 por el que se expide la Ley de Responsabilidades Administrativas del Estado de Yucatán, misma que entrar</w:t>
      </w:r>
      <w:r w:rsidR="006B0A82" w:rsidRPr="00BB4AFB">
        <w:rPr>
          <w:rFonts w:asciiTheme="majorHAnsi" w:eastAsia="Arial" w:hAnsiTheme="majorHAnsi" w:cstheme="majorHAnsi"/>
          <w:sz w:val="24"/>
          <w:szCs w:val="24"/>
        </w:rPr>
        <w:t>a</w:t>
      </w:r>
      <w:r w:rsidR="005643CA" w:rsidRPr="00BB4AFB">
        <w:rPr>
          <w:rFonts w:asciiTheme="majorHAnsi" w:eastAsia="Arial" w:hAnsiTheme="majorHAnsi" w:cstheme="majorHAnsi"/>
          <w:sz w:val="24"/>
          <w:szCs w:val="24"/>
        </w:rPr>
        <w:t xml:space="preserve"> en vigor el día 19 de julio de 2017, se estableció</w:t>
      </w:r>
      <w:r w:rsidRPr="00BB4AFB">
        <w:rPr>
          <w:rFonts w:asciiTheme="majorHAnsi" w:eastAsia="Arial" w:hAnsiTheme="majorHAnsi" w:cstheme="majorHAnsi"/>
          <w:sz w:val="24"/>
          <w:szCs w:val="24"/>
        </w:rPr>
        <w:t xml:space="preserve"> entre otras,</w:t>
      </w:r>
      <w:r w:rsidR="005643CA" w:rsidRPr="00BB4AFB">
        <w:rPr>
          <w:rFonts w:asciiTheme="majorHAnsi" w:eastAsia="Arial" w:hAnsiTheme="majorHAnsi" w:cstheme="majorHAnsi"/>
          <w:sz w:val="24"/>
          <w:szCs w:val="24"/>
        </w:rPr>
        <w:t xml:space="preserve"> la </w:t>
      </w:r>
      <w:r w:rsidRPr="00BB4AFB">
        <w:rPr>
          <w:rFonts w:asciiTheme="majorHAnsi" w:eastAsia="Arial" w:hAnsiTheme="majorHAnsi" w:cstheme="majorHAnsi"/>
          <w:sz w:val="24"/>
          <w:szCs w:val="24"/>
        </w:rPr>
        <w:t>obligación de llevar el registro de situación patrimonial de los servidores públicos</w:t>
      </w:r>
      <w:r w:rsidR="004F748F" w:rsidRPr="00BB4AFB">
        <w:rPr>
          <w:rFonts w:asciiTheme="majorHAnsi" w:eastAsia="Arial" w:hAnsiTheme="majorHAnsi" w:cstheme="majorHAnsi"/>
          <w:sz w:val="24"/>
          <w:szCs w:val="24"/>
        </w:rPr>
        <w:t xml:space="preserve"> obligados</w:t>
      </w:r>
      <w:r w:rsidRPr="00BB4AFB">
        <w:rPr>
          <w:rFonts w:asciiTheme="majorHAnsi" w:eastAsia="Arial" w:hAnsiTheme="majorHAnsi" w:cstheme="majorHAnsi"/>
          <w:sz w:val="24"/>
          <w:szCs w:val="24"/>
        </w:rPr>
        <w:t xml:space="preserve">, lo que de conformidad con el artículo 28 de la misma Ley, corresponde a la Contraloría del Estado en la Administración Pública Estatal, a la Auditoría Superior del Estado en el Poder Legislativo, a la Contraloría del Poder Judicial, a los </w:t>
      </w:r>
      <w:r w:rsidR="004F748F" w:rsidRPr="00BB4AFB">
        <w:rPr>
          <w:rFonts w:asciiTheme="majorHAnsi" w:eastAsia="Arial" w:hAnsiTheme="majorHAnsi" w:cstheme="majorHAnsi"/>
          <w:sz w:val="24"/>
          <w:szCs w:val="24"/>
        </w:rPr>
        <w:t>Órganos de Control en los Municipios y en los Órganos Autónomos, en el ámbito de sus competencias.</w:t>
      </w:r>
    </w:p>
    <w:p w:rsidR="004F748F" w:rsidRPr="00BB4AFB" w:rsidRDefault="004F748F" w:rsidP="00BB4AFB">
      <w:pPr>
        <w:spacing w:after="0" w:line="240" w:lineRule="auto"/>
        <w:jc w:val="both"/>
        <w:rPr>
          <w:rFonts w:asciiTheme="majorHAnsi" w:eastAsia="Arial" w:hAnsiTheme="majorHAnsi" w:cstheme="majorHAnsi"/>
          <w:sz w:val="24"/>
          <w:szCs w:val="24"/>
          <w:highlight w:val="yellow"/>
        </w:rPr>
      </w:pPr>
    </w:p>
    <w:p w:rsidR="00756791" w:rsidRPr="00BB4AFB" w:rsidRDefault="004F748F"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 xml:space="preserve">Con motivo de lo anterior, existen </w:t>
      </w:r>
      <w:r w:rsidR="00756791" w:rsidRPr="00BB4AFB">
        <w:rPr>
          <w:rFonts w:asciiTheme="majorHAnsi" w:eastAsia="Arial" w:hAnsiTheme="majorHAnsi" w:cstheme="majorHAnsi"/>
          <w:sz w:val="24"/>
          <w:szCs w:val="24"/>
        </w:rPr>
        <w:t>elementos para reconsiderar la aplicabilidad de la obligación de transparencia a que hace referencia la fracción X</w:t>
      </w:r>
      <w:r w:rsidRPr="00BB4AFB">
        <w:rPr>
          <w:rFonts w:asciiTheme="majorHAnsi" w:eastAsia="Arial" w:hAnsiTheme="majorHAnsi" w:cstheme="majorHAnsi"/>
          <w:sz w:val="24"/>
          <w:szCs w:val="24"/>
        </w:rPr>
        <w:t>II</w:t>
      </w:r>
      <w:r w:rsidR="00756791" w:rsidRPr="00BB4AFB">
        <w:rPr>
          <w:rFonts w:asciiTheme="majorHAnsi" w:eastAsia="Arial" w:hAnsiTheme="majorHAnsi" w:cstheme="majorHAnsi"/>
          <w:sz w:val="24"/>
          <w:szCs w:val="24"/>
        </w:rPr>
        <w:t xml:space="preserve"> de la Ley general, en tal razón se modifica la tabla de aplicabilidad</w:t>
      </w:r>
      <w:r w:rsidRPr="00BB4AFB">
        <w:rPr>
          <w:rFonts w:asciiTheme="majorHAnsi" w:eastAsia="Arial" w:hAnsiTheme="majorHAnsi" w:cstheme="majorHAnsi"/>
          <w:sz w:val="24"/>
          <w:szCs w:val="24"/>
        </w:rPr>
        <w:t xml:space="preserve"> de los siguientes</w:t>
      </w:r>
      <w:r w:rsidR="00756791" w:rsidRPr="00BB4AFB">
        <w:rPr>
          <w:rFonts w:asciiTheme="majorHAnsi" w:eastAsia="Arial" w:hAnsiTheme="majorHAnsi" w:cstheme="majorHAnsi"/>
          <w:sz w:val="24"/>
          <w:szCs w:val="24"/>
        </w:rPr>
        <w:t xml:space="preserve"> sujeto</w:t>
      </w:r>
      <w:r w:rsidRPr="00BB4AFB">
        <w:rPr>
          <w:rFonts w:asciiTheme="majorHAnsi" w:eastAsia="Arial" w:hAnsiTheme="majorHAnsi" w:cstheme="majorHAnsi"/>
          <w:sz w:val="24"/>
          <w:szCs w:val="24"/>
        </w:rPr>
        <w:t>s</w:t>
      </w:r>
      <w:r w:rsidR="00756791" w:rsidRPr="00BB4AFB">
        <w:rPr>
          <w:rFonts w:asciiTheme="majorHAnsi" w:eastAsia="Arial" w:hAnsiTheme="majorHAnsi" w:cstheme="majorHAnsi"/>
          <w:sz w:val="24"/>
          <w:szCs w:val="24"/>
        </w:rPr>
        <w:t xml:space="preserve"> obligado</w:t>
      </w:r>
      <w:r w:rsidRPr="00BB4AFB">
        <w:rPr>
          <w:rFonts w:asciiTheme="majorHAnsi" w:eastAsia="Arial" w:hAnsiTheme="majorHAnsi" w:cstheme="majorHAnsi"/>
          <w:sz w:val="24"/>
          <w:szCs w:val="24"/>
        </w:rPr>
        <w:t>s</w:t>
      </w:r>
      <w:r w:rsidR="00756791" w:rsidRPr="00BB4AFB">
        <w:rPr>
          <w:rFonts w:asciiTheme="majorHAnsi" w:eastAsia="Arial" w:hAnsiTheme="majorHAnsi" w:cstheme="majorHAnsi"/>
          <w:sz w:val="24"/>
          <w:szCs w:val="24"/>
        </w:rPr>
        <w:t>, para quedar como sigue:</w:t>
      </w:r>
    </w:p>
    <w:p w:rsidR="00DE6BF4" w:rsidRPr="00BB4AFB" w:rsidRDefault="00DE6BF4" w:rsidP="00BB4AFB">
      <w:pPr>
        <w:spacing w:after="0" w:line="240" w:lineRule="auto"/>
        <w:jc w:val="both"/>
        <w:rPr>
          <w:rFonts w:asciiTheme="majorHAnsi" w:eastAsia="Arial" w:hAnsiTheme="majorHAnsi" w:cstheme="majorHAnsi"/>
          <w:sz w:val="24"/>
          <w:szCs w:val="24"/>
        </w:rPr>
      </w:pPr>
    </w:p>
    <w:tbl>
      <w:tblPr>
        <w:tblStyle w:val="Tablaconcuadrcula"/>
        <w:tblW w:w="10219" w:type="dxa"/>
        <w:jc w:val="center"/>
        <w:tblLook w:val="04A0" w:firstRow="1" w:lastRow="0" w:firstColumn="1" w:lastColumn="0" w:noHBand="0" w:noVBand="1"/>
      </w:tblPr>
      <w:tblGrid>
        <w:gridCol w:w="629"/>
        <w:gridCol w:w="2485"/>
        <w:gridCol w:w="2210"/>
        <w:gridCol w:w="1481"/>
        <w:gridCol w:w="3414"/>
      </w:tblGrid>
      <w:tr w:rsidR="00DE6BF4" w:rsidRPr="00BB4AFB" w:rsidTr="00687B4B">
        <w:trPr>
          <w:cantSplit/>
          <w:trHeight w:val="619"/>
          <w:tblHeader/>
          <w:jc w:val="center"/>
        </w:trPr>
        <w:tc>
          <w:tcPr>
            <w:tcW w:w="3114" w:type="dxa"/>
            <w:gridSpan w:val="2"/>
            <w:shd w:val="clear" w:color="auto" w:fill="B4C6E7" w:themeFill="accent5" w:themeFillTint="66"/>
            <w:vAlign w:val="center"/>
          </w:tcPr>
          <w:p w:rsidR="00DE6BF4" w:rsidRPr="00BB4AFB" w:rsidRDefault="00DE6BF4"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Fracción/ Obligación de Transparencia</w:t>
            </w:r>
          </w:p>
        </w:tc>
        <w:tc>
          <w:tcPr>
            <w:tcW w:w="2210" w:type="dxa"/>
            <w:shd w:val="clear" w:color="auto" w:fill="B4C6E7" w:themeFill="accent5" w:themeFillTint="66"/>
            <w:vAlign w:val="center"/>
          </w:tcPr>
          <w:p w:rsidR="00DE6BF4" w:rsidRPr="00BB4AFB" w:rsidRDefault="00DE6BF4"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Sujeto Obligado</w:t>
            </w:r>
          </w:p>
        </w:tc>
        <w:tc>
          <w:tcPr>
            <w:tcW w:w="1481" w:type="dxa"/>
            <w:shd w:val="clear" w:color="auto" w:fill="B4C6E7" w:themeFill="accent5" w:themeFillTint="66"/>
            <w:vAlign w:val="center"/>
          </w:tcPr>
          <w:p w:rsidR="00DE6BF4" w:rsidRPr="00BB4AFB" w:rsidRDefault="00DE6BF4"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Aplicable/ No Aplicable</w:t>
            </w:r>
          </w:p>
        </w:tc>
        <w:tc>
          <w:tcPr>
            <w:tcW w:w="3414" w:type="dxa"/>
            <w:shd w:val="clear" w:color="auto" w:fill="B4C6E7" w:themeFill="accent5" w:themeFillTint="66"/>
            <w:vAlign w:val="center"/>
          </w:tcPr>
          <w:p w:rsidR="00DE6BF4" w:rsidRPr="00BB4AFB" w:rsidRDefault="00DE6BF4"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Fundamento Legal</w:t>
            </w:r>
          </w:p>
        </w:tc>
      </w:tr>
      <w:tr w:rsidR="00D14A93" w:rsidRPr="00BB4AFB" w:rsidTr="00D14A93">
        <w:trPr>
          <w:cantSplit/>
          <w:trHeight w:val="1134"/>
          <w:jc w:val="center"/>
        </w:trPr>
        <w:tc>
          <w:tcPr>
            <w:tcW w:w="629" w:type="dxa"/>
            <w:vMerge w:val="restart"/>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XII</w:t>
            </w:r>
          </w:p>
        </w:tc>
        <w:tc>
          <w:tcPr>
            <w:tcW w:w="2485" w:type="dxa"/>
            <w:vMerge w:val="restart"/>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r w:rsidRPr="00BB4AFB">
              <w:rPr>
                <w:rFonts w:asciiTheme="majorHAnsi" w:eastAsia="Times New Roman" w:hAnsiTheme="majorHAnsi" w:cstheme="majorHAnsi"/>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2210" w:type="dxa"/>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Auditoría Superior del Estado.</w:t>
            </w:r>
          </w:p>
        </w:tc>
        <w:tc>
          <w:tcPr>
            <w:tcW w:w="1481" w:type="dxa"/>
            <w:vAlign w:val="center"/>
          </w:tcPr>
          <w:p w:rsidR="00D14A93" w:rsidRPr="00BB4AFB" w:rsidRDefault="00D14A93"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Aplicable</w:t>
            </w:r>
          </w:p>
        </w:tc>
        <w:tc>
          <w:tcPr>
            <w:tcW w:w="3414" w:type="dxa"/>
            <w:vMerge w:val="restart"/>
            <w:vAlign w:val="center"/>
          </w:tcPr>
          <w:p w:rsidR="00D14A93" w:rsidRPr="00BB4AFB" w:rsidRDefault="00D14A93" w:rsidP="00BB4AFB">
            <w:pPr>
              <w:spacing w:after="0" w:line="240" w:lineRule="auto"/>
              <w:jc w:val="both"/>
              <w:rPr>
                <w:rFonts w:asciiTheme="majorHAnsi" w:eastAsia="Times New Roman" w:hAnsiTheme="majorHAnsi" w:cstheme="majorHAnsi"/>
                <w:sz w:val="24"/>
                <w:szCs w:val="24"/>
                <w:lang w:eastAsia="es-MX"/>
              </w:rPr>
            </w:pPr>
            <w:r w:rsidRPr="00BB4AFB">
              <w:rPr>
                <w:rFonts w:asciiTheme="majorHAnsi" w:eastAsia="Times New Roman" w:hAnsiTheme="majorHAnsi" w:cstheme="majorHAnsi"/>
                <w:sz w:val="24"/>
                <w:szCs w:val="24"/>
                <w:lang w:eastAsia="es-MX"/>
              </w:rPr>
              <w:t>Le es aplicable de conformidad con los artículos 28 y 29 de la Ley de Responsabilidades Administrativas del Estado de Yucatán, que disponen que</w:t>
            </w:r>
            <w:r w:rsidRPr="00BB4AFB">
              <w:rPr>
                <w:rFonts w:asciiTheme="majorHAnsi" w:eastAsia="Arial" w:hAnsiTheme="majorHAnsi" w:cstheme="majorHAnsi"/>
                <w:sz w:val="24"/>
                <w:szCs w:val="24"/>
              </w:rPr>
              <w:t xml:space="preserve"> la Auditoría Superior del Estado en el Poder Legislativo, los Órganos de Control en los Municipios y en los Órganos Autónomos, en el ámbito de su competencia, llevarán el registro de la situación patrimonial y de intereses de los servidores públicos obligados, de conformidad con la misma Ley y demás disposiciones aplicables.</w:t>
            </w:r>
          </w:p>
        </w:tc>
      </w:tr>
      <w:tr w:rsidR="00D14A93" w:rsidRPr="00BB4AFB" w:rsidTr="00687B4B">
        <w:trPr>
          <w:cantSplit/>
          <w:trHeight w:val="1230"/>
          <w:jc w:val="center"/>
        </w:trPr>
        <w:tc>
          <w:tcPr>
            <w:tcW w:w="629" w:type="dxa"/>
            <w:vMerge/>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p>
        </w:tc>
        <w:tc>
          <w:tcPr>
            <w:tcW w:w="2485" w:type="dxa"/>
            <w:vMerge/>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p>
        </w:tc>
        <w:tc>
          <w:tcPr>
            <w:tcW w:w="2210" w:type="dxa"/>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Ayuntamientos</w:t>
            </w:r>
          </w:p>
        </w:tc>
        <w:tc>
          <w:tcPr>
            <w:tcW w:w="1481" w:type="dxa"/>
            <w:vAlign w:val="center"/>
          </w:tcPr>
          <w:p w:rsidR="00D14A93" w:rsidRPr="00BB4AFB" w:rsidRDefault="00D14A93"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Aplicable</w:t>
            </w:r>
          </w:p>
        </w:tc>
        <w:tc>
          <w:tcPr>
            <w:tcW w:w="3414" w:type="dxa"/>
            <w:vMerge/>
            <w:vAlign w:val="center"/>
          </w:tcPr>
          <w:p w:rsidR="00D14A93" w:rsidRPr="00BB4AFB" w:rsidRDefault="00D14A93" w:rsidP="00BB4AFB">
            <w:pPr>
              <w:spacing w:after="0" w:line="240" w:lineRule="auto"/>
              <w:jc w:val="both"/>
              <w:rPr>
                <w:rFonts w:asciiTheme="majorHAnsi" w:eastAsia="Times New Roman" w:hAnsiTheme="majorHAnsi" w:cstheme="majorHAnsi"/>
                <w:sz w:val="24"/>
                <w:szCs w:val="24"/>
                <w:lang w:eastAsia="es-MX"/>
              </w:rPr>
            </w:pPr>
          </w:p>
        </w:tc>
      </w:tr>
      <w:tr w:rsidR="00D14A93" w:rsidRPr="00BB4AFB" w:rsidTr="00D14A93">
        <w:trPr>
          <w:cantSplit/>
          <w:trHeight w:val="1309"/>
          <w:jc w:val="center"/>
        </w:trPr>
        <w:tc>
          <w:tcPr>
            <w:tcW w:w="629" w:type="dxa"/>
            <w:vMerge/>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p>
        </w:tc>
        <w:tc>
          <w:tcPr>
            <w:tcW w:w="2485" w:type="dxa"/>
            <w:vMerge/>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p>
        </w:tc>
        <w:tc>
          <w:tcPr>
            <w:tcW w:w="2210" w:type="dxa"/>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Organismos constitucionales autónomos</w:t>
            </w:r>
          </w:p>
        </w:tc>
        <w:tc>
          <w:tcPr>
            <w:tcW w:w="1481" w:type="dxa"/>
            <w:vAlign w:val="center"/>
          </w:tcPr>
          <w:p w:rsidR="00D14A93" w:rsidRPr="00BB4AFB" w:rsidRDefault="00D14A93"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Aplicable</w:t>
            </w:r>
          </w:p>
        </w:tc>
        <w:tc>
          <w:tcPr>
            <w:tcW w:w="3414" w:type="dxa"/>
            <w:vMerge/>
            <w:vAlign w:val="center"/>
          </w:tcPr>
          <w:p w:rsidR="00D14A93" w:rsidRPr="00BB4AFB" w:rsidRDefault="00D14A93" w:rsidP="00BB4AFB">
            <w:pPr>
              <w:spacing w:after="0" w:line="240" w:lineRule="auto"/>
              <w:jc w:val="both"/>
              <w:rPr>
                <w:rFonts w:asciiTheme="majorHAnsi" w:eastAsia="Times New Roman" w:hAnsiTheme="majorHAnsi" w:cstheme="majorHAnsi"/>
                <w:sz w:val="24"/>
                <w:szCs w:val="24"/>
                <w:lang w:eastAsia="es-MX"/>
              </w:rPr>
            </w:pPr>
          </w:p>
        </w:tc>
      </w:tr>
    </w:tbl>
    <w:p w:rsidR="00BF4274" w:rsidRPr="00BB4AFB" w:rsidRDefault="00BF4274" w:rsidP="00BB4AFB">
      <w:pPr>
        <w:spacing w:after="0" w:line="240" w:lineRule="auto"/>
        <w:jc w:val="both"/>
        <w:rPr>
          <w:rFonts w:asciiTheme="majorHAnsi" w:eastAsia="Arial" w:hAnsiTheme="majorHAnsi" w:cstheme="majorHAnsi"/>
          <w:sz w:val="24"/>
          <w:szCs w:val="24"/>
        </w:rPr>
      </w:pPr>
    </w:p>
    <w:p w:rsidR="00214D12" w:rsidRPr="00BB4AFB" w:rsidRDefault="00657BBF"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SÉPTIMO.-</w:t>
      </w:r>
      <w:r w:rsidRPr="00BB4AFB">
        <w:rPr>
          <w:rFonts w:asciiTheme="majorHAnsi" w:eastAsia="Arial" w:hAnsiTheme="majorHAnsi" w:cstheme="majorHAnsi"/>
          <w:sz w:val="24"/>
          <w:szCs w:val="24"/>
        </w:rPr>
        <w:t xml:space="preserve"> </w:t>
      </w:r>
      <w:r w:rsidR="003878FD" w:rsidRPr="00BB4AFB">
        <w:rPr>
          <w:rFonts w:asciiTheme="majorHAnsi" w:eastAsia="Arial" w:hAnsiTheme="majorHAnsi" w:cstheme="majorHAnsi"/>
          <w:sz w:val="24"/>
          <w:szCs w:val="24"/>
        </w:rPr>
        <w:t xml:space="preserve">Tal y como se refirió en el antecedente </w:t>
      </w:r>
      <w:r w:rsidR="00AC68AA" w:rsidRPr="00BB4AFB">
        <w:rPr>
          <w:rFonts w:asciiTheme="majorHAnsi" w:eastAsia="Arial" w:hAnsiTheme="majorHAnsi" w:cstheme="majorHAnsi"/>
          <w:sz w:val="24"/>
          <w:szCs w:val="24"/>
        </w:rPr>
        <w:t xml:space="preserve">quinto, el 5 de abril del año en curso, </w:t>
      </w:r>
      <w:r w:rsidR="00C308F2" w:rsidRPr="00BB4AFB">
        <w:rPr>
          <w:rFonts w:asciiTheme="majorHAnsi" w:eastAsia="Arial" w:hAnsiTheme="majorHAnsi" w:cstheme="majorHAnsi"/>
          <w:sz w:val="24"/>
          <w:szCs w:val="24"/>
        </w:rPr>
        <w:t>este órgano garante del acceso a la información pública, aprobó la modificación de diversas tablas de aplicabilidad de las obligaciones de transparencia comunes de diversos sujetos obligados del Poder Ejecutivo</w:t>
      </w:r>
      <w:r w:rsidR="00214D12" w:rsidRPr="00BB4AFB">
        <w:rPr>
          <w:rFonts w:asciiTheme="majorHAnsi" w:eastAsia="Arial" w:hAnsiTheme="majorHAnsi" w:cstheme="majorHAnsi"/>
          <w:sz w:val="24"/>
          <w:szCs w:val="24"/>
        </w:rPr>
        <w:t xml:space="preserve">, en la que se determinó que en lo que respecta a la obligación prevista en la fracción XIV del artículo 70 de la Ley general (Convocatorias a concursos para ocupar cargos públicos y los resultados de los mismos), </w:t>
      </w:r>
      <w:r w:rsidR="001F04CD" w:rsidRPr="00BB4AFB">
        <w:rPr>
          <w:rFonts w:asciiTheme="majorHAnsi" w:eastAsia="Arial" w:hAnsiTheme="majorHAnsi" w:cstheme="majorHAnsi"/>
          <w:sz w:val="24"/>
          <w:szCs w:val="24"/>
        </w:rPr>
        <w:t>e</w:t>
      </w:r>
      <w:r w:rsidR="00214D12" w:rsidRPr="00BB4AFB">
        <w:rPr>
          <w:rFonts w:asciiTheme="majorHAnsi" w:eastAsia="Arial" w:hAnsiTheme="majorHAnsi" w:cstheme="majorHAnsi"/>
          <w:sz w:val="24"/>
          <w:szCs w:val="24"/>
        </w:rPr>
        <w:t>sta obligación le sería aplicable a la Secretaría de Administración y Finanzas, de conformidad con las siguientes valoraciones:</w:t>
      </w:r>
    </w:p>
    <w:p w:rsidR="00084A84" w:rsidRPr="00BB4AFB" w:rsidRDefault="00084A84" w:rsidP="00BB4AFB">
      <w:pPr>
        <w:spacing w:after="0" w:line="240" w:lineRule="auto"/>
        <w:jc w:val="both"/>
        <w:rPr>
          <w:rFonts w:asciiTheme="majorHAnsi" w:eastAsia="Arial" w:hAnsiTheme="majorHAnsi" w:cstheme="majorHAnsi"/>
          <w:sz w:val="24"/>
          <w:szCs w:val="24"/>
        </w:rPr>
      </w:pPr>
    </w:p>
    <w:p w:rsidR="00657BBF" w:rsidRPr="00BB4AFB" w:rsidRDefault="00214D12" w:rsidP="00BB4AFB">
      <w:pPr>
        <w:spacing w:after="0" w:line="240" w:lineRule="auto"/>
        <w:ind w:left="567" w:right="616"/>
        <w:jc w:val="both"/>
        <w:rPr>
          <w:rFonts w:asciiTheme="majorHAnsi" w:eastAsia="Arial" w:hAnsiTheme="majorHAnsi" w:cstheme="majorHAnsi"/>
          <w:i/>
          <w:sz w:val="24"/>
          <w:szCs w:val="24"/>
        </w:rPr>
      </w:pPr>
      <w:r w:rsidRPr="00BB4AFB">
        <w:rPr>
          <w:rFonts w:asciiTheme="majorHAnsi" w:eastAsia="Arial" w:hAnsiTheme="majorHAnsi" w:cstheme="majorHAnsi"/>
          <w:i/>
          <w:sz w:val="24"/>
          <w:szCs w:val="24"/>
        </w:rPr>
        <w:t>“…</w:t>
      </w:r>
      <w:r w:rsidR="001C4697" w:rsidRPr="00BB4AFB">
        <w:rPr>
          <w:rFonts w:asciiTheme="majorHAnsi" w:eastAsia="Arial" w:hAnsiTheme="majorHAnsi" w:cstheme="majorHAnsi"/>
          <w:i/>
          <w:sz w:val="24"/>
          <w:szCs w:val="24"/>
        </w:rPr>
        <w:t>Tratándose de la administración pública centralizada, integrada por el Despacho del Gobernador y las dependencias contempladas en el artículo 22 del Código de la Administración Pública, exceptuando de éstas a la Secretaría de Seguridad Pública y la Fiscalía General del Estado; esta obligación de transparencia únicamente le será aplicable a la Secretaría de Administración y Finanzas, toda vez que de conformidad con lo señalado en el artículo 69 Quater del Reglamento del Código de la Administración Pública de Yucatán, le corresponde al Director General de Recursos Humanos de la Secretaría de Administración y Finanzas; reclutar y seleccionar al personal para las dependencias del Poder Ejecutivo, mediante la promoción y operación de la bolsa de trabajo, por lo que si bien los titulares de las entidades centralizadas cuentan con facultades para nombrar y remover libremente al personal a su cargo, dicha atribución está acotada al reclutamiento y selección que realice el Director General de Recursos Humanos.</w:t>
      </w:r>
      <w:r w:rsidRPr="00BB4AFB">
        <w:rPr>
          <w:rFonts w:asciiTheme="majorHAnsi" w:eastAsia="Arial" w:hAnsiTheme="majorHAnsi" w:cstheme="majorHAnsi"/>
          <w:i/>
          <w:sz w:val="24"/>
          <w:szCs w:val="24"/>
        </w:rPr>
        <w:t xml:space="preserve"> </w:t>
      </w:r>
      <w:r w:rsidR="001C4697" w:rsidRPr="00BB4AFB">
        <w:rPr>
          <w:rFonts w:asciiTheme="majorHAnsi" w:eastAsia="Arial" w:hAnsiTheme="majorHAnsi" w:cstheme="majorHAnsi"/>
          <w:i/>
          <w:sz w:val="24"/>
          <w:szCs w:val="24"/>
        </w:rPr>
        <w:t>Quedan exceptuadas del presente acuerdo, la Secretaría de Seguridad Pública y la Fiscalía General del Estado, toda vez que de conformidad con lo dispuesto en los artículos 50, 56 y 78 de la Ley del Sistema Estatal de Seguridad Pública, le corresponde a dichas dependencias del Poder Ejecutivo, la planeación, implementación, supervisión y evaluación del servicio profesional de carrera, por lo que cuentan con atribuciones suficientes para emitir convocatorias de reclutamiento de aspirantes a ingresar a dichas instituciones de seguridad pública, así como para los concursos de promoción</w:t>
      </w:r>
      <w:r w:rsidRPr="00BB4AFB">
        <w:rPr>
          <w:rFonts w:asciiTheme="majorHAnsi" w:eastAsia="Arial" w:hAnsiTheme="majorHAnsi" w:cstheme="majorHAnsi"/>
          <w:i/>
          <w:sz w:val="24"/>
          <w:szCs w:val="24"/>
        </w:rPr>
        <w:t>…”</w:t>
      </w:r>
    </w:p>
    <w:p w:rsidR="00657BBF" w:rsidRPr="00BB4AFB" w:rsidRDefault="00657BBF" w:rsidP="00BB4AFB">
      <w:pPr>
        <w:spacing w:after="0" w:line="240" w:lineRule="auto"/>
        <w:jc w:val="both"/>
        <w:rPr>
          <w:rFonts w:asciiTheme="majorHAnsi" w:eastAsia="Arial" w:hAnsiTheme="majorHAnsi" w:cstheme="majorHAnsi"/>
          <w:sz w:val="24"/>
          <w:szCs w:val="24"/>
        </w:rPr>
      </w:pPr>
    </w:p>
    <w:p w:rsidR="00214D12" w:rsidRPr="00BB4AFB" w:rsidRDefault="00214D12"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Ahora bien, también resulta pertinente exceptuar</w:t>
      </w:r>
      <w:r w:rsidR="00D7279F" w:rsidRPr="00BB4AFB">
        <w:rPr>
          <w:rFonts w:asciiTheme="majorHAnsi" w:eastAsia="Arial" w:hAnsiTheme="majorHAnsi" w:cstheme="majorHAnsi"/>
          <w:sz w:val="24"/>
          <w:szCs w:val="24"/>
        </w:rPr>
        <w:t xml:space="preserve"> </w:t>
      </w:r>
      <w:r w:rsidRPr="00BB4AFB">
        <w:rPr>
          <w:rFonts w:asciiTheme="majorHAnsi" w:eastAsia="Arial" w:hAnsiTheme="majorHAnsi" w:cstheme="majorHAnsi"/>
          <w:sz w:val="24"/>
          <w:szCs w:val="24"/>
        </w:rPr>
        <w:t>de los alcances de dicho acuerdo</w:t>
      </w:r>
      <w:r w:rsidR="00084A84" w:rsidRPr="00BB4AFB">
        <w:rPr>
          <w:rFonts w:asciiTheme="majorHAnsi" w:eastAsia="Arial" w:hAnsiTheme="majorHAnsi" w:cstheme="majorHAnsi"/>
          <w:sz w:val="24"/>
          <w:szCs w:val="24"/>
        </w:rPr>
        <w:t>,</w:t>
      </w:r>
      <w:r w:rsidRPr="00BB4AFB">
        <w:rPr>
          <w:rFonts w:asciiTheme="majorHAnsi" w:eastAsia="Arial" w:hAnsiTheme="majorHAnsi" w:cstheme="majorHAnsi"/>
          <w:sz w:val="24"/>
          <w:szCs w:val="24"/>
        </w:rPr>
        <w:t xml:space="preserve"> a la Secretaría de Educación del Gobierno del Estado, </w:t>
      </w:r>
      <w:r w:rsidR="002B2337" w:rsidRPr="00BB4AFB">
        <w:rPr>
          <w:rFonts w:asciiTheme="majorHAnsi" w:eastAsia="Arial" w:hAnsiTheme="majorHAnsi" w:cstheme="majorHAnsi"/>
          <w:sz w:val="24"/>
          <w:szCs w:val="24"/>
        </w:rPr>
        <w:t>toda vez que de conformidad con lo señalado en la Ley General del Servicio Profesional Docente</w:t>
      </w:r>
      <w:r w:rsidR="00084A84" w:rsidRPr="00BB4AFB">
        <w:rPr>
          <w:rFonts w:asciiTheme="majorHAnsi" w:eastAsia="Arial" w:hAnsiTheme="majorHAnsi" w:cstheme="majorHAnsi"/>
          <w:sz w:val="24"/>
          <w:szCs w:val="24"/>
        </w:rPr>
        <w:t xml:space="preserve">, en su artículo 21, el ingreso al servicio de educación básica y media superior que imparta el Estado y sus organismos descentralizados, se llevarán a cabo mediante concursos de oposición, en los términos señalados en dicha disposición normativa. </w:t>
      </w:r>
      <w:r w:rsidR="00084A84" w:rsidRPr="00BB4AFB">
        <w:rPr>
          <w:rFonts w:asciiTheme="majorHAnsi" w:eastAsia="Arial" w:hAnsiTheme="majorHAnsi" w:cstheme="majorHAnsi"/>
          <w:b/>
          <w:sz w:val="24"/>
          <w:szCs w:val="24"/>
        </w:rPr>
        <w:t>Con base a lo anterior la obligación descrita en la fracción XIV del artículo 70 de la Ley general de transparencia, le resulta aplicable a la Secretaría de Educación del Gobierno del Estado.</w:t>
      </w:r>
    </w:p>
    <w:p w:rsidR="00214D12" w:rsidRPr="00BB4AFB" w:rsidRDefault="00214D12" w:rsidP="00BB4AFB">
      <w:pPr>
        <w:spacing w:after="0" w:line="240" w:lineRule="auto"/>
        <w:jc w:val="both"/>
        <w:rPr>
          <w:rFonts w:asciiTheme="majorHAnsi" w:eastAsia="Arial" w:hAnsiTheme="majorHAnsi" w:cstheme="majorHAnsi"/>
          <w:sz w:val="24"/>
          <w:szCs w:val="24"/>
        </w:rPr>
      </w:pPr>
    </w:p>
    <w:p w:rsidR="00FA0AFF" w:rsidRPr="00BB4AFB" w:rsidRDefault="00FA0AFF"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 xml:space="preserve">OCTAVO.- </w:t>
      </w:r>
      <w:r w:rsidR="0023780D" w:rsidRPr="00BB4AFB">
        <w:rPr>
          <w:rFonts w:asciiTheme="majorHAnsi" w:eastAsia="Arial" w:hAnsiTheme="majorHAnsi" w:cstheme="majorHAnsi"/>
          <w:sz w:val="24"/>
          <w:szCs w:val="24"/>
        </w:rPr>
        <w:t>De igual forma</w:t>
      </w:r>
      <w:r w:rsidR="005C3E6D" w:rsidRPr="00BB4AFB">
        <w:rPr>
          <w:rFonts w:asciiTheme="majorHAnsi" w:eastAsia="Arial" w:hAnsiTheme="majorHAnsi" w:cstheme="majorHAnsi"/>
          <w:sz w:val="24"/>
          <w:szCs w:val="24"/>
        </w:rPr>
        <w:t>,</w:t>
      </w:r>
      <w:r w:rsidR="0023780D" w:rsidRPr="00BB4AFB">
        <w:rPr>
          <w:rFonts w:asciiTheme="majorHAnsi" w:eastAsia="Arial" w:hAnsiTheme="majorHAnsi" w:cstheme="majorHAnsi"/>
          <w:sz w:val="24"/>
          <w:szCs w:val="24"/>
        </w:rPr>
        <w:t xml:space="preserve"> </w:t>
      </w:r>
      <w:r w:rsidR="00CF515A" w:rsidRPr="00BB4AFB">
        <w:rPr>
          <w:rFonts w:asciiTheme="majorHAnsi" w:eastAsia="Arial" w:hAnsiTheme="majorHAnsi" w:cstheme="majorHAnsi"/>
          <w:sz w:val="24"/>
          <w:szCs w:val="24"/>
        </w:rPr>
        <w:t xml:space="preserve">de las reuniones de trabajo sostenidas con diversos sujetos obligados, nos allegamos de información suficiente para reconsiderar la aplicabilidad de las obligaciones de transparencia descritas en las fracciones XXXVIII y XL del artículo 70 de la Ley general de transparencia, </w:t>
      </w:r>
      <w:r w:rsidR="005C3E6D" w:rsidRPr="00BB4AFB">
        <w:rPr>
          <w:rFonts w:asciiTheme="majorHAnsi" w:eastAsia="Arial" w:hAnsiTheme="majorHAnsi" w:cstheme="majorHAnsi"/>
          <w:sz w:val="24"/>
          <w:szCs w:val="24"/>
        </w:rPr>
        <w:t>de conformidad con las siguientes valoraciones:</w:t>
      </w:r>
    </w:p>
    <w:p w:rsidR="00CF515A" w:rsidRPr="00BB4AFB" w:rsidRDefault="00CF515A" w:rsidP="00BB4AFB">
      <w:pPr>
        <w:spacing w:after="0" w:line="240" w:lineRule="auto"/>
        <w:jc w:val="both"/>
        <w:rPr>
          <w:rFonts w:asciiTheme="majorHAnsi" w:eastAsia="Arial" w:hAnsiTheme="majorHAnsi" w:cstheme="majorHAnsi"/>
          <w:sz w:val="24"/>
          <w:szCs w:val="24"/>
        </w:rPr>
      </w:pPr>
    </w:p>
    <w:tbl>
      <w:tblPr>
        <w:tblStyle w:val="Tablaconcuadrcula"/>
        <w:tblW w:w="10219" w:type="dxa"/>
        <w:jc w:val="center"/>
        <w:tblLook w:val="04A0" w:firstRow="1" w:lastRow="0" w:firstColumn="1" w:lastColumn="0" w:noHBand="0" w:noVBand="1"/>
      </w:tblPr>
      <w:tblGrid>
        <w:gridCol w:w="887"/>
        <w:gridCol w:w="2409"/>
        <w:gridCol w:w="2174"/>
        <w:gridCol w:w="1461"/>
        <w:gridCol w:w="3288"/>
      </w:tblGrid>
      <w:tr w:rsidR="00BB4AFB" w:rsidRPr="00BB4AFB" w:rsidTr="008926B0">
        <w:trPr>
          <w:trHeight w:val="619"/>
          <w:tblHeader/>
          <w:jc w:val="center"/>
        </w:trPr>
        <w:tc>
          <w:tcPr>
            <w:tcW w:w="3276" w:type="dxa"/>
            <w:gridSpan w:val="2"/>
            <w:shd w:val="clear" w:color="auto" w:fill="B4C6E7" w:themeFill="accent5" w:themeFillTint="66"/>
            <w:vAlign w:val="center"/>
          </w:tcPr>
          <w:p w:rsidR="00CF515A" w:rsidRPr="00BB4AFB" w:rsidRDefault="00CF515A"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Fracción/ Obligación de Transparencia</w:t>
            </w:r>
          </w:p>
        </w:tc>
        <w:tc>
          <w:tcPr>
            <w:tcW w:w="2179" w:type="dxa"/>
            <w:shd w:val="clear" w:color="auto" w:fill="B4C6E7" w:themeFill="accent5" w:themeFillTint="66"/>
            <w:vAlign w:val="center"/>
          </w:tcPr>
          <w:p w:rsidR="00CF515A" w:rsidRPr="00BB4AFB" w:rsidRDefault="00CF515A"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Sujeto Obligado</w:t>
            </w:r>
          </w:p>
        </w:tc>
        <w:tc>
          <w:tcPr>
            <w:tcW w:w="1464" w:type="dxa"/>
            <w:shd w:val="clear" w:color="auto" w:fill="B4C6E7" w:themeFill="accent5" w:themeFillTint="66"/>
            <w:vAlign w:val="center"/>
          </w:tcPr>
          <w:p w:rsidR="00CF515A" w:rsidRPr="00BB4AFB" w:rsidRDefault="00CF515A"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Aplicable/ No Aplicable</w:t>
            </w:r>
          </w:p>
        </w:tc>
        <w:tc>
          <w:tcPr>
            <w:tcW w:w="3300" w:type="dxa"/>
            <w:shd w:val="clear" w:color="auto" w:fill="B4C6E7" w:themeFill="accent5" w:themeFillTint="66"/>
            <w:vAlign w:val="center"/>
          </w:tcPr>
          <w:p w:rsidR="00CF515A" w:rsidRPr="00BB4AFB" w:rsidRDefault="00CF515A"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Fundamento Legal</w:t>
            </w:r>
          </w:p>
        </w:tc>
      </w:tr>
      <w:tr w:rsidR="00E83E79" w:rsidRPr="00BB4AFB" w:rsidTr="008926B0">
        <w:trPr>
          <w:trHeight w:val="1134"/>
          <w:jc w:val="center"/>
        </w:trPr>
        <w:tc>
          <w:tcPr>
            <w:tcW w:w="858" w:type="dxa"/>
            <w:vMerge w:val="restart"/>
            <w:vAlign w:val="center"/>
          </w:tcPr>
          <w:p w:rsidR="00E83E79" w:rsidRPr="00BB4AFB" w:rsidRDefault="00E83E79" w:rsidP="00BB4AFB">
            <w:pPr>
              <w:spacing w:after="0" w:line="240" w:lineRule="auto"/>
              <w:jc w:val="center"/>
              <w:rPr>
                <w:rFonts w:ascii="Calibri Light" w:eastAsia="Times New Roman" w:hAnsi="Calibri Light" w:cs="Calibri Light"/>
                <w:sz w:val="24"/>
                <w:szCs w:val="24"/>
              </w:rPr>
            </w:pPr>
            <w:r w:rsidRPr="00BB4AFB">
              <w:rPr>
                <w:rFonts w:ascii="Calibri Light" w:eastAsia="Times New Roman" w:hAnsi="Calibri Light" w:cs="Calibri Light"/>
                <w:sz w:val="24"/>
                <w:szCs w:val="24"/>
              </w:rPr>
              <w:t>XXXVIII</w:t>
            </w:r>
          </w:p>
        </w:tc>
        <w:tc>
          <w:tcPr>
            <w:tcW w:w="2418" w:type="dxa"/>
            <w:vMerge w:val="restart"/>
            <w:vAlign w:val="center"/>
          </w:tcPr>
          <w:p w:rsidR="00E83E79" w:rsidRPr="00BB4AFB" w:rsidRDefault="00E83E79" w:rsidP="00BB4AFB">
            <w:pPr>
              <w:spacing w:after="0" w:line="240" w:lineRule="auto"/>
              <w:jc w:val="both"/>
              <w:rPr>
                <w:rFonts w:ascii="Calibri Light" w:eastAsia="Times New Roman" w:hAnsi="Calibri Light" w:cs="Calibri Light"/>
                <w:sz w:val="24"/>
                <w:szCs w:val="24"/>
              </w:rPr>
            </w:pPr>
            <w:r w:rsidRPr="00BB4AFB">
              <w:rPr>
                <w:rFonts w:ascii="Calibri Light" w:eastAsia="Times New Roman" w:hAnsi="Calibri Light" w:cs="Calibri Light"/>
                <w:sz w:val="24"/>
                <w:szCs w:val="24"/>
              </w:rPr>
              <w:t>Los programas que ofrecen, incluyendo información sobre la población, objetivo y destino, así como los trámites, tiempos de respuesta, requisitos y formatos para acceder a los mismos;</w:t>
            </w:r>
          </w:p>
        </w:tc>
        <w:tc>
          <w:tcPr>
            <w:tcW w:w="2179" w:type="dxa"/>
            <w:vAlign w:val="center"/>
          </w:tcPr>
          <w:p w:rsidR="00E83E79" w:rsidRPr="00BB4AFB" w:rsidRDefault="00E83E79"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Secretaría de la Contraloría General</w:t>
            </w:r>
          </w:p>
        </w:tc>
        <w:tc>
          <w:tcPr>
            <w:tcW w:w="1464" w:type="dxa"/>
            <w:vAlign w:val="center"/>
          </w:tcPr>
          <w:p w:rsidR="00E83E79" w:rsidRPr="00BB4AFB" w:rsidRDefault="003D4B60"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vAlign w:val="center"/>
          </w:tcPr>
          <w:p w:rsidR="00134DA0" w:rsidRPr="00BB4AFB" w:rsidRDefault="003D4B60" w:rsidP="00BB4AFB">
            <w:pPr>
              <w:spacing w:after="0" w:line="240" w:lineRule="auto"/>
              <w:jc w:val="both"/>
              <w:rPr>
                <w:rFonts w:asciiTheme="majorHAnsi" w:eastAsia="Times New Roman" w:hAnsiTheme="majorHAnsi" w:cstheme="majorHAnsi"/>
                <w:sz w:val="24"/>
                <w:szCs w:val="24"/>
                <w:lang w:eastAsia="es-MX"/>
              </w:rPr>
            </w:pPr>
            <w:r w:rsidRPr="00BB4AFB">
              <w:rPr>
                <w:rFonts w:asciiTheme="majorHAnsi" w:eastAsia="Times New Roman" w:hAnsiTheme="majorHAnsi" w:cstheme="majorHAnsi"/>
                <w:sz w:val="24"/>
                <w:szCs w:val="24"/>
                <w:lang w:eastAsia="es-MX"/>
              </w:rPr>
              <w:t>No le es aplicable, toda vez que de conformidad con lo señalado en el artículo 46 del Código de la Administración Pública de Yucatán, no se encuentra dentro del ámbito de sus facultades, competencias o funciones,</w:t>
            </w:r>
            <w:r w:rsidRPr="00BB4AFB">
              <w:rPr>
                <w:rFonts w:asciiTheme="majorHAnsi" w:hAnsiTheme="majorHAnsi" w:cstheme="majorHAnsi"/>
                <w:sz w:val="24"/>
                <w:szCs w:val="24"/>
              </w:rPr>
              <w:t xml:space="preserve"> </w:t>
            </w:r>
            <w:r w:rsidR="00134DA0" w:rsidRPr="00BB4AFB">
              <w:rPr>
                <w:rFonts w:ascii="Calibri Light" w:eastAsia="Times New Roman" w:hAnsi="Calibri Light" w:cs="Calibri Light"/>
                <w:sz w:val="24"/>
                <w:szCs w:val="24"/>
                <w:lang w:eastAsia="es-MX"/>
              </w:rPr>
              <w:t>toda vez que esta dependencia no desarrolla, ni opera programas que impliquen el otorgamiento de apoyos en efectivo o en especie.</w:t>
            </w:r>
          </w:p>
        </w:tc>
      </w:tr>
      <w:tr w:rsidR="003D4B60" w:rsidRPr="00BB4AFB" w:rsidTr="008926B0">
        <w:trPr>
          <w:trHeight w:val="1230"/>
          <w:jc w:val="center"/>
        </w:trPr>
        <w:tc>
          <w:tcPr>
            <w:tcW w:w="85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41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179" w:type="dxa"/>
            <w:vAlign w:val="center"/>
          </w:tcPr>
          <w:p w:rsidR="003D4B60" w:rsidRPr="00BB4AFB" w:rsidRDefault="00134DA0"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Fideicomiso Garante de la Orquesta Sinfónica de Yucatán, FIGAROSY.</w:t>
            </w:r>
          </w:p>
        </w:tc>
        <w:tc>
          <w:tcPr>
            <w:tcW w:w="1464" w:type="dxa"/>
            <w:vAlign w:val="center"/>
          </w:tcPr>
          <w:p w:rsidR="003D4B60" w:rsidRPr="00BB4AFB" w:rsidRDefault="003D4B60"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vAlign w:val="center"/>
          </w:tcPr>
          <w:p w:rsidR="00134DA0" w:rsidRPr="00BB4AFB" w:rsidRDefault="00134DA0" w:rsidP="00BB4AFB">
            <w:pPr>
              <w:spacing w:after="0" w:line="240" w:lineRule="auto"/>
              <w:jc w:val="both"/>
              <w:rPr>
                <w:rFonts w:asciiTheme="majorHAnsi" w:eastAsia="Times New Roman" w:hAnsiTheme="majorHAnsi" w:cstheme="majorHAnsi"/>
                <w:sz w:val="24"/>
                <w:szCs w:val="24"/>
                <w:lang w:eastAsia="es-MX"/>
              </w:rPr>
            </w:pPr>
            <w:r w:rsidRPr="00BB4AFB">
              <w:rPr>
                <w:rFonts w:asciiTheme="majorHAnsi" w:eastAsia="Times New Roman" w:hAnsiTheme="majorHAnsi" w:cstheme="majorHAnsi"/>
                <w:sz w:val="24"/>
                <w:szCs w:val="24"/>
                <w:lang w:eastAsia="es-MX"/>
              </w:rPr>
              <w:t>No le es aplicable, toda vez que de conformidad con lo señalado en el artículo 6 del Decreto que autoriza la creación del Fideicomiso Garante de la Orquesta Sinfónica de Yucatán, no se encuentra dentro del ámbito de sus facultades, competencias o funciones,</w:t>
            </w:r>
            <w:r w:rsidRPr="00BB4AFB">
              <w:rPr>
                <w:rFonts w:asciiTheme="majorHAnsi" w:hAnsiTheme="majorHAnsi" w:cstheme="majorHAnsi"/>
                <w:sz w:val="24"/>
                <w:szCs w:val="24"/>
              </w:rPr>
              <w:t xml:space="preserve"> </w:t>
            </w:r>
            <w:r w:rsidRPr="00BB4AFB">
              <w:rPr>
                <w:rFonts w:asciiTheme="majorHAnsi" w:eastAsia="Times New Roman" w:hAnsiTheme="majorHAnsi" w:cstheme="majorHAnsi"/>
                <w:sz w:val="24"/>
                <w:szCs w:val="24"/>
                <w:lang w:eastAsia="es-MX"/>
              </w:rPr>
              <w:t>ya que esta entidad paraestatal</w:t>
            </w:r>
            <w:r w:rsidRPr="00BB4AFB">
              <w:rPr>
                <w:rFonts w:ascii="Calibri Light" w:eastAsia="Times New Roman" w:hAnsi="Calibri Light" w:cs="Calibri Light"/>
                <w:sz w:val="24"/>
                <w:szCs w:val="24"/>
                <w:lang w:eastAsia="es-MX"/>
              </w:rPr>
              <w:t xml:space="preserve"> no desarrolla, ni opera programas que impliquen el otorgamiento de apoyos en efectivo o en especie.</w:t>
            </w:r>
          </w:p>
        </w:tc>
      </w:tr>
      <w:tr w:rsidR="003D4B60" w:rsidRPr="00BB4AFB" w:rsidTr="008926B0">
        <w:trPr>
          <w:trHeight w:val="1309"/>
          <w:jc w:val="center"/>
        </w:trPr>
        <w:tc>
          <w:tcPr>
            <w:tcW w:w="85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41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179" w:type="dxa"/>
            <w:vAlign w:val="center"/>
          </w:tcPr>
          <w:p w:rsidR="003D4B60" w:rsidRPr="00BB4AFB" w:rsidRDefault="00134DA0" w:rsidP="00BB4AFB">
            <w:pPr>
              <w:spacing w:after="0" w:line="240" w:lineRule="auto"/>
              <w:jc w:val="both"/>
              <w:rPr>
                <w:rFonts w:asciiTheme="majorHAnsi" w:eastAsia="Arial" w:hAnsiTheme="majorHAnsi" w:cstheme="majorHAnsi"/>
                <w:sz w:val="24"/>
                <w:szCs w:val="24"/>
              </w:rPr>
            </w:pPr>
            <w:r w:rsidRPr="00BB4AFB">
              <w:rPr>
                <w:rFonts w:asciiTheme="majorHAnsi" w:eastAsia="Times New Roman" w:hAnsiTheme="majorHAnsi" w:cs="Times New Roman"/>
                <w:color w:val="000000"/>
                <w:sz w:val="24"/>
                <w:szCs w:val="24"/>
                <w:lang w:eastAsia="es-MX"/>
              </w:rPr>
              <w:t>Fábrica de Postes de Yucatán, S.A. de C.V.</w:t>
            </w:r>
          </w:p>
        </w:tc>
        <w:tc>
          <w:tcPr>
            <w:tcW w:w="1464" w:type="dxa"/>
            <w:vAlign w:val="center"/>
          </w:tcPr>
          <w:p w:rsidR="003D4B60" w:rsidRPr="00BB4AFB" w:rsidRDefault="003D4B60"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vAlign w:val="center"/>
          </w:tcPr>
          <w:p w:rsidR="00134DA0" w:rsidRPr="00BB4AFB" w:rsidRDefault="00134DA0" w:rsidP="00BB4AFB">
            <w:pPr>
              <w:spacing w:after="0" w:line="240" w:lineRule="auto"/>
              <w:jc w:val="both"/>
              <w:rPr>
                <w:rFonts w:asciiTheme="majorHAnsi" w:eastAsia="Times New Roman" w:hAnsiTheme="majorHAnsi" w:cstheme="majorHAnsi"/>
                <w:sz w:val="24"/>
                <w:szCs w:val="24"/>
                <w:lang w:eastAsia="es-MX"/>
              </w:rPr>
            </w:pPr>
            <w:r w:rsidRPr="00BB4AFB">
              <w:rPr>
                <w:rFonts w:asciiTheme="majorHAnsi" w:eastAsia="Times New Roman" w:hAnsiTheme="majorHAnsi" w:cs="Calibri Light"/>
                <w:sz w:val="24"/>
                <w:szCs w:val="24"/>
                <w:lang w:eastAsia="es-MX"/>
              </w:rPr>
              <w:t>No le es aplicable, toda vez que de conformidad con su acta constitutiva, así como en el acta de asamblea número sesenta y cuatro, de fecha 31 de diciembre de 1996, que modifica el articulado de</w:t>
            </w:r>
            <w:r w:rsidR="005C3E6D" w:rsidRPr="00BB4AFB">
              <w:rPr>
                <w:rFonts w:asciiTheme="majorHAnsi" w:eastAsia="Times New Roman" w:hAnsiTheme="majorHAnsi" w:cs="Calibri Light"/>
                <w:sz w:val="24"/>
                <w:szCs w:val="24"/>
                <w:lang w:eastAsia="es-MX"/>
              </w:rPr>
              <w:t>l acta constitutiva</w:t>
            </w:r>
            <w:r w:rsidRPr="00BB4AFB">
              <w:rPr>
                <w:rFonts w:asciiTheme="majorHAnsi" w:eastAsia="Times New Roman" w:hAnsiTheme="majorHAnsi" w:cs="Calibri Light"/>
                <w:sz w:val="24"/>
                <w:szCs w:val="24"/>
                <w:lang w:eastAsia="es-MX"/>
              </w:rPr>
              <w:t xml:space="preserve">, la generación de la información a la que se refiere esta fracción, no se encuentra dentro del ámbito de las facultades, competencias y atribuciones de esta entidad, </w:t>
            </w:r>
            <w:r w:rsidRPr="00BB4AFB">
              <w:rPr>
                <w:rFonts w:asciiTheme="majorHAnsi" w:eastAsia="Times New Roman" w:hAnsiTheme="majorHAnsi" w:cstheme="majorHAnsi"/>
                <w:sz w:val="24"/>
                <w:szCs w:val="24"/>
                <w:lang w:eastAsia="es-MX"/>
              </w:rPr>
              <w:t>ya que esta entidad paraestatal</w:t>
            </w:r>
            <w:r w:rsidRPr="00BB4AFB">
              <w:rPr>
                <w:rFonts w:ascii="Calibri Light" w:eastAsia="Times New Roman" w:hAnsi="Calibri Light" w:cs="Calibri Light"/>
                <w:sz w:val="24"/>
                <w:szCs w:val="24"/>
                <w:lang w:eastAsia="es-MX"/>
              </w:rPr>
              <w:t xml:space="preserve"> no desarrolla, ni opera programas que impliquen el otorgamiento de apoyos en efectivo o en especie.</w:t>
            </w:r>
          </w:p>
        </w:tc>
      </w:tr>
      <w:tr w:rsidR="003D4B60" w:rsidRPr="00BB4AFB" w:rsidTr="008926B0">
        <w:trPr>
          <w:trHeight w:val="1309"/>
          <w:jc w:val="center"/>
        </w:trPr>
        <w:tc>
          <w:tcPr>
            <w:tcW w:w="85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41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179" w:type="dxa"/>
            <w:vAlign w:val="center"/>
          </w:tcPr>
          <w:p w:rsidR="003D4B60" w:rsidRPr="00BB4AFB" w:rsidRDefault="00134DA0" w:rsidP="00BB4AFB">
            <w:pPr>
              <w:spacing w:after="0" w:line="240" w:lineRule="auto"/>
              <w:jc w:val="both"/>
              <w:rPr>
                <w:rFonts w:asciiTheme="majorHAnsi" w:eastAsia="Arial" w:hAnsiTheme="majorHAnsi" w:cstheme="majorHAnsi"/>
                <w:sz w:val="24"/>
                <w:szCs w:val="24"/>
              </w:rPr>
            </w:pPr>
            <w:r w:rsidRPr="00BB4AFB">
              <w:rPr>
                <w:rFonts w:asciiTheme="majorHAnsi" w:hAnsiTheme="majorHAnsi"/>
                <w:sz w:val="24"/>
                <w:szCs w:val="24"/>
              </w:rPr>
              <w:t>Sistema Tele Yucatán, S.A. de C. V.</w:t>
            </w:r>
          </w:p>
        </w:tc>
        <w:tc>
          <w:tcPr>
            <w:tcW w:w="1464" w:type="dxa"/>
            <w:vAlign w:val="center"/>
          </w:tcPr>
          <w:p w:rsidR="003D4B60" w:rsidRPr="00BB4AFB" w:rsidRDefault="003D4B60"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vAlign w:val="center"/>
          </w:tcPr>
          <w:p w:rsidR="003D4B60" w:rsidRPr="00BB4AFB" w:rsidRDefault="00134DA0" w:rsidP="00BB4AFB">
            <w:pPr>
              <w:spacing w:after="0" w:line="240" w:lineRule="auto"/>
              <w:jc w:val="both"/>
              <w:rPr>
                <w:rFonts w:asciiTheme="majorHAnsi" w:eastAsia="Times New Roman" w:hAnsiTheme="majorHAnsi" w:cstheme="majorHAnsi"/>
                <w:sz w:val="24"/>
                <w:szCs w:val="24"/>
                <w:lang w:eastAsia="es-MX"/>
              </w:rPr>
            </w:pPr>
            <w:r w:rsidRPr="00BB4AFB">
              <w:rPr>
                <w:rFonts w:asciiTheme="majorHAnsi" w:eastAsia="Times New Roman" w:hAnsiTheme="majorHAnsi" w:cs="Calibri Light"/>
                <w:sz w:val="24"/>
                <w:szCs w:val="24"/>
                <w:lang w:eastAsia="es-MX"/>
              </w:rPr>
              <w:t xml:space="preserve">No le es aplicable, toda vez que de conformidad con su acta constitutiva, la generación de la información a la que se refiere esta fracción, no se encuentra dentro del ámbito de las facultades, competencias y atribuciones de esta entidad, </w:t>
            </w:r>
            <w:r w:rsidRPr="00BB4AFB">
              <w:rPr>
                <w:rFonts w:ascii="Calibri Light" w:eastAsia="Times New Roman" w:hAnsi="Calibri Light" w:cs="Calibri Light"/>
                <w:sz w:val="24"/>
                <w:szCs w:val="24"/>
                <w:lang w:eastAsia="es-MX"/>
              </w:rPr>
              <w:t>toda vez que este sujeto obligado no desarrolla, ni opera programas que impliquen el otorgamiento de apoyos en efectivo o en especie.</w:t>
            </w:r>
          </w:p>
        </w:tc>
      </w:tr>
      <w:tr w:rsidR="003D4B60" w:rsidRPr="00BB4AFB" w:rsidTr="008926B0">
        <w:trPr>
          <w:trHeight w:val="1309"/>
          <w:jc w:val="center"/>
        </w:trPr>
        <w:tc>
          <w:tcPr>
            <w:tcW w:w="85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41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179" w:type="dxa"/>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Agencia de Administración Fiscal de Yucatán</w:t>
            </w:r>
          </w:p>
        </w:tc>
        <w:tc>
          <w:tcPr>
            <w:tcW w:w="1464" w:type="dxa"/>
            <w:vAlign w:val="center"/>
          </w:tcPr>
          <w:p w:rsidR="003D4B60" w:rsidRPr="00BB4AFB" w:rsidRDefault="003D4B60"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vAlign w:val="center"/>
          </w:tcPr>
          <w:p w:rsidR="003D4B60" w:rsidRPr="00BB4AFB" w:rsidRDefault="00E422BC" w:rsidP="00BB4AFB">
            <w:pPr>
              <w:spacing w:after="0" w:line="240" w:lineRule="auto"/>
              <w:jc w:val="both"/>
              <w:rPr>
                <w:rFonts w:asciiTheme="majorHAnsi" w:eastAsia="Times New Roman" w:hAnsiTheme="majorHAnsi" w:cstheme="majorHAnsi"/>
                <w:sz w:val="24"/>
                <w:szCs w:val="24"/>
                <w:lang w:eastAsia="es-MX"/>
              </w:rPr>
            </w:pPr>
            <w:r w:rsidRPr="00BB4AFB">
              <w:rPr>
                <w:rFonts w:asciiTheme="majorHAnsi" w:eastAsia="Times New Roman" w:hAnsiTheme="majorHAnsi" w:cstheme="majorHAnsi"/>
                <w:sz w:val="24"/>
                <w:szCs w:val="24"/>
                <w:lang w:eastAsia="es-MX"/>
              </w:rPr>
              <w:t xml:space="preserve">No le es aplicable, toda vez que de conformidad con el artículo 3 y 7 de la Ley de la Agencia de Administración Fiscal del Estado de Yucatán, la generación de la información a la que se refiere esta fracción, no se encuentra dentro del ámbito de las facultades, competencias y atribuciones de este organismo desconcentrado, </w:t>
            </w:r>
            <w:r w:rsidRPr="00BB4AFB">
              <w:rPr>
                <w:rFonts w:ascii="Calibri Light" w:eastAsia="Times New Roman" w:hAnsi="Calibri Light" w:cs="Calibri Light"/>
                <w:sz w:val="24"/>
                <w:szCs w:val="24"/>
                <w:lang w:eastAsia="es-MX"/>
              </w:rPr>
              <w:t>toda vez que éste no desarrolla, ni opera programas que impliquen el otorgamiento de apoyos en efectivo o en especie.</w:t>
            </w:r>
          </w:p>
        </w:tc>
      </w:tr>
      <w:tr w:rsidR="003D4B60" w:rsidRPr="00BB4AFB" w:rsidTr="008926B0">
        <w:trPr>
          <w:trHeight w:val="1309"/>
          <w:jc w:val="center"/>
        </w:trPr>
        <w:tc>
          <w:tcPr>
            <w:tcW w:w="85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41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179" w:type="dxa"/>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Auditoría Superior del Estado de Yucatán</w:t>
            </w:r>
          </w:p>
        </w:tc>
        <w:tc>
          <w:tcPr>
            <w:tcW w:w="1464" w:type="dxa"/>
            <w:vAlign w:val="center"/>
          </w:tcPr>
          <w:p w:rsidR="003D4B60" w:rsidRPr="00BB4AFB" w:rsidRDefault="003D4B60"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vAlign w:val="center"/>
          </w:tcPr>
          <w:p w:rsidR="003D4B60" w:rsidRPr="00BB4AFB" w:rsidRDefault="00E422BC" w:rsidP="00BB4AFB">
            <w:pPr>
              <w:spacing w:after="0" w:line="240" w:lineRule="auto"/>
              <w:jc w:val="both"/>
              <w:rPr>
                <w:rFonts w:asciiTheme="majorHAnsi" w:eastAsia="Times New Roman" w:hAnsiTheme="majorHAnsi" w:cstheme="majorHAnsi"/>
                <w:sz w:val="24"/>
                <w:szCs w:val="24"/>
                <w:lang w:eastAsia="es-MX"/>
              </w:rPr>
            </w:pPr>
            <w:r w:rsidRPr="00BB4AFB">
              <w:rPr>
                <w:rFonts w:ascii="Calibri Light" w:eastAsia="Times New Roman" w:hAnsi="Calibri Light" w:cs="Calibri Light"/>
                <w:sz w:val="24"/>
                <w:szCs w:val="24"/>
              </w:rPr>
              <w:t xml:space="preserve">No le es aplicable, toda vez que de conformidad con lo establecido en los artículos 1 y 4 de la Ley de Fiscalización de la Cuenta Pública del Estado de Yucatán y el artículo 1 del Reglamento de la Ley de Fiscalización de la Cuenta Pública del Estado de Yucatán, no se encuentra dentro del ámbito de las facultades, competencias y atribuciones de este órgano del Poder Legislativo, </w:t>
            </w:r>
            <w:r w:rsidRPr="00BB4AFB">
              <w:rPr>
                <w:rFonts w:ascii="Calibri Light" w:eastAsia="Times New Roman" w:hAnsi="Calibri Light" w:cs="Calibri Light"/>
                <w:sz w:val="24"/>
                <w:szCs w:val="24"/>
                <w:lang w:eastAsia="es-MX"/>
              </w:rPr>
              <w:t>toda vez que éste no desarrolla, ni opera programas que impliquen el otorgamiento de apoyos en efectivo o en especie.</w:t>
            </w:r>
          </w:p>
        </w:tc>
      </w:tr>
      <w:tr w:rsidR="00E422BC" w:rsidRPr="00BB4AFB" w:rsidTr="008926B0">
        <w:tblPrEx>
          <w:jc w:val="left"/>
        </w:tblPrEx>
        <w:trPr>
          <w:trHeight w:val="1134"/>
        </w:trPr>
        <w:tc>
          <w:tcPr>
            <w:tcW w:w="858" w:type="dxa"/>
            <w:vMerge w:val="restart"/>
            <w:vAlign w:val="center"/>
          </w:tcPr>
          <w:p w:rsidR="00E422BC" w:rsidRPr="00BB4AFB" w:rsidRDefault="00E422BC" w:rsidP="00BB4AFB">
            <w:pPr>
              <w:spacing w:after="0" w:line="240" w:lineRule="auto"/>
              <w:jc w:val="center"/>
              <w:rPr>
                <w:rFonts w:ascii="Calibri Light" w:eastAsia="Times New Roman" w:hAnsi="Calibri Light" w:cs="Calibri Light"/>
                <w:sz w:val="24"/>
                <w:szCs w:val="24"/>
              </w:rPr>
            </w:pPr>
            <w:r w:rsidRPr="00BB4AFB">
              <w:rPr>
                <w:rFonts w:ascii="Calibri Light" w:eastAsia="Times New Roman" w:hAnsi="Calibri Light" w:cs="Calibri Light"/>
                <w:sz w:val="24"/>
                <w:szCs w:val="24"/>
              </w:rPr>
              <w:t>XL</w:t>
            </w:r>
          </w:p>
        </w:tc>
        <w:tc>
          <w:tcPr>
            <w:tcW w:w="2418" w:type="dxa"/>
            <w:vMerge w:val="restart"/>
            <w:vAlign w:val="center"/>
          </w:tcPr>
          <w:p w:rsidR="00E422BC" w:rsidRPr="00BB4AFB" w:rsidRDefault="00E422BC" w:rsidP="00BB4AFB">
            <w:pPr>
              <w:spacing w:after="0" w:line="240" w:lineRule="auto"/>
              <w:jc w:val="both"/>
              <w:rPr>
                <w:rFonts w:ascii="Calibri Light" w:eastAsia="Times New Roman" w:hAnsi="Calibri Light" w:cs="Calibri Light"/>
                <w:sz w:val="24"/>
                <w:szCs w:val="24"/>
              </w:rPr>
            </w:pPr>
            <w:r w:rsidRPr="00BB4AFB">
              <w:rPr>
                <w:rFonts w:ascii="Calibri Light" w:eastAsia="Times New Roman" w:hAnsi="Calibri Light" w:cs="Calibri Light"/>
                <w:sz w:val="24"/>
                <w:szCs w:val="24"/>
              </w:rPr>
              <w:t>Todas las evaluaciones y encuestas que hagan los sujetos obligados a programas financiados con recursos públicos;</w:t>
            </w:r>
          </w:p>
        </w:tc>
        <w:tc>
          <w:tcPr>
            <w:tcW w:w="2179" w:type="dxa"/>
            <w:vAlign w:val="center"/>
          </w:tcPr>
          <w:p w:rsidR="00E422BC" w:rsidRPr="00BB4AFB" w:rsidRDefault="00E422BC"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Secretaría de la Contraloría General</w:t>
            </w:r>
          </w:p>
        </w:tc>
        <w:tc>
          <w:tcPr>
            <w:tcW w:w="1464" w:type="dxa"/>
            <w:vAlign w:val="center"/>
          </w:tcPr>
          <w:p w:rsidR="00E422BC" w:rsidRPr="00BB4AFB" w:rsidRDefault="00E422BC"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tcPr>
          <w:p w:rsidR="00E422BC" w:rsidRPr="00BB4AFB" w:rsidRDefault="00E422BC" w:rsidP="00BB4AFB">
            <w:pPr>
              <w:spacing w:after="0" w:line="240" w:lineRule="auto"/>
              <w:jc w:val="both"/>
              <w:rPr>
                <w:rFonts w:asciiTheme="majorHAnsi" w:eastAsia="Times New Roman" w:hAnsiTheme="majorHAnsi" w:cstheme="majorHAnsi"/>
                <w:sz w:val="24"/>
                <w:szCs w:val="24"/>
                <w:lang w:eastAsia="es-MX"/>
              </w:rPr>
            </w:pPr>
            <w:r w:rsidRPr="00BB4AFB">
              <w:rPr>
                <w:rFonts w:ascii="Calibri Light" w:eastAsia="Times New Roman" w:hAnsi="Calibri Light" w:cs="Calibri Light"/>
                <w:sz w:val="24"/>
                <w:szCs w:val="24"/>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E422BC" w:rsidRPr="00BB4AFB" w:rsidTr="008926B0">
        <w:tblPrEx>
          <w:jc w:val="left"/>
        </w:tblPrEx>
        <w:trPr>
          <w:trHeight w:val="1230"/>
        </w:trPr>
        <w:tc>
          <w:tcPr>
            <w:tcW w:w="85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41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179" w:type="dxa"/>
            <w:vAlign w:val="center"/>
          </w:tcPr>
          <w:p w:rsidR="00E422BC" w:rsidRPr="00BB4AFB" w:rsidRDefault="00E422BC"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Fideicomiso Garante de la Orquesta Sinfónica de Yucatán, FIGAROSY.</w:t>
            </w:r>
          </w:p>
        </w:tc>
        <w:tc>
          <w:tcPr>
            <w:tcW w:w="1464" w:type="dxa"/>
            <w:vAlign w:val="center"/>
          </w:tcPr>
          <w:p w:rsidR="00E422BC" w:rsidRPr="00BB4AFB" w:rsidRDefault="00E422BC"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tcPr>
          <w:p w:rsidR="00E422BC" w:rsidRPr="00BB4AFB" w:rsidRDefault="00E422BC" w:rsidP="00BB4AFB">
            <w:pPr>
              <w:spacing w:after="0" w:line="240" w:lineRule="auto"/>
              <w:jc w:val="both"/>
              <w:rPr>
                <w:rFonts w:asciiTheme="majorHAnsi" w:eastAsia="Times New Roman" w:hAnsiTheme="majorHAnsi" w:cstheme="majorHAnsi"/>
                <w:sz w:val="24"/>
                <w:szCs w:val="24"/>
                <w:lang w:eastAsia="es-MX"/>
              </w:rPr>
            </w:pPr>
            <w:r w:rsidRPr="00BB4AFB">
              <w:rPr>
                <w:rFonts w:ascii="Calibri Light" w:eastAsia="Times New Roman" w:hAnsi="Calibri Light" w:cs="Calibri Light"/>
                <w:sz w:val="24"/>
                <w:szCs w:val="24"/>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E422BC" w:rsidRPr="00BB4AFB" w:rsidTr="008926B0">
        <w:tblPrEx>
          <w:jc w:val="left"/>
        </w:tblPrEx>
        <w:trPr>
          <w:trHeight w:val="1309"/>
        </w:trPr>
        <w:tc>
          <w:tcPr>
            <w:tcW w:w="85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41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179" w:type="dxa"/>
            <w:vAlign w:val="center"/>
          </w:tcPr>
          <w:p w:rsidR="00E422BC" w:rsidRPr="00BB4AFB" w:rsidRDefault="00E422BC" w:rsidP="00BB4AFB">
            <w:pPr>
              <w:spacing w:after="0" w:line="240" w:lineRule="auto"/>
              <w:jc w:val="both"/>
              <w:rPr>
                <w:rFonts w:asciiTheme="majorHAnsi" w:eastAsia="Arial" w:hAnsiTheme="majorHAnsi" w:cstheme="majorHAnsi"/>
                <w:sz w:val="24"/>
                <w:szCs w:val="24"/>
              </w:rPr>
            </w:pPr>
            <w:r w:rsidRPr="00BB4AFB">
              <w:rPr>
                <w:rFonts w:asciiTheme="majorHAnsi" w:eastAsia="Times New Roman" w:hAnsiTheme="majorHAnsi" w:cs="Times New Roman"/>
                <w:color w:val="000000"/>
                <w:sz w:val="24"/>
                <w:szCs w:val="24"/>
                <w:lang w:eastAsia="es-MX"/>
              </w:rPr>
              <w:t>Fábrica de Postes de Yucatán, S.A. de C.V.</w:t>
            </w:r>
          </w:p>
        </w:tc>
        <w:tc>
          <w:tcPr>
            <w:tcW w:w="1464" w:type="dxa"/>
            <w:vAlign w:val="center"/>
          </w:tcPr>
          <w:p w:rsidR="00E422BC" w:rsidRPr="00BB4AFB" w:rsidRDefault="00E422BC"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tcPr>
          <w:p w:rsidR="00E422BC" w:rsidRPr="00BB4AFB" w:rsidRDefault="00E422BC" w:rsidP="00BB4AFB">
            <w:pPr>
              <w:spacing w:after="0" w:line="240" w:lineRule="auto"/>
              <w:jc w:val="both"/>
              <w:rPr>
                <w:rFonts w:asciiTheme="majorHAnsi" w:eastAsia="Times New Roman" w:hAnsiTheme="majorHAnsi" w:cstheme="majorHAnsi"/>
                <w:sz w:val="24"/>
                <w:szCs w:val="24"/>
                <w:lang w:eastAsia="es-MX"/>
              </w:rPr>
            </w:pPr>
            <w:r w:rsidRPr="00BB4AFB">
              <w:rPr>
                <w:rFonts w:ascii="Calibri Light" w:eastAsia="Times New Roman" w:hAnsi="Calibri Light" w:cs="Calibri Light"/>
                <w:sz w:val="24"/>
                <w:szCs w:val="24"/>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E422BC" w:rsidRPr="00BB4AFB" w:rsidTr="008926B0">
        <w:tblPrEx>
          <w:jc w:val="left"/>
        </w:tblPrEx>
        <w:trPr>
          <w:trHeight w:val="1309"/>
        </w:trPr>
        <w:tc>
          <w:tcPr>
            <w:tcW w:w="85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41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179" w:type="dxa"/>
            <w:vAlign w:val="center"/>
          </w:tcPr>
          <w:p w:rsidR="00E422BC" w:rsidRPr="00BB4AFB" w:rsidRDefault="00E422BC" w:rsidP="00BB4AFB">
            <w:pPr>
              <w:spacing w:after="0" w:line="240" w:lineRule="auto"/>
              <w:jc w:val="both"/>
              <w:rPr>
                <w:rFonts w:asciiTheme="majorHAnsi" w:eastAsia="Arial" w:hAnsiTheme="majorHAnsi" w:cstheme="majorHAnsi"/>
                <w:sz w:val="24"/>
                <w:szCs w:val="24"/>
              </w:rPr>
            </w:pPr>
            <w:r w:rsidRPr="00BB4AFB">
              <w:rPr>
                <w:rFonts w:asciiTheme="majorHAnsi" w:hAnsiTheme="majorHAnsi"/>
                <w:sz w:val="24"/>
                <w:szCs w:val="24"/>
              </w:rPr>
              <w:t>Sistema Tele Yucatán, S.A. de C. V.</w:t>
            </w:r>
          </w:p>
        </w:tc>
        <w:tc>
          <w:tcPr>
            <w:tcW w:w="1464" w:type="dxa"/>
            <w:vAlign w:val="center"/>
          </w:tcPr>
          <w:p w:rsidR="00E422BC" w:rsidRPr="00BB4AFB" w:rsidRDefault="00E422BC"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tcPr>
          <w:p w:rsidR="00E422BC" w:rsidRPr="00BB4AFB" w:rsidRDefault="00E422BC" w:rsidP="00BB4AFB">
            <w:pPr>
              <w:spacing w:after="0" w:line="240" w:lineRule="auto"/>
              <w:jc w:val="both"/>
              <w:rPr>
                <w:rFonts w:asciiTheme="majorHAnsi" w:eastAsia="Times New Roman" w:hAnsiTheme="majorHAnsi" w:cstheme="majorHAnsi"/>
                <w:sz w:val="24"/>
                <w:szCs w:val="24"/>
                <w:lang w:eastAsia="es-MX"/>
              </w:rPr>
            </w:pPr>
            <w:r w:rsidRPr="00BB4AFB">
              <w:rPr>
                <w:rFonts w:ascii="Calibri Light" w:eastAsia="Times New Roman" w:hAnsi="Calibri Light" w:cs="Calibri Light"/>
                <w:sz w:val="24"/>
                <w:szCs w:val="24"/>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E422BC" w:rsidRPr="00BB4AFB" w:rsidTr="008926B0">
        <w:tblPrEx>
          <w:jc w:val="left"/>
        </w:tblPrEx>
        <w:trPr>
          <w:trHeight w:val="1309"/>
        </w:trPr>
        <w:tc>
          <w:tcPr>
            <w:tcW w:w="85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41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179" w:type="dxa"/>
            <w:vAlign w:val="center"/>
          </w:tcPr>
          <w:p w:rsidR="00E422BC" w:rsidRPr="00BB4AFB" w:rsidRDefault="00E422BC"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Agencia de Administración Fiscal de Yucatán</w:t>
            </w:r>
          </w:p>
        </w:tc>
        <w:tc>
          <w:tcPr>
            <w:tcW w:w="1464" w:type="dxa"/>
            <w:vAlign w:val="center"/>
          </w:tcPr>
          <w:p w:rsidR="00E422BC" w:rsidRPr="00BB4AFB" w:rsidRDefault="00E422BC"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tcPr>
          <w:p w:rsidR="00E422BC" w:rsidRPr="00BB4AFB" w:rsidRDefault="00E422BC" w:rsidP="00BB4AFB">
            <w:pPr>
              <w:spacing w:after="0" w:line="240" w:lineRule="auto"/>
              <w:jc w:val="both"/>
              <w:rPr>
                <w:rFonts w:asciiTheme="majorHAnsi" w:eastAsia="Times New Roman" w:hAnsiTheme="majorHAnsi" w:cstheme="majorHAnsi"/>
                <w:sz w:val="24"/>
                <w:szCs w:val="24"/>
                <w:lang w:eastAsia="es-MX"/>
              </w:rPr>
            </w:pPr>
            <w:r w:rsidRPr="00BB4AFB">
              <w:rPr>
                <w:rFonts w:ascii="Calibri Light" w:eastAsia="Times New Roman" w:hAnsi="Calibri Light" w:cs="Calibri Light"/>
                <w:sz w:val="24"/>
                <w:szCs w:val="24"/>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E422BC" w:rsidRPr="00BB4AFB" w:rsidTr="008926B0">
        <w:tblPrEx>
          <w:jc w:val="left"/>
        </w:tblPrEx>
        <w:trPr>
          <w:trHeight w:val="1309"/>
        </w:trPr>
        <w:tc>
          <w:tcPr>
            <w:tcW w:w="85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41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179" w:type="dxa"/>
            <w:vAlign w:val="center"/>
          </w:tcPr>
          <w:p w:rsidR="00E422BC" w:rsidRPr="00BB4AFB" w:rsidRDefault="00E422BC"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Auditoría Superior del Estado de Yucatán</w:t>
            </w:r>
          </w:p>
        </w:tc>
        <w:tc>
          <w:tcPr>
            <w:tcW w:w="1464" w:type="dxa"/>
            <w:vAlign w:val="center"/>
          </w:tcPr>
          <w:p w:rsidR="00E422BC" w:rsidRPr="00BB4AFB" w:rsidRDefault="00E422BC"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tcPr>
          <w:p w:rsidR="00E422BC" w:rsidRPr="00BB4AFB" w:rsidRDefault="00E422BC" w:rsidP="00BB4AFB">
            <w:pPr>
              <w:spacing w:after="0" w:line="240" w:lineRule="auto"/>
              <w:jc w:val="both"/>
              <w:rPr>
                <w:rFonts w:asciiTheme="majorHAnsi" w:eastAsia="Times New Roman" w:hAnsiTheme="majorHAnsi" w:cstheme="majorHAnsi"/>
                <w:sz w:val="24"/>
                <w:szCs w:val="24"/>
                <w:lang w:eastAsia="es-MX"/>
              </w:rPr>
            </w:pPr>
            <w:r w:rsidRPr="00BB4AFB">
              <w:rPr>
                <w:rFonts w:ascii="Calibri Light" w:eastAsia="Times New Roman" w:hAnsi="Calibri Light" w:cs="Calibri Light"/>
                <w:sz w:val="24"/>
                <w:szCs w:val="24"/>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bl>
    <w:p w:rsidR="00CF515A" w:rsidRPr="00BB4AFB" w:rsidRDefault="00CF515A" w:rsidP="00BB4AFB">
      <w:pPr>
        <w:spacing w:after="0" w:line="240" w:lineRule="auto"/>
        <w:jc w:val="both"/>
        <w:rPr>
          <w:rFonts w:asciiTheme="majorHAnsi" w:eastAsia="Arial" w:hAnsiTheme="majorHAnsi" w:cstheme="majorHAnsi"/>
          <w:sz w:val="24"/>
          <w:szCs w:val="24"/>
        </w:rPr>
      </w:pPr>
    </w:p>
    <w:p w:rsidR="00C10F91" w:rsidRPr="00BB4AFB" w:rsidRDefault="00C10F91"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En tal razón, se acuerda:</w:t>
      </w:r>
    </w:p>
    <w:p w:rsidR="00C10F91" w:rsidRPr="00BB4AFB" w:rsidRDefault="00C10F91" w:rsidP="00BB4AFB">
      <w:pPr>
        <w:spacing w:after="0" w:line="240" w:lineRule="auto"/>
        <w:jc w:val="both"/>
        <w:rPr>
          <w:rFonts w:asciiTheme="majorHAnsi" w:eastAsia="Arial" w:hAnsiTheme="majorHAnsi" w:cstheme="majorHAnsi"/>
          <w:sz w:val="24"/>
          <w:szCs w:val="24"/>
        </w:rPr>
      </w:pPr>
    </w:p>
    <w:p w:rsidR="00C10F91" w:rsidRPr="00BB4AFB" w:rsidRDefault="00C10F91"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 xml:space="preserve">PRIMERO.- </w:t>
      </w:r>
      <w:r w:rsidR="00C87558" w:rsidRPr="00BB4AFB">
        <w:rPr>
          <w:rFonts w:asciiTheme="majorHAnsi" w:eastAsia="Arial" w:hAnsiTheme="majorHAnsi" w:cstheme="majorHAnsi"/>
          <w:sz w:val="24"/>
          <w:szCs w:val="24"/>
        </w:rPr>
        <w:t>Se aprueba la</w:t>
      </w:r>
      <w:r w:rsidR="00093D91" w:rsidRPr="00BB4AFB">
        <w:rPr>
          <w:rFonts w:asciiTheme="majorHAnsi" w:eastAsia="Arial" w:hAnsiTheme="majorHAnsi" w:cstheme="majorHAnsi"/>
          <w:sz w:val="24"/>
          <w:szCs w:val="24"/>
        </w:rPr>
        <w:t xml:space="preserve"> </w:t>
      </w:r>
      <w:r w:rsidR="00C87558" w:rsidRPr="00BB4AFB">
        <w:rPr>
          <w:rFonts w:asciiTheme="majorHAnsi" w:eastAsia="Arial" w:hAnsiTheme="majorHAnsi" w:cstheme="majorHAnsi"/>
          <w:sz w:val="24"/>
          <w:szCs w:val="24"/>
        </w:rPr>
        <w:t xml:space="preserve">modificación de las </w:t>
      </w:r>
      <w:r w:rsidR="00093D91" w:rsidRPr="00BB4AFB">
        <w:rPr>
          <w:rFonts w:asciiTheme="majorHAnsi" w:eastAsia="Arial" w:hAnsiTheme="majorHAnsi" w:cstheme="majorHAnsi"/>
          <w:sz w:val="24"/>
          <w:szCs w:val="24"/>
        </w:rPr>
        <w:t xml:space="preserve">tablas de aplicabilidad de las obligaciones de transparencia </w:t>
      </w:r>
      <w:r w:rsidR="00C87558" w:rsidRPr="00BB4AFB">
        <w:rPr>
          <w:rFonts w:asciiTheme="majorHAnsi" w:eastAsia="Arial" w:hAnsiTheme="majorHAnsi" w:cstheme="majorHAnsi"/>
          <w:sz w:val="24"/>
          <w:szCs w:val="24"/>
        </w:rPr>
        <w:t>comunes</w:t>
      </w:r>
      <w:r w:rsidR="00093D91" w:rsidRPr="00BB4AFB">
        <w:rPr>
          <w:rFonts w:asciiTheme="majorHAnsi" w:eastAsia="Arial" w:hAnsiTheme="majorHAnsi" w:cstheme="majorHAnsi"/>
          <w:sz w:val="24"/>
          <w:szCs w:val="24"/>
        </w:rPr>
        <w:t xml:space="preserve"> de los sujetos obligados, de conformidad con </w:t>
      </w:r>
      <w:r w:rsidR="0054419E" w:rsidRPr="00BB4AFB">
        <w:rPr>
          <w:rFonts w:asciiTheme="majorHAnsi" w:eastAsia="Arial" w:hAnsiTheme="majorHAnsi" w:cstheme="majorHAnsi"/>
          <w:sz w:val="24"/>
          <w:szCs w:val="24"/>
        </w:rPr>
        <w:t>lo señalado en los</w:t>
      </w:r>
      <w:r w:rsidR="00093D91" w:rsidRPr="00BB4AFB">
        <w:rPr>
          <w:rFonts w:asciiTheme="majorHAnsi" w:eastAsia="Arial" w:hAnsiTheme="majorHAnsi" w:cstheme="majorHAnsi"/>
          <w:sz w:val="24"/>
          <w:szCs w:val="24"/>
        </w:rPr>
        <w:t xml:space="preserve"> considerando</w:t>
      </w:r>
      <w:r w:rsidR="0054419E" w:rsidRPr="00BB4AFB">
        <w:rPr>
          <w:rFonts w:asciiTheme="majorHAnsi" w:eastAsia="Arial" w:hAnsiTheme="majorHAnsi" w:cstheme="majorHAnsi"/>
          <w:sz w:val="24"/>
          <w:szCs w:val="24"/>
        </w:rPr>
        <w:t>s</w:t>
      </w:r>
      <w:r w:rsidR="00093D91" w:rsidRPr="00BB4AFB">
        <w:rPr>
          <w:rFonts w:asciiTheme="majorHAnsi" w:eastAsia="Arial" w:hAnsiTheme="majorHAnsi" w:cstheme="majorHAnsi"/>
          <w:sz w:val="24"/>
          <w:szCs w:val="24"/>
        </w:rPr>
        <w:t xml:space="preserve"> </w:t>
      </w:r>
      <w:r w:rsidR="00C87558" w:rsidRPr="00BB4AFB">
        <w:rPr>
          <w:rFonts w:asciiTheme="majorHAnsi" w:eastAsia="Arial" w:hAnsiTheme="majorHAnsi" w:cstheme="majorHAnsi"/>
          <w:sz w:val="24"/>
          <w:szCs w:val="24"/>
        </w:rPr>
        <w:t>cuarto</w:t>
      </w:r>
      <w:r w:rsidR="0054419E" w:rsidRPr="00BB4AFB">
        <w:rPr>
          <w:rFonts w:asciiTheme="majorHAnsi" w:eastAsia="Arial" w:hAnsiTheme="majorHAnsi" w:cstheme="majorHAnsi"/>
          <w:sz w:val="24"/>
          <w:szCs w:val="24"/>
        </w:rPr>
        <w:t>, quinto</w:t>
      </w:r>
      <w:r w:rsidR="005C3E6D" w:rsidRPr="00BB4AFB">
        <w:rPr>
          <w:rFonts w:asciiTheme="majorHAnsi" w:eastAsia="Arial" w:hAnsiTheme="majorHAnsi" w:cstheme="majorHAnsi"/>
          <w:sz w:val="24"/>
          <w:szCs w:val="24"/>
        </w:rPr>
        <w:t>,</w:t>
      </w:r>
      <w:r w:rsidR="0054419E" w:rsidRPr="00BB4AFB">
        <w:rPr>
          <w:rFonts w:asciiTheme="majorHAnsi" w:eastAsia="Arial" w:hAnsiTheme="majorHAnsi" w:cstheme="majorHAnsi"/>
          <w:sz w:val="24"/>
          <w:szCs w:val="24"/>
        </w:rPr>
        <w:t xml:space="preserve"> sexto</w:t>
      </w:r>
      <w:r w:rsidR="005C3E6D" w:rsidRPr="00BB4AFB">
        <w:rPr>
          <w:rFonts w:asciiTheme="majorHAnsi" w:eastAsia="Arial" w:hAnsiTheme="majorHAnsi" w:cstheme="majorHAnsi"/>
          <w:sz w:val="24"/>
          <w:szCs w:val="24"/>
        </w:rPr>
        <w:t>, séptimo y octavo</w:t>
      </w:r>
      <w:r w:rsidR="0054419E" w:rsidRPr="00BB4AFB">
        <w:rPr>
          <w:rFonts w:asciiTheme="majorHAnsi" w:eastAsia="Arial" w:hAnsiTheme="majorHAnsi" w:cstheme="majorHAnsi"/>
          <w:sz w:val="24"/>
          <w:szCs w:val="24"/>
        </w:rPr>
        <w:t>.</w:t>
      </w:r>
    </w:p>
    <w:p w:rsidR="00093D91" w:rsidRPr="00BB4AFB" w:rsidRDefault="00093D91" w:rsidP="00BB4AFB">
      <w:pPr>
        <w:spacing w:after="0" w:line="240" w:lineRule="auto"/>
        <w:jc w:val="both"/>
        <w:rPr>
          <w:rFonts w:asciiTheme="majorHAnsi" w:eastAsia="Arial" w:hAnsiTheme="majorHAnsi" w:cstheme="majorHAnsi"/>
          <w:sz w:val="24"/>
          <w:szCs w:val="24"/>
        </w:rPr>
      </w:pPr>
    </w:p>
    <w:p w:rsidR="00093D91" w:rsidRPr="00BB4AFB" w:rsidRDefault="00930275"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SEGUNDO</w:t>
      </w:r>
      <w:r w:rsidR="0050662C" w:rsidRPr="00BB4AFB">
        <w:rPr>
          <w:rFonts w:asciiTheme="majorHAnsi" w:eastAsia="Arial" w:hAnsiTheme="majorHAnsi" w:cstheme="majorHAnsi"/>
          <w:b/>
          <w:sz w:val="24"/>
          <w:szCs w:val="24"/>
        </w:rPr>
        <w:t xml:space="preserve">.- </w:t>
      </w:r>
      <w:r w:rsidR="00093D91" w:rsidRPr="00BB4AFB">
        <w:rPr>
          <w:rFonts w:asciiTheme="majorHAnsi" w:eastAsia="Arial" w:hAnsiTheme="majorHAnsi" w:cstheme="majorHAnsi"/>
          <w:sz w:val="24"/>
          <w:szCs w:val="24"/>
        </w:rPr>
        <w:t xml:space="preserve">Se ordena a los sujetos obligados </w:t>
      </w:r>
      <w:r w:rsidR="00C87558" w:rsidRPr="00BB4AFB">
        <w:rPr>
          <w:rFonts w:asciiTheme="majorHAnsi" w:eastAsia="Arial" w:hAnsiTheme="majorHAnsi" w:cstheme="majorHAnsi"/>
          <w:sz w:val="24"/>
          <w:szCs w:val="24"/>
        </w:rPr>
        <w:t>referidos</w:t>
      </w:r>
      <w:r w:rsidR="00093D91" w:rsidRPr="00BB4AFB">
        <w:rPr>
          <w:rFonts w:asciiTheme="majorHAnsi" w:eastAsia="Arial" w:hAnsiTheme="majorHAnsi" w:cstheme="majorHAnsi"/>
          <w:sz w:val="24"/>
          <w:szCs w:val="24"/>
        </w:rPr>
        <w:t xml:space="preserve">, modificar sus tablas de aplicabilidad </w:t>
      </w:r>
      <w:r w:rsidR="0004201C" w:rsidRPr="00BB4AFB">
        <w:rPr>
          <w:rFonts w:asciiTheme="majorHAnsi" w:eastAsia="Arial" w:hAnsiTheme="majorHAnsi" w:cstheme="majorHAnsi"/>
          <w:sz w:val="24"/>
          <w:szCs w:val="24"/>
        </w:rPr>
        <w:t xml:space="preserve">de las obligaciones de transparencia </w:t>
      </w:r>
      <w:r w:rsidR="00C87558" w:rsidRPr="00BB4AFB">
        <w:rPr>
          <w:rFonts w:asciiTheme="majorHAnsi" w:eastAsia="Arial" w:hAnsiTheme="majorHAnsi" w:cstheme="majorHAnsi"/>
          <w:sz w:val="24"/>
          <w:szCs w:val="24"/>
        </w:rPr>
        <w:t>comunes</w:t>
      </w:r>
      <w:r w:rsidR="0004201C" w:rsidRPr="00BB4AFB">
        <w:rPr>
          <w:rFonts w:asciiTheme="majorHAnsi" w:eastAsia="Arial" w:hAnsiTheme="majorHAnsi" w:cstheme="majorHAnsi"/>
          <w:sz w:val="24"/>
          <w:szCs w:val="24"/>
        </w:rPr>
        <w:t xml:space="preserve">, </w:t>
      </w:r>
      <w:r w:rsidR="00093D91" w:rsidRPr="00BB4AFB">
        <w:rPr>
          <w:rFonts w:asciiTheme="majorHAnsi" w:eastAsia="Arial" w:hAnsiTheme="majorHAnsi" w:cstheme="majorHAnsi"/>
          <w:sz w:val="24"/>
          <w:szCs w:val="24"/>
        </w:rPr>
        <w:t xml:space="preserve">de conformidad con lo señalado en </w:t>
      </w:r>
      <w:r w:rsidR="0054419E" w:rsidRPr="00BB4AFB">
        <w:rPr>
          <w:rFonts w:asciiTheme="majorHAnsi" w:eastAsia="Arial" w:hAnsiTheme="majorHAnsi" w:cstheme="majorHAnsi"/>
          <w:sz w:val="24"/>
          <w:szCs w:val="24"/>
        </w:rPr>
        <w:t xml:space="preserve">los considerandos </w:t>
      </w:r>
      <w:r w:rsidR="005C3E6D" w:rsidRPr="00BB4AFB">
        <w:rPr>
          <w:rFonts w:asciiTheme="majorHAnsi" w:eastAsia="Arial" w:hAnsiTheme="majorHAnsi" w:cstheme="majorHAnsi"/>
          <w:sz w:val="24"/>
          <w:szCs w:val="24"/>
        </w:rPr>
        <w:t>cuarto, quinto, sexto, séptimo y octavo</w:t>
      </w:r>
      <w:r w:rsidR="00093D91" w:rsidRPr="00BB4AFB">
        <w:rPr>
          <w:rFonts w:asciiTheme="majorHAnsi" w:eastAsia="Arial" w:hAnsiTheme="majorHAnsi" w:cstheme="majorHAnsi"/>
          <w:sz w:val="24"/>
          <w:szCs w:val="24"/>
        </w:rPr>
        <w:t>.</w:t>
      </w:r>
    </w:p>
    <w:p w:rsidR="0050662C" w:rsidRPr="00BB4AFB" w:rsidRDefault="0050662C" w:rsidP="00BB4AFB">
      <w:pPr>
        <w:spacing w:after="0" w:line="240" w:lineRule="auto"/>
        <w:jc w:val="both"/>
        <w:rPr>
          <w:rFonts w:asciiTheme="majorHAnsi" w:hAnsiTheme="majorHAnsi" w:cstheme="majorHAnsi"/>
          <w:sz w:val="24"/>
          <w:szCs w:val="24"/>
        </w:rPr>
      </w:pPr>
    </w:p>
    <w:p w:rsidR="00545E0A" w:rsidRPr="00BB4AFB" w:rsidRDefault="00930275"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TERCERO</w:t>
      </w:r>
      <w:r w:rsidR="0050662C" w:rsidRPr="00BB4AFB">
        <w:rPr>
          <w:rFonts w:asciiTheme="majorHAnsi" w:eastAsia="Arial" w:hAnsiTheme="majorHAnsi" w:cstheme="majorHAnsi"/>
          <w:b/>
          <w:sz w:val="24"/>
          <w:szCs w:val="24"/>
        </w:rPr>
        <w:t xml:space="preserve">.- </w:t>
      </w:r>
      <w:r w:rsidR="00093D91" w:rsidRPr="00BB4AFB">
        <w:rPr>
          <w:rFonts w:asciiTheme="majorHAnsi" w:eastAsia="Arial" w:hAnsiTheme="majorHAnsi" w:cstheme="majorHAnsi"/>
          <w:sz w:val="24"/>
          <w:szCs w:val="24"/>
        </w:rPr>
        <w:t xml:space="preserve">Se ordena a la </w:t>
      </w:r>
      <w:r w:rsidR="0054419E" w:rsidRPr="00BB4AFB">
        <w:rPr>
          <w:rFonts w:asciiTheme="majorHAnsi" w:eastAsia="Arial" w:hAnsiTheme="majorHAnsi" w:cstheme="majorHAnsi"/>
          <w:sz w:val="24"/>
          <w:szCs w:val="24"/>
        </w:rPr>
        <w:t>Dirección General</w:t>
      </w:r>
      <w:r w:rsidR="00093D91" w:rsidRPr="00BB4AFB">
        <w:rPr>
          <w:rFonts w:asciiTheme="majorHAnsi" w:eastAsia="Arial" w:hAnsiTheme="majorHAnsi" w:cstheme="majorHAnsi"/>
          <w:sz w:val="24"/>
          <w:szCs w:val="24"/>
        </w:rPr>
        <w:t xml:space="preserve"> Ejecutiva del Instituto Estatal de Transparencia, Acceso a la Información Pública y Protección de Datos Personales, para que</w:t>
      </w:r>
      <w:r w:rsidR="0054419E" w:rsidRPr="00BB4AFB">
        <w:rPr>
          <w:rFonts w:asciiTheme="majorHAnsi" w:eastAsia="Arial" w:hAnsiTheme="majorHAnsi" w:cstheme="majorHAnsi"/>
          <w:sz w:val="24"/>
          <w:szCs w:val="24"/>
        </w:rPr>
        <w:t xml:space="preserve"> </w:t>
      </w:r>
      <w:r w:rsidR="00093D91" w:rsidRPr="00BB4AFB">
        <w:rPr>
          <w:rFonts w:asciiTheme="majorHAnsi" w:eastAsia="Arial" w:hAnsiTheme="majorHAnsi" w:cstheme="majorHAnsi"/>
          <w:sz w:val="24"/>
          <w:szCs w:val="24"/>
        </w:rPr>
        <w:t xml:space="preserve">notifique a los sujetos obligados </w:t>
      </w:r>
      <w:r w:rsidR="00C87558" w:rsidRPr="00BB4AFB">
        <w:rPr>
          <w:rFonts w:asciiTheme="majorHAnsi" w:eastAsia="Arial" w:hAnsiTheme="majorHAnsi" w:cstheme="majorHAnsi"/>
          <w:sz w:val="24"/>
          <w:szCs w:val="24"/>
        </w:rPr>
        <w:t xml:space="preserve">referidos en </w:t>
      </w:r>
      <w:r w:rsidR="0054419E" w:rsidRPr="00BB4AFB">
        <w:rPr>
          <w:rFonts w:asciiTheme="majorHAnsi" w:eastAsia="Arial" w:hAnsiTheme="majorHAnsi" w:cstheme="majorHAnsi"/>
          <w:sz w:val="24"/>
          <w:szCs w:val="24"/>
        </w:rPr>
        <w:t>los considerandos cuarto, quinto</w:t>
      </w:r>
      <w:r w:rsidR="005C3E6D" w:rsidRPr="00BB4AFB">
        <w:rPr>
          <w:rFonts w:asciiTheme="majorHAnsi" w:eastAsia="Arial" w:hAnsiTheme="majorHAnsi" w:cstheme="majorHAnsi"/>
          <w:sz w:val="24"/>
          <w:szCs w:val="24"/>
        </w:rPr>
        <w:t>,</w:t>
      </w:r>
      <w:r w:rsidR="0054419E" w:rsidRPr="00BB4AFB">
        <w:rPr>
          <w:rFonts w:asciiTheme="majorHAnsi" w:eastAsia="Arial" w:hAnsiTheme="majorHAnsi" w:cstheme="majorHAnsi"/>
          <w:sz w:val="24"/>
          <w:szCs w:val="24"/>
        </w:rPr>
        <w:t xml:space="preserve"> </w:t>
      </w:r>
      <w:r w:rsidR="005C3E6D" w:rsidRPr="00BB4AFB">
        <w:rPr>
          <w:rFonts w:asciiTheme="majorHAnsi" w:eastAsia="Arial" w:hAnsiTheme="majorHAnsi" w:cstheme="majorHAnsi"/>
          <w:sz w:val="24"/>
          <w:szCs w:val="24"/>
        </w:rPr>
        <w:t>sexto, séptimo y octavo</w:t>
      </w:r>
      <w:r w:rsidR="00093D91" w:rsidRPr="00BB4AFB">
        <w:rPr>
          <w:rFonts w:asciiTheme="majorHAnsi" w:eastAsia="Arial" w:hAnsiTheme="majorHAnsi" w:cstheme="majorHAnsi"/>
          <w:sz w:val="24"/>
          <w:szCs w:val="24"/>
        </w:rPr>
        <w:t>, el acuerdo que hoy nos ocupa</w:t>
      </w:r>
      <w:r w:rsidR="00093D91" w:rsidRPr="00BB4AFB">
        <w:rPr>
          <w:rFonts w:asciiTheme="majorHAnsi" w:hAnsiTheme="majorHAnsi" w:cstheme="majorHAnsi"/>
          <w:sz w:val="24"/>
          <w:szCs w:val="24"/>
        </w:rPr>
        <w:t>.</w:t>
      </w:r>
    </w:p>
    <w:p w:rsidR="0085476E" w:rsidRPr="00BB4AFB" w:rsidRDefault="0085476E" w:rsidP="00BB4AFB">
      <w:pPr>
        <w:spacing w:after="0" w:line="240" w:lineRule="auto"/>
        <w:jc w:val="both"/>
        <w:rPr>
          <w:rFonts w:asciiTheme="majorHAnsi" w:eastAsia="Arial" w:hAnsiTheme="majorHAnsi" w:cstheme="majorHAnsi"/>
          <w:sz w:val="24"/>
          <w:szCs w:val="24"/>
        </w:rPr>
      </w:pPr>
    </w:p>
    <w:p w:rsidR="0085476E" w:rsidRPr="00BB4AFB" w:rsidRDefault="00930275"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CUARTO</w:t>
      </w:r>
      <w:r w:rsidR="0085476E" w:rsidRPr="00BB4AFB">
        <w:rPr>
          <w:rFonts w:asciiTheme="majorHAnsi" w:eastAsia="Arial" w:hAnsiTheme="majorHAnsi" w:cstheme="majorHAnsi"/>
          <w:b/>
          <w:sz w:val="24"/>
          <w:szCs w:val="24"/>
        </w:rPr>
        <w:t xml:space="preserve">.- </w:t>
      </w:r>
      <w:r w:rsidR="00093D91" w:rsidRPr="00BB4AFB">
        <w:rPr>
          <w:rFonts w:asciiTheme="majorHAnsi" w:eastAsia="Arial" w:hAnsiTheme="majorHAnsi" w:cstheme="majorHAnsi"/>
          <w:sz w:val="24"/>
          <w:szCs w:val="24"/>
        </w:rPr>
        <w:t>Publíquese en el sitio de internet de este órgano garante.</w:t>
      </w:r>
    </w:p>
    <w:p w:rsidR="00093D91" w:rsidRPr="00BB4AFB" w:rsidRDefault="00093D91" w:rsidP="00BB4AFB">
      <w:pPr>
        <w:spacing w:after="0" w:line="240" w:lineRule="auto"/>
        <w:jc w:val="both"/>
        <w:rPr>
          <w:rFonts w:asciiTheme="majorHAnsi" w:eastAsia="Arial" w:hAnsiTheme="majorHAnsi" w:cstheme="majorHAnsi"/>
          <w:sz w:val="24"/>
          <w:szCs w:val="24"/>
        </w:rPr>
      </w:pPr>
    </w:p>
    <w:p w:rsidR="00093D91" w:rsidRPr="00BB4AFB" w:rsidRDefault="00093D91"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 xml:space="preserve">QUINTO.- </w:t>
      </w:r>
      <w:r w:rsidRPr="00BB4AFB">
        <w:rPr>
          <w:rFonts w:asciiTheme="majorHAnsi" w:eastAsia="Arial" w:hAnsiTheme="majorHAnsi" w:cstheme="majorHAnsi"/>
          <w:sz w:val="24"/>
          <w:szCs w:val="24"/>
        </w:rPr>
        <w:t>Cúmplase.</w:t>
      </w:r>
    </w:p>
    <w:p w:rsidR="00BB4AFB" w:rsidRDefault="00BB4AFB" w:rsidP="00BB4AFB">
      <w:pPr>
        <w:spacing w:after="0" w:line="240" w:lineRule="auto"/>
        <w:jc w:val="both"/>
        <w:rPr>
          <w:rFonts w:asciiTheme="majorHAnsi" w:eastAsia="Arial" w:hAnsiTheme="majorHAnsi" w:cstheme="majorHAnsi"/>
          <w:sz w:val="24"/>
          <w:szCs w:val="24"/>
        </w:rPr>
      </w:pPr>
    </w:p>
    <w:p w:rsidR="000E0AFA" w:rsidRDefault="000E0AFA" w:rsidP="00BB4AFB">
      <w:pPr>
        <w:spacing w:after="0" w:line="240" w:lineRule="auto"/>
        <w:jc w:val="both"/>
        <w:rPr>
          <w:rFonts w:asciiTheme="majorHAnsi" w:eastAsia="Arial" w:hAnsiTheme="majorHAnsi" w:cstheme="majorHAnsi"/>
          <w:sz w:val="24"/>
          <w:szCs w:val="24"/>
        </w:rPr>
      </w:pPr>
    </w:p>
    <w:p w:rsidR="000E0AFA" w:rsidRPr="00BB4AFB" w:rsidRDefault="000E0AFA" w:rsidP="00BB4AFB">
      <w:pPr>
        <w:spacing w:after="0" w:line="240" w:lineRule="auto"/>
        <w:jc w:val="both"/>
        <w:rPr>
          <w:rFonts w:asciiTheme="majorHAnsi" w:eastAsia="Arial" w:hAnsiTheme="majorHAnsi" w:cstheme="majorHAnsi"/>
          <w:sz w:val="24"/>
          <w:szCs w:val="24"/>
        </w:rPr>
      </w:pPr>
      <w:bookmarkStart w:id="0" w:name="_GoBack"/>
      <w:bookmarkEnd w:id="0"/>
    </w:p>
    <w:tbl>
      <w:tblPr>
        <w:tblW w:w="0" w:type="auto"/>
        <w:tblLook w:val="04A0" w:firstRow="1" w:lastRow="0" w:firstColumn="1" w:lastColumn="0" w:noHBand="0" w:noVBand="1"/>
      </w:tblPr>
      <w:tblGrid>
        <w:gridCol w:w="4414"/>
        <w:gridCol w:w="4414"/>
      </w:tblGrid>
      <w:tr w:rsidR="00BD2BA9" w:rsidRPr="00BB4AFB" w:rsidTr="00BA4224">
        <w:tc>
          <w:tcPr>
            <w:tcW w:w="8828" w:type="dxa"/>
            <w:gridSpan w:val="2"/>
            <w:shd w:val="clear" w:color="auto" w:fill="auto"/>
          </w:tcPr>
          <w:p w:rsidR="00BD2BA9" w:rsidRPr="00BB4AFB" w:rsidRDefault="00BD2BA9" w:rsidP="00BB4AFB">
            <w:pPr>
              <w:spacing w:after="0" w:line="240" w:lineRule="auto"/>
              <w:rPr>
                <w:rFonts w:asciiTheme="majorHAnsi" w:hAnsiTheme="majorHAnsi" w:cstheme="majorHAnsi"/>
                <w:b/>
                <w:sz w:val="24"/>
                <w:szCs w:val="24"/>
              </w:rPr>
            </w:pPr>
          </w:p>
          <w:p w:rsidR="00BD2BA9" w:rsidRPr="00BB4AFB" w:rsidRDefault="00BD2BA9" w:rsidP="00BB4AFB">
            <w:pPr>
              <w:spacing w:after="0" w:line="240" w:lineRule="auto"/>
              <w:jc w:val="center"/>
              <w:rPr>
                <w:rFonts w:asciiTheme="majorHAnsi" w:hAnsiTheme="majorHAnsi" w:cstheme="majorHAnsi"/>
                <w:b/>
                <w:bCs/>
                <w:sz w:val="24"/>
                <w:szCs w:val="24"/>
              </w:rPr>
            </w:pPr>
            <w:r w:rsidRPr="00BB4AFB">
              <w:rPr>
                <w:rFonts w:asciiTheme="majorHAnsi" w:hAnsiTheme="majorHAnsi" w:cstheme="majorHAnsi"/>
                <w:b/>
                <w:bCs/>
                <w:sz w:val="24"/>
                <w:szCs w:val="24"/>
              </w:rPr>
              <w:t>LICDA. MARÍA EUGENIA SANSORES RUZ</w:t>
            </w:r>
          </w:p>
          <w:p w:rsidR="00BD2BA9" w:rsidRPr="00BB4AFB" w:rsidRDefault="00BD2BA9" w:rsidP="00BB4AFB">
            <w:pPr>
              <w:spacing w:after="0" w:line="240" w:lineRule="auto"/>
              <w:jc w:val="center"/>
              <w:rPr>
                <w:rFonts w:asciiTheme="majorHAnsi" w:hAnsiTheme="majorHAnsi" w:cstheme="majorHAnsi"/>
                <w:b/>
                <w:sz w:val="24"/>
                <w:szCs w:val="24"/>
              </w:rPr>
            </w:pPr>
            <w:r w:rsidRPr="00BB4AFB">
              <w:rPr>
                <w:rFonts w:asciiTheme="majorHAnsi" w:hAnsiTheme="majorHAnsi" w:cstheme="majorHAnsi"/>
                <w:b/>
                <w:sz w:val="24"/>
                <w:szCs w:val="24"/>
              </w:rPr>
              <w:t>COMISIONADA PRESIDENTE</w:t>
            </w:r>
          </w:p>
        </w:tc>
      </w:tr>
      <w:tr w:rsidR="00BD2BA9" w:rsidRPr="00BB4AFB" w:rsidTr="00BA4224">
        <w:tc>
          <w:tcPr>
            <w:tcW w:w="4414" w:type="dxa"/>
            <w:shd w:val="clear" w:color="auto" w:fill="auto"/>
          </w:tcPr>
          <w:p w:rsidR="00BD2BA9" w:rsidRPr="00BB4AFB" w:rsidRDefault="00BD2BA9" w:rsidP="00BB4AFB">
            <w:pPr>
              <w:spacing w:after="0" w:line="240" w:lineRule="auto"/>
              <w:jc w:val="center"/>
              <w:rPr>
                <w:rFonts w:asciiTheme="majorHAnsi" w:hAnsiTheme="majorHAnsi" w:cstheme="majorHAnsi"/>
                <w:b/>
                <w:bCs/>
                <w:sz w:val="24"/>
                <w:szCs w:val="24"/>
              </w:rPr>
            </w:pPr>
          </w:p>
          <w:p w:rsidR="00BD2BA9" w:rsidRPr="00BB4AFB" w:rsidRDefault="00BD2BA9" w:rsidP="00BB4AFB">
            <w:pPr>
              <w:spacing w:after="0" w:line="240" w:lineRule="auto"/>
              <w:jc w:val="center"/>
              <w:rPr>
                <w:rFonts w:asciiTheme="majorHAnsi" w:hAnsiTheme="majorHAnsi" w:cstheme="majorHAnsi"/>
                <w:b/>
                <w:bCs/>
                <w:sz w:val="24"/>
                <w:szCs w:val="24"/>
              </w:rPr>
            </w:pPr>
          </w:p>
          <w:p w:rsidR="00BD2BA9" w:rsidRDefault="00BD2BA9" w:rsidP="00BB4AFB">
            <w:pPr>
              <w:spacing w:after="0" w:line="240" w:lineRule="auto"/>
              <w:jc w:val="center"/>
              <w:rPr>
                <w:rFonts w:asciiTheme="majorHAnsi" w:hAnsiTheme="majorHAnsi" w:cstheme="majorHAnsi"/>
                <w:b/>
                <w:bCs/>
                <w:sz w:val="24"/>
                <w:szCs w:val="24"/>
              </w:rPr>
            </w:pPr>
          </w:p>
          <w:p w:rsidR="000E0AFA" w:rsidRPr="00BB4AFB" w:rsidRDefault="000E0AFA" w:rsidP="00BB4AFB">
            <w:pPr>
              <w:spacing w:after="0" w:line="240" w:lineRule="auto"/>
              <w:jc w:val="center"/>
              <w:rPr>
                <w:rFonts w:asciiTheme="majorHAnsi" w:hAnsiTheme="majorHAnsi" w:cstheme="majorHAnsi"/>
                <w:b/>
                <w:bCs/>
                <w:sz w:val="24"/>
                <w:szCs w:val="24"/>
              </w:rPr>
            </w:pPr>
          </w:p>
          <w:p w:rsidR="00BD2BA9" w:rsidRPr="00BB4AFB" w:rsidRDefault="00BD2BA9" w:rsidP="00BB4AFB">
            <w:pPr>
              <w:spacing w:after="0" w:line="240" w:lineRule="auto"/>
              <w:jc w:val="center"/>
              <w:rPr>
                <w:rFonts w:asciiTheme="majorHAnsi" w:hAnsiTheme="majorHAnsi" w:cstheme="majorHAnsi"/>
                <w:b/>
                <w:bCs/>
                <w:sz w:val="24"/>
                <w:szCs w:val="24"/>
              </w:rPr>
            </w:pPr>
            <w:r w:rsidRPr="00BB4AFB">
              <w:rPr>
                <w:rFonts w:asciiTheme="majorHAnsi" w:hAnsiTheme="majorHAnsi" w:cstheme="majorHAnsi"/>
                <w:b/>
                <w:bCs/>
                <w:sz w:val="24"/>
                <w:szCs w:val="24"/>
              </w:rPr>
              <w:t>LICDA. SUSANA AGUILAR COVARRUBIAS</w:t>
            </w:r>
          </w:p>
          <w:p w:rsidR="00BD2BA9" w:rsidRPr="00BB4AFB" w:rsidRDefault="00BD2BA9" w:rsidP="00BB4AFB">
            <w:pPr>
              <w:spacing w:after="0" w:line="240" w:lineRule="auto"/>
              <w:jc w:val="center"/>
              <w:rPr>
                <w:rFonts w:asciiTheme="majorHAnsi" w:hAnsiTheme="majorHAnsi" w:cstheme="majorHAnsi"/>
                <w:b/>
                <w:sz w:val="24"/>
                <w:szCs w:val="24"/>
              </w:rPr>
            </w:pPr>
            <w:r w:rsidRPr="00BB4AFB">
              <w:rPr>
                <w:rFonts w:asciiTheme="majorHAnsi" w:hAnsiTheme="majorHAnsi" w:cstheme="majorHAnsi"/>
                <w:b/>
                <w:bCs/>
                <w:sz w:val="24"/>
                <w:szCs w:val="24"/>
              </w:rPr>
              <w:t>COMISIONADA</w:t>
            </w:r>
          </w:p>
        </w:tc>
        <w:tc>
          <w:tcPr>
            <w:tcW w:w="4414" w:type="dxa"/>
            <w:shd w:val="clear" w:color="auto" w:fill="auto"/>
          </w:tcPr>
          <w:p w:rsidR="00BD2BA9" w:rsidRPr="00BB4AFB" w:rsidRDefault="00BD2BA9" w:rsidP="00BB4AFB">
            <w:pPr>
              <w:spacing w:after="0" w:line="240" w:lineRule="auto"/>
              <w:jc w:val="center"/>
              <w:rPr>
                <w:rFonts w:asciiTheme="majorHAnsi" w:hAnsiTheme="majorHAnsi" w:cstheme="majorHAnsi"/>
                <w:b/>
                <w:bCs/>
                <w:sz w:val="24"/>
                <w:szCs w:val="24"/>
              </w:rPr>
            </w:pPr>
          </w:p>
          <w:p w:rsidR="00BD2BA9" w:rsidRDefault="00BD2BA9" w:rsidP="00BB4AFB">
            <w:pPr>
              <w:spacing w:after="0" w:line="240" w:lineRule="auto"/>
              <w:jc w:val="center"/>
              <w:rPr>
                <w:rFonts w:asciiTheme="majorHAnsi" w:hAnsiTheme="majorHAnsi" w:cstheme="majorHAnsi"/>
                <w:b/>
                <w:bCs/>
                <w:sz w:val="24"/>
                <w:szCs w:val="24"/>
              </w:rPr>
            </w:pPr>
          </w:p>
          <w:p w:rsidR="000E0AFA" w:rsidRPr="00BB4AFB" w:rsidRDefault="000E0AFA" w:rsidP="00BB4AFB">
            <w:pPr>
              <w:spacing w:after="0" w:line="240" w:lineRule="auto"/>
              <w:jc w:val="center"/>
              <w:rPr>
                <w:rFonts w:asciiTheme="majorHAnsi" w:hAnsiTheme="majorHAnsi" w:cstheme="majorHAnsi"/>
                <w:b/>
                <w:bCs/>
                <w:sz w:val="24"/>
                <w:szCs w:val="24"/>
              </w:rPr>
            </w:pPr>
          </w:p>
          <w:p w:rsidR="00BD2BA9" w:rsidRPr="00BB4AFB" w:rsidRDefault="00BD2BA9" w:rsidP="00BB4AFB">
            <w:pPr>
              <w:spacing w:after="0" w:line="240" w:lineRule="auto"/>
              <w:jc w:val="center"/>
              <w:rPr>
                <w:rFonts w:asciiTheme="majorHAnsi" w:hAnsiTheme="majorHAnsi" w:cstheme="majorHAnsi"/>
                <w:b/>
                <w:sz w:val="24"/>
                <w:szCs w:val="24"/>
              </w:rPr>
            </w:pPr>
          </w:p>
          <w:p w:rsidR="00BD2BA9" w:rsidRPr="00BB4AFB" w:rsidRDefault="00BD2BA9" w:rsidP="00BB4AFB">
            <w:pPr>
              <w:spacing w:after="0" w:line="240" w:lineRule="auto"/>
              <w:jc w:val="center"/>
              <w:rPr>
                <w:rFonts w:asciiTheme="majorHAnsi" w:hAnsiTheme="majorHAnsi" w:cstheme="majorHAnsi"/>
                <w:b/>
                <w:sz w:val="24"/>
                <w:szCs w:val="24"/>
              </w:rPr>
            </w:pPr>
            <w:r w:rsidRPr="00BB4AFB">
              <w:rPr>
                <w:rFonts w:asciiTheme="majorHAnsi" w:hAnsiTheme="majorHAnsi" w:cstheme="majorHAnsi"/>
                <w:b/>
                <w:sz w:val="24"/>
                <w:szCs w:val="24"/>
              </w:rPr>
              <w:t>MD. ALDRIN MARTÍN BRICEÑO CONRADO</w:t>
            </w:r>
          </w:p>
          <w:p w:rsidR="00BD2BA9" w:rsidRPr="00BB4AFB" w:rsidRDefault="00BD2BA9" w:rsidP="00BB4AFB">
            <w:pPr>
              <w:spacing w:after="0" w:line="240" w:lineRule="auto"/>
              <w:jc w:val="center"/>
              <w:rPr>
                <w:rFonts w:asciiTheme="majorHAnsi" w:hAnsiTheme="majorHAnsi" w:cstheme="majorHAnsi"/>
                <w:b/>
                <w:sz w:val="24"/>
                <w:szCs w:val="24"/>
              </w:rPr>
            </w:pPr>
            <w:r w:rsidRPr="00BB4AFB">
              <w:rPr>
                <w:rFonts w:asciiTheme="majorHAnsi" w:hAnsiTheme="majorHAnsi" w:cstheme="majorHAnsi"/>
                <w:b/>
                <w:bCs/>
                <w:sz w:val="24"/>
                <w:szCs w:val="24"/>
              </w:rPr>
              <w:t>COMISIONADO</w:t>
            </w:r>
          </w:p>
        </w:tc>
      </w:tr>
    </w:tbl>
    <w:p w:rsidR="008A416E" w:rsidRPr="00BB4AFB" w:rsidRDefault="008A416E" w:rsidP="00BB4AFB">
      <w:pPr>
        <w:spacing w:after="0" w:line="240" w:lineRule="auto"/>
        <w:rPr>
          <w:rFonts w:asciiTheme="majorHAnsi" w:hAnsiTheme="majorHAnsi" w:cstheme="majorHAnsi"/>
          <w:b/>
          <w:sz w:val="24"/>
          <w:szCs w:val="24"/>
        </w:rPr>
      </w:pPr>
    </w:p>
    <w:sectPr w:rsidR="008A416E" w:rsidRPr="00BB4AFB" w:rsidSect="00BB4AFB">
      <w:headerReference w:type="default" r:id="rId8"/>
      <w:footerReference w:type="default" r:id="rId9"/>
      <w:type w:val="continuous"/>
      <w:pgSz w:w="12240" w:h="15840"/>
      <w:pgMar w:top="1418" w:right="1701" w:bottom="1418" w:left="1701" w:header="720" w:footer="5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FFA" w:rsidRDefault="00604FFA">
      <w:pPr>
        <w:spacing w:after="0" w:line="240" w:lineRule="auto"/>
      </w:pPr>
      <w:r>
        <w:separator/>
      </w:r>
    </w:p>
  </w:endnote>
  <w:endnote w:type="continuationSeparator" w:id="0">
    <w:p w:rsidR="00604FFA" w:rsidRDefault="0060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475827"/>
      <w:docPartObj>
        <w:docPartGallery w:val="Page Numbers (Bottom of Page)"/>
        <w:docPartUnique/>
      </w:docPartObj>
    </w:sdtPr>
    <w:sdtEndPr/>
    <w:sdtContent>
      <w:p w:rsidR="00E108F4" w:rsidRDefault="00E108F4" w:rsidP="00BB4AFB">
        <w:pPr>
          <w:pStyle w:val="Piedepgina"/>
          <w:jc w:val="right"/>
        </w:pPr>
        <w:r>
          <w:fldChar w:fldCharType="begin"/>
        </w:r>
        <w:r>
          <w:instrText xml:space="preserve"> PAGE   \* MERGEFORMAT </w:instrText>
        </w:r>
        <w:r>
          <w:fldChar w:fldCharType="separate"/>
        </w:r>
        <w:r w:rsidR="000E0AF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FFA" w:rsidRDefault="00604FFA">
      <w:pPr>
        <w:spacing w:after="0" w:line="240" w:lineRule="auto"/>
      </w:pPr>
      <w:r>
        <w:separator/>
      </w:r>
    </w:p>
  </w:footnote>
  <w:footnote w:type="continuationSeparator" w:id="0">
    <w:p w:rsidR="00604FFA" w:rsidRDefault="00604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8F4" w:rsidRDefault="00E108F4">
    <w:pPr>
      <w:pStyle w:val="Encabezado"/>
    </w:pPr>
    <w:r>
      <w:rPr>
        <w:noProof/>
        <w:lang w:eastAsia="es-MX"/>
      </w:rPr>
      <w:drawing>
        <wp:inline distT="0" distB="0" distL="0" distR="0">
          <wp:extent cx="5612130" cy="944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rsidR="00E108F4" w:rsidRDefault="00E108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5E28"/>
    <w:multiLevelType w:val="hybridMultilevel"/>
    <w:tmpl w:val="F2AAF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9"/>
  </w:num>
  <w:num w:numId="4">
    <w:abstractNumId w:val="16"/>
  </w:num>
  <w:num w:numId="5">
    <w:abstractNumId w:val="1"/>
  </w:num>
  <w:num w:numId="6">
    <w:abstractNumId w:val="14"/>
  </w:num>
  <w:num w:numId="7">
    <w:abstractNumId w:val="7"/>
  </w:num>
  <w:num w:numId="8">
    <w:abstractNumId w:val="5"/>
  </w:num>
  <w:num w:numId="9">
    <w:abstractNumId w:val="2"/>
  </w:num>
  <w:num w:numId="10">
    <w:abstractNumId w:val="6"/>
  </w:num>
  <w:num w:numId="11">
    <w:abstractNumId w:val="11"/>
  </w:num>
  <w:num w:numId="12">
    <w:abstractNumId w:val="3"/>
  </w:num>
  <w:num w:numId="13">
    <w:abstractNumId w:val="4"/>
  </w:num>
  <w:num w:numId="14">
    <w:abstractNumId w:val="9"/>
  </w:num>
  <w:num w:numId="15">
    <w:abstractNumId w:val="10"/>
  </w:num>
  <w:num w:numId="16">
    <w:abstractNumId w:val="8"/>
  </w:num>
  <w:num w:numId="17">
    <w:abstractNumId w:val="18"/>
  </w:num>
  <w:num w:numId="18">
    <w:abstractNumId w:val="17"/>
  </w:num>
  <w:num w:numId="19">
    <w:abstractNumId w:val="22"/>
  </w:num>
  <w:num w:numId="20">
    <w:abstractNumId w:val="21"/>
  </w:num>
  <w:num w:numId="21">
    <w:abstractNumId w:val="13"/>
  </w:num>
  <w:num w:numId="22">
    <w:abstractNumId w:val="23"/>
  </w:num>
  <w:num w:numId="23">
    <w:abstractNumId w:val="12"/>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77"/>
    <w:rsid w:val="000009B1"/>
    <w:rsid w:val="00004EDF"/>
    <w:rsid w:val="000071D7"/>
    <w:rsid w:val="000102AF"/>
    <w:rsid w:val="00017B72"/>
    <w:rsid w:val="00017BA6"/>
    <w:rsid w:val="00020AD8"/>
    <w:rsid w:val="0002140A"/>
    <w:rsid w:val="000215CF"/>
    <w:rsid w:val="000276BF"/>
    <w:rsid w:val="000317AB"/>
    <w:rsid w:val="00031A83"/>
    <w:rsid w:val="000321FA"/>
    <w:rsid w:val="0003291C"/>
    <w:rsid w:val="000340E5"/>
    <w:rsid w:val="000414AD"/>
    <w:rsid w:val="0004201C"/>
    <w:rsid w:val="000454BF"/>
    <w:rsid w:val="000479CD"/>
    <w:rsid w:val="00051F94"/>
    <w:rsid w:val="000540BD"/>
    <w:rsid w:val="0005547B"/>
    <w:rsid w:val="000561A7"/>
    <w:rsid w:val="00067355"/>
    <w:rsid w:val="00067719"/>
    <w:rsid w:val="000756D6"/>
    <w:rsid w:val="00075EBF"/>
    <w:rsid w:val="00076E71"/>
    <w:rsid w:val="00081527"/>
    <w:rsid w:val="000820D5"/>
    <w:rsid w:val="00084179"/>
    <w:rsid w:val="00084A84"/>
    <w:rsid w:val="00084E1D"/>
    <w:rsid w:val="00085008"/>
    <w:rsid w:val="000919AC"/>
    <w:rsid w:val="000925B9"/>
    <w:rsid w:val="000925BF"/>
    <w:rsid w:val="0009262C"/>
    <w:rsid w:val="00092C59"/>
    <w:rsid w:val="00092FC7"/>
    <w:rsid w:val="00093D91"/>
    <w:rsid w:val="000962B8"/>
    <w:rsid w:val="000977A4"/>
    <w:rsid w:val="000A1022"/>
    <w:rsid w:val="000A1C54"/>
    <w:rsid w:val="000A32F2"/>
    <w:rsid w:val="000B13A0"/>
    <w:rsid w:val="000B250F"/>
    <w:rsid w:val="000B290E"/>
    <w:rsid w:val="000B2C6B"/>
    <w:rsid w:val="000B6899"/>
    <w:rsid w:val="000B69C8"/>
    <w:rsid w:val="000C04E5"/>
    <w:rsid w:val="000D1CA5"/>
    <w:rsid w:val="000D1D47"/>
    <w:rsid w:val="000D3188"/>
    <w:rsid w:val="000E0AFA"/>
    <w:rsid w:val="000E1784"/>
    <w:rsid w:val="000E456D"/>
    <w:rsid w:val="000E467C"/>
    <w:rsid w:val="000E6D6D"/>
    <w:rsid w:val="000E7B9F"/>
    <w:rsid w:val="000F0C05"/>
    <w:rsid w:val="000F4D33"/>
    <w:rsid w:val="00103D9E"/>
    <w:rsid w:val="0010693C"/>
    <w:rsid w:val="00107390"/>
    <w:rsid w:val="001109EE"/>
    <w:rsid w:val="00114868"/>
    <w:rsid w:val="001158E2"/>
    <w:rsid w:val="001160AC"/>
    <w:rsid w:val="00116E3B"/>
    <w:rsid w:val="0011797E"/>
    <w:rsid w:val="00121A35"/>
    <w:rsid w:val="00121BEC"/>
    <w:rsid w:val="00123BD4"/>
    <w:rsid w:val="00126C25"/>
    <w:rsid w:val="0013214A"/>
    <w:rsid w:val="00134DA0"/>
    <w:rsid w:val="001433DD"/>
    <w:rsid w:val="00144A0F"/>
    <w:rsid w:val="00146FC7"/>
    <w:rsid w:val="0015074F"/>
    <w:rsid w:val="00150B8D"/>
    <w:rsid w:val="00152A49"/>
    <w:rsid w:val="0015307D"/>
    <w:rsid w:val="001556BA"/>
    <w:rsid w:val="00157959"/>
    <w:rsid w:val="0016053B"/>
    <w:rsid w:val="00161514"/>
    <w:rsid w:val="00163E09"/>
    <w:rsid w:val="001744A7"/>
    <w:rsid w:val="00176082"/>
    <w:rsid w:val="001809D9"/>
    <w:rsid w:val="00181101"/>
    <w:rsid w:val="00192E51"/>
    <w:rsid w:val="0019630A"/>
    <w:rsid w:val="001971EB"/>
    <w:rsid w:val="001A0F52"/>
    <w:rsid w:val="001A257A"/>
    <w:rsid w:val="001A3123"/>
    <w:rsid w:val="001A3D76"/>
    <w:rsid w:val="001A5928"/>
    <w:rsid w:val="001A6B69"/>
    <w:rsid w:val="001B2453"/>
    <w:rsid w:val="001B378D"/>
    <w:rsid w:val="001B5885"/>
    <w:rsid w:val="001B68B0"/>
    <w:rsid w:val="001B6F56"/>
    <w:rsid w:val="001C0596"/>
    <w:rsid w:val="001C4697"/>
    <w:rsid w:val="001C6ACA"/>
    <w:rsid w:val="001C78FF"/>
    <w:rsid w:val="001C7C21"/>
    <w:rsid w:val="001D03B8"/>
    <w:rsid w:val="001D15AC"/>
    <w:rsid w:val="001D1C90"/>
    <w:rsid w:val="001D2BBE"/>
    <w:rsid w:val="001D39D3"/>
    <w:rsid w:val="001D4329"/>
    <w:rsid w:val="001D7085"/>
    <w:rsid w:val="001D75E1"/>
    <w:rsid w:val="001E13D3"/>
    <w:rsid w:val="001E4551"/>
    <w:rsid w:val="001E49FE"/>
    <w:rsid w:val="001E7478"/>
    <w:rsid w:val="001F04CD"/>
    <w:rsid w:val="001F06C3"/>
    <w:rsid w:val="001F2821"/>
    <w:rsid w:val="001F33B6"/>
    <w:rsid w:val="001F4541"/>
    <w:rsid w:val="00202AE1"/>
    <w:rsid w:val="0020546F"/>
    <w:rsid w:val="00205C38"/>
    <w:rsid w:val="00214D12"/>
    <w:rsid w:val="00214F0A"/>
    <w:rsid w:val="00215EFA"/>
    <w:rsid w:val="00216830"/>
    <w:rsid w:val="002259C5"/>
    <w:rsid w:val="002320DA"/>
    <w:rsid w:val="002347F1"/>
    <w:rsid w:val="00234D8D"/>
    <w:rsid w:val="0023780D"/>
    <w:rsid w:val="002413D1"/>
    <w:rsid w:val="002414F5"/>
    <w:rsid w:val="00242D91"/>
    <w:rsid w:val="00244A84"/>
    <w:rsid w:val="00253E8D"/>
    <w:rsid w:val="002601A3"/>
    <w:rsid w:val="0026020B"/>
    <w:rsid w:val="00260D66"/>
    <w:rsid w:val="0026202F"/>
    <w:rsid w:val="00263828"/>
    <w:rsid w:val="00266580"/>
    <w:rsid w:val="002669A3"/>
    <w:rsid w:val="0026712D"/>
    <w:rsid w:val="00267257"/>
    <w:rsid w:val="002728BE"/>
    <w:rsid w:val="002747FA"/>
    <w:rsid w:val="0028142D"/>
    <w:rsid w:val="002837B0"/>
    <w:rsid w:val="002847A4"/>
    <w:rsid w:val="0028747C"/>
    <w:rsid w:val="002918D2"/>
    <w:rsid w:val="00296FB5"/>
    <w:rsid w:val="002A0AC3"/>
    <w:rsid w:val="002A16A1"/>
    <w:rsid w:val="002A2785"/>
    <w:rsid w:val="002A74C9"/>
    <w:rsid w:val="002B2251"/>
    <w:rsid w:val="002B2337"/>
    <w:rsid w:val="002B4AAB"/>
    <w:rsid w:val="002B5977"/>
    <w:rsid w:val="002B6C6E"/>
    <w:rsid w:val="002B704F"/>
    <w:rsid w:val="002B73D4"/>
    <w:rsid w:val="002C4F4E"/>
    <w:rsid w:val="002C5689"/>
    <w:rsid w:val="002D0BD5"/>
    <w:rsid w:val="002D0C2E"/>
    <w:rsid w:val="002D29A8"/>
    <w:rsid w:val="002D2E32"/>
    <w:rsid w:val="002D7C64"/>
    <w:rsid w:val="002D7D33"/>
    <w:rsid w:val="002E0491"/>
    <w:rsid w:val="002E676C"/>
    <w:rsid w:val="002F09D7"/>
    <w:rsid w:val="002F1209"/>
    <w:rsid w:val="002F25C1"/>
    <w:rsid w:val="002F3F50"/>
    <w:rsid w:val="002F5CDD"/>
    <w:rsid w:val="002F6F97"/>
    <w:rsid w:val="002F757D"/>
    <w:rsid w:val="002F78C8"/>
    <w:rsid w:val="002F7989"/>
    <w:rsid w:val="00300372"/>
    <w:rsid w:val="003010A0"/>
    <w:rsid w:val="003162C9"/>
    <w:rsid w:val="003164A3"/>
    <w:rsid w:val="003209F0"/>
    <w:rsid w:val="00330796"/>
    <w:rsid w:val="00330A4A"/>
    <w:rsid w:val="0033618C"/>
    <w:rsid w:val="00340D7B"/>
    <w:rsid w:val="00343808"/>
    <w:rsid w:val="00345AF3"/>
    <w:rsid w:val="003516E9"/>
    <w:rsid w:val="00351DD9"/>
    <w:rsid w:val="0035215C"/>
    <w:rsid w:val="00354281"/>
    <w:rsid w:val="00367B19"/>
    <w:rsid w:val="003714F8"/>
    <w:rsid w:val="003730AC"/>
    <w:rsid w:val="00373F25"/>
    <w:rsid w:val="003816E8"/>
    <w:rsid w:val="003878FD"/>
    <w:rsid w:val="00390694"/>
    <w:rsid w:val="00392C13"/>
    <w:rsid w:val="0039456A"/>
    <w:rsid w:val="003A01CC"/>
    <w:rsid w:val="003A0AF3"/>
    <w:rsid w:val="003A2131"/>
    <w:rsid w:val="003A51BF"/>
    <w:rsid w:val="003A6170"/>
    <w:rsid w:val="003A6412"/>
    <w:rsid w:val="003A780D"/>
    <w:rsid w:val="003A7A47"/>
    <w:rsid w:val="003A7F4D"/>
    <w:rsid w:val="003B008B"/>
    <w:rsid w:val="003B243D"/>
    <w:rsid w:val="003B2AC9"/>
    <w:rsid w:val="003B5FE4"/>
    <w:rsid w:val="003C29B3"/>
    <w:rsid w:val="003C2E39"/>
    <w:rsid w:val="003C457B"/>
    <w:rsid w:val="003C473D"/>
    <w:rsid w:val="003D3DAD"/>
    <w:rsid w:val="003D4B60"/>
    <w:rsid w:val="003D602D"/>
    <w:rsid w:val="003E06C3"/>
    <w:rsid w:val="003E1956"/>
    <w:rsid w:val="003E417F"/>
    <w:rsid w:val="003E6DEA"/>
    <w:rsid w:val="003E7A6E"/>
    <w:rsid w:val="003E7C2B"/>
    <w:rsid w:val="003F08A9"/>
    <w:rsid w:val="003F1F58"/>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13C86"/>
    <w:rsid w:val="00417B53"/>
    <w:rsid w:val="004215DC"/>
    <w:rsid w:val="0042185C"/>
    <w:rsid w:val="00422341"/>
    <w:rsid w:val="00423747"/>
    <w:rsid w:val="004254F3"/>
    <w:rsid w:val="00426A12"/>
    <w:rsid w:val="00430D13"/>
    <w:rsid w:val="00432D76"/>
    <w:rsid w:val="00434D7D"/>
    <w:rsid w:val="0044045B"/>
    <w:rsid w:val="004516DC"/>
    <w:rsid w:val="004527E5"/>
    <w:rsid w:val="0045325F"/>
    <w:rsid w:val="00454513"/>
    <w:rsid w:val="0046034C"/>
    <w:rsid w:val="004607DB"/>
    <w:rsid w:val="004634F1"/>
    <w:rsid w:val="00466359"/>
    <w:rsid w:val="00466C12"/>
    <w:rsid w:val="00467FEB"/>
    <w:rsid w:val="004704D3"/>
    <w:rsid w:val="00474CE3"/>
    <w:rsid w:val="004755A1"/>
    <w:rsid w:val="00480FE1"/>
    <w:rsid w:val="00482ABC"/>
    <w:rsid w:val="004838F7"/>
    <w:rsid w:val="00487907"/>
    <w:rsid w:val="00490AE1"/>
    <w:rsid w:val="004930C3"/>
    <w:rsid w:val="004952DE"/>
    <w:rsid w:val="004A00AB"/>
    <w:rsid w:val="004A0293"/>
    <w:rsid w:val="004A1E30"/>
    <w:rsid w:val="004A40A8"/>
    <w:rsid w:val="004A493A"/>
    <w:rsid w:val="004B2313"/>
    <w:rsid w:val="004B3AAA"/>
    <w:rsid w:val="004B5713"/>
    <w:rsid w:val="004B5F8E"/>
    <w:rsid w:val="004B709E"/>
    <w:rsid w:val="004C4C5D"/>
    <w:rsid w:val="004D012A"/>
    <w:rsid w:val="004D18EA"/>
    <w:rsid w:val="004D1FE1"/>
    <w:rsid w:val="004D287E"/>
    <w:rsid w:val="004D2BA3"/>
    <w:rsid w:val="004D640D"/>
    <w:rsid w:val="004E09E9"/>
    <w:rsid w:val="004E1AB3"/>
    <w:rsid w:val="004E79E1"/>
    <w:rsid w:val="004F4E8A"/>
    <w:rsid w:val="004F4FE2"/>
    <w:rsid w:val="004F59ED"/>
    <w:rsid w:val="004F6C82"/>
    <w:rsid w:val="004F748F"/>
    <w:rsid w:val="004F75B6"/>
    <w:rsid w:val="005060B8"/>
    <w:rsid w:val="0050662C"/>
    <w:rsid w:val="00507203"/>
    <w:rsid w:val="005073CE"/>
    <w:rsid w:val="00510DA9"/>
    <w:rsid w:val="00521CF9"/>
    <w:rsid w:val="00526642"/>
    <w:rsid w:val="00530A72"/>
    <w:rsid w:val="0053148D"/>
    <w:rsid w:val="00534718"/>
    <w:rsid w:val="0054419E"/>
    <w:rsid w:val="005453F5"/>
    <w:rsid w:val="00545E0A"/>
    <w:rsid w:val="00546A08"/>
    <w:rsid w:val="00551F8B"/>
    <w:rsid w:val="00556E42"/>
    <w:rsid w:val="005604F7"/>
    <w:rsid w:val="005611FC"/>
    <w:rsid w:val="00561738"/>
    <w:rsid w:val="00561D42"/>
    <w:rsid w:val="005643CA"/>
    <w:rsid w:val="0056677F"/>
    <w:rsid w:val="005700C1"/>
    <w:rsid w:val="00570CCA"/>
    <w:rsid w:val="005730BC"/>
    <w:rsid w:val="00574205"/>
    <w:rsid w:val="00580068"/>
    <w:rsid w:val="00580E0D"/>
    <w:rsid w:val="005821FD"/>
    <w:rsid w:val="00582AA2"/>
    <w:rsid w:val="00585098"/>
    <w:rsid w:val="00591107"/>
    <w:rsid w:val="005913A6"/>
    <w:rsid w:val="0059597A"/>
    <w:rsid w:val="00595FAB"/>
    <w:rsid w:val="005A01B3"/>
    <w:rsid w:val="005A364E"/>
    <w:rsid w:val="005A3DF8"/>
    <w:rsid w:val="005A641F"/>
    <w:rsid w:val="005A684A"/>
    <w:rsid w:val="005A7222"/>
    <w:rsid w:val="005B6048"/>
    <w:rsid w:val="005B6A86"/>
    <w:rsid w:val="005B7F55"/>
    <w:rsid w:val="005C3E6D"/>
    <w:rsid w:val="005C41D3"/>
    <w:rsid w:val="005C5DD8"/>
    <w:rsid w:val="005D28AB"/>
    <w:rsid w:val="005D3932"/>
    <w:rsid w:val="005D42B8"/>
    <w:rsid w:val="005E18A4"/>
    <w:rsid w:val="005E19D8"/>
    <w:rsid w:val="005E238A"/>
    <w:rsid w:val="005E34C6"/>
    <w:rsid w:val="005F0D74"/>
    <w:rsid w:val="005F2B71"/>
    <w:rsid w:val="005F2FB9"/>
    <w:rsid w:val="005F3418"/>
    <w:rsid w:val="00601076"/>
    <w:rsid w:val="006029DC"/>
    <w:rsid w:val="00604B18"/>
    <w:rsid w:val="00604FFA"/>
    <w:rsid w:val="00606985"/>
    <w:rsid w:val="00607338"/>
    <w:rsid w:val="006136C0"/>
    <w:rsid w:val="00614800"/>
    <w:rsid w:val="00614B14"/>
    <w:rsid w:val="006159DD"/>
    <w:rsid w:val="00620069"/>
    <w:rsid w:val="00621EB7"/>
    <w:rsid w:val="0062501A"/>
    <w:rsid w:val="00625199"/>
    <w:rsid w:val="006263B3"/>
    <w:rsid w:val="00627058"/>
    <w:rsid w:val="006311FC"/>
    <w:rsid w:val="00635ED9"/>
    <w:rsid w:val="006455A2"/>
    <w:rsid w:val="00647639"/>
    <w:rsid w:val="006476EF"/>
    <w:rsid w:val="00652091"/>
    <w:rsid w:val="00657BBD"/>
    <w:rsid w:val="00657BBF"/>
    <w:rsid w:val="00660632"/>
    <w:rsid w:val="00670F83"/>
    <w:rsid w:val="00671C05"/>
    <w:rsid w:val="00673CCF"/>
    <w:rsid w:val="006772C5"/>
    <w:rsid w:val="00677D06"/>
    <w:rsid w:val="006806C4"/>
    <w:rsid w:val="0068252D"/>
    <w:rsid w:val="006848E0"/>
    <w:rsid w:val="00687B4B"/>
    <w:rsid w:val="00691370"/>
    <w:rsid w:val="0069163F"/>
    <w:rsid w:val="00691B34"/>
    <w:rsid w:val="006967AC"/>
    <w:rsid w:val="006A1DB5"/>
    <w:rsid w:val="006A20CD"/>
    <w:rsid w:val="006A30CF"/>
    <w:rsid w:val="006A45B7"/>
    <w:rsid w:val="006A7BDA"/>
    <w:rsid w:val="006B0A82"/>
    <w:rsid w:val="006B2575"/>
    <w:rsid w:val="006B46F2"/>
    <w:rsid w:val="006B48DD"/>
    <w:rsid w:val="006C04EE"/>
    <w:rsid w:val="006C0633"/>
    <w:rsid w:val="006C3719"/>
    <w:rsid w:val="006C4DCC"/>
    <w:rsid w:val="006C5CC3"/>
    <w:rsid w:val="006C5E73"/>
    <w:rsid w:val="006C69EE"/>
    <w:rsid w:val="006D20CC"/>
    <w:rsid w:val="006D290B"/>
    <w:rsid w:val="006E279F"/>
    <w:rsid w:val="006E5411"/>
    <w:rsid w:val="006E7E8D"/>
    <w:rsid w:val="006F0546"/>
    <w:rsid w:val="006F221C"/>
    <w:rsid w:val="006F2C34"/>
    <w:rsid w:val="006F3ACC"/>
    <w:rsid w:val="00701099"/>
    <w:rsid w:val="00702913"/>
    <w:rsid w:val="0070501E"/>
    <w:rsid w:val="00707A6A"/>
    <w:rsid w:val="0071286A"/>
    <w:rsid w:val="00715B0F"/>
    <w:rsid w:val="00722ACF"/>
    <w:rsid w:val="0072504F"/>
    <w:rsid w:val="0072670A"/>
    <w:rsid w:val="00730E67"/>
    <w:rsid w:val="00731529"/>
    <w:rsid w:val="00731F58"/>
    <w:rsid w:val="00732881"/>
    <w:rsid w:val="00732D45"/>
    <w:rsid w:val="00735D56"/>
    <w:rsid w:val="00735DE5"/>
    <w:rsid w:val="007369DF"/>
    <w:rsid w:val="00740DDF"/>
    <w:rsid w:val="00741171"/>
    <w:rsid w:val="00743B75"/>
    <w:rsid w:val="007462A0"/>
    <w:rsid w:val="00747B21"/>
    <w:rsid w:val="00751012"/>
    <w:rsid w:val="0075493D"/>
    <w:rsid w:val="00755B0C"/>
    <w:rsid w:val="00756791"/>
    <w:rsid w:val="00762917"/>
    <w:rsid w:val="00771C09"/>
    <w:rsid w:val="00771E39"/>
    <w:rsid w:val="007769A9"/>
    <w:rsid w:val="0077790E"/>
    <w:rsid w:val="0078249F"/>
    <w:rsid w:val="00783ADD"/>
    <w:rsid w:val="00790144"/>
    <w:rsid w:val="007922B9"/>
    <w:rsid w:val="007B1E58"/>
    <w:rsid w:val="007B6AFB"/>
    <w:rsid w:val="007C13DC"/>
    <w:rsid w:val="007C3054"/>
    <w:rsid w:val="007C38B1"/>
    <w:rsid w:val="007C5CCB"/>
    <w:rsid w:val="007D1CDD"/>
    <w:rsid w:val="007D6BA5"/>
    <w:rsid w:val="007E0ACA"/>
    <w:rsid w:val="007E2638"/>
    <w:rsid w:val="007E27D0"/>
    <w:rsid w:val="007E37CC"/>
    <w:rsid w:val="007E6A9E"/>
    <w:rsid w:val="007E77DE"/>
    <w:rsid w:val="007E7ACF"/>
    <w:rsid w:val="007F0AD1"/>
    <w:rsid w:val="007F4425"/>
    <w:rsid w:val="007F5208"/>
    <w:rsid w:val="007F6B68"/>
    <w:rsid w:val="007F6D13"/>
    <w:rsid w:val="0080055D"/>
    <w:rsid w:val="00801827"/>
    <w:rsid w:val="008041E6"/>
    <w:rsid w:val="00807346"/>
    <w:rsid w:val="008106CF"/>
    <w:rsid w:val="00810F7A"/>
    <w:rsid w:val="008164F0"/>
    <w:rsid w:val="00824569"/>
    <w:rsid w:val="00826E6D"/>
    <w:rsid w:val="00833E35"/>
    <w:rsid w:val="008360B6"/>
    <w:rsid w:val="00836E3C"/>
    <w:rsid w:val="00842BDD"/>
    <w:rsid w:val="008434A1"/>
    <w:rsid w:val="00844F15"/>
    <w:rsid w:val="00845CD4"/>
    <w:rsid w:val="00847D11"/>
    <w:rsid w:val="0085000A"/>
    <w:rsid w:val="00851856"/>
    <w:rsid w:val="008528A6"/>
    <w:rsid w:val="00853B09"/>
    <w:rsid w:val="00853CEE"/>
    <w:rsid w:val="0085476E"/>
    <w:rsid w:val="00854A65"/>
    <w:rsid w:val="00862C7F"/>
    <w:rsid w:val="00866BBD"/>
    <w:rsid w:val="00867C7B"/>
    <w:rsid w:val="008705C5"/>
    <w:rsid w:val="00870623"/>
    <w:rsid w:val="00872F92"/>
    <w:rsid w:val="00875E38"/>
    <w:rsid w:val="008809AA"/>
    <w:rsid w:val="00881E2E"/>
    <w:rsid w:val="008859EB"/>
    <w:rsid w:val="00890936"/>
    <w:rsid w:val="008926B0"/>
    <w:rsid w:val="008930E0"/>
    <w:rsid w:val="00894D29"/>
    <w:rsid w:val="00897802"/>
    <w:rsid w:val="00897BFB"/>
    <w:rsid w:val="008A0080"/>
    <w:rsid w:val="008A13CA"/>
    <w:rsid w:val="008A2B9F"/>
    <w:rsid w:val="008A3F69"/>
    <w:rsid w:val="008A416E"/>
    <w:rsid w:val="008A4824"/>
    <w:rsid w:val="008A64B0"/>
    <w:rsid w:val="008A6627"/>
    <w:rsid w:val="008B2026"/>
    <w:rsid w:val="008B39DF"/>
    <w:rsid w:val="008C7107"/>
    <w:rsid w:val="008C7186"/>
    <w:rsid w:val="008C7C20"/>
    <w:rsid w:val="008D5603"/>
    <w:rsid w:val="008E16E5"/>
    <w:rsid w:val="008F2467"/>
    <w:rsid w:val="008F2872"/>
    <w:rsid w:val="008F4299"/>
    <w:rsid w:val="008F453A"/>
    <w:rsid w:val="008F493B"/>
    <w:rsid w:val="008F5EEE"/>
    <w:rsid w:val="00902388"/>
    <w:rsid w:val="00905181"/>
    <w:rsid w:val="00905A05"/>
    <w:rsid w:val="0091009B"/>
    <w:rsid w:val="009128C7"/>
    <w:rsid w:val="009160F1"/>
    <w:rsid w:val="00921F09"/>
    <w:rsid w:val="0092213D"/>
    <w:rsid w:val="009252CA"/>
    <w:rsid w:val="00926A0B"/>
    <w:rsid w:val="009275CE"/>
    <w:rsid w:val="00930275"/>
    <w:rsid w:val="009311F7"/>
    <w:rsid w:val="00931A05"/>
    <w:rsid w:val="00934A0F"/>
    <w:rsid w:val="00937F61"/>
    <w:rsid w:val="00940DC3"/>
    <w:rsid w:val="009417C6"/>
    <w:rsid w:val="00942CA0"/>
    <w:rsid w:val="00943213"/>
    <w:rsid w:val="00943267"/>
    <w:rsid w:val="0094360B"/>
    <w:rsid w:val="00944A5B"/>
    <w:rsid w:val="0094610A"/>
    <w:rsid w:val="009522D6"/>
    <w:rsid w:val="009543DE"/>
    <w:rsid w:val="0095597A"/>
    <w:rsid w:val="00956729"/>
    <w:rsid w:val="00957999"/>
    <w:rsid w:val="009605DD"/>
    <w:rsid w:val="009606C4"/>
    <w:rsid w:val="00960F5A"/>
    <w:rsid w:val="0096423A"/>
    <w:rsid w:val="00964D20"/>
    <w:rsid w:val="009713D6"/>
    <w:rsid w:val="00974298"/>
    <w:rsid w:val="00974575"/>
    <w:rsid w:val="009762E1"/>
    <w:rsid w:val="00983142"/>
    <w:rsid w:val="0098404B"/>
    <w:rsid w:val="00984552"/>
    <w:rsid w:val="00987BFB"/>
    <w:rsid w:val="009907FA"/>
    <w:rsid w:val="0099788B"/>
    <w:rsid w:val="009B3613"/>
    <w:rsid w:val="009B4A9B"/>
    <w:rsid w:val="009B7D5D"/>
    <w:rsid w:val="009C0C3E"/>
    <w:rsid w:val="009C5C25"/>
    <w:rsid w:val="009C7ECC"/>
    <w:rsid w:val="009D2684"/>
    <w:rsid w:val="009D3474"/>
    <w:rsid w:val="009D5EB5"/>
    <w:rsid w:val="009D65FE"/>
    <w:rsid w:val="009D6EBF"/>
    <w:rsid w:val="009E1728"/>
    <w:rsid w:val="009F16AA"/>
    <w:rsid w:val="009F1E55"/>
    <w:rsid w:val="009F518E"/>
    <w:rsid w:val="009F650A"/>
    <w:rsid w:val="00A034CF"/>
    <w:rsid w:val="00A04C06"/>
    <w:rsid w:val="00A1491D"/>
    <w:rsid w:val="00A16D01"/>
    <w:rsid w:val="00A1788B"/>
    <w:rsid w:val="00A210FE"/>
    <w:rsid w:val="00A269A1"/>
    <w:rsid w:val="00A30416"/>
    <w:rsid w:val="00A31801"/>
    <w:rsid w:val="00A33092"/>
    <w:rsid w:val="00A34D90"/>
    <w:rsid w:val="00A41505"/>
    <w:rsid w:val="00A4487E"/>
    <w:rsid w:val="00A456C6"/>
    <w:rsid w:val="00A46318"/>
    <w:rsid w:val="00A50515"/>
    <w:rsid w:val="00A50D4A"/>
    <w:rsid w:val="00A51F17"/>
    <w:rsid w:val="00A5583B"/>
    <w:rsid w:val="00A55E83"/>
    <w:rsid w:val="00A617CD"/>
    <w:rsid w:val="00A61DD3"/>
    <w:rsid w:val="00A62572"/>
    <w:rsid w:val="00A64E41"/>
    <w:rsid w:val="00A6726A"/>
    <w:rsid w:val="00A674ED"/>
    <w:rsid w:val="00A7049F"/>
    <w:rsid w:val="00A74E89"/>
    <w:rsid w:val="00A77257"/>
    <w:rsid w:val="00A81D3E"/>
    <w:rsid w:val="00A85DA7"/>
    <w:rsid w:val="00A86549"/>
    <w:rsid w:val="00A865BE"/>
    <w:rsid w:val="00A94178"/>
    <w:rsid w:val="00A94257"/>
    <w:rsid w:val="00A97FF8"/>
    <w:rsid w:val="00AA0764"/>
    <w:rsid w:val="00AA502E"/>
    <w:rsid w:val="00AB0565"/>
    <w:rsid w:val="00AB46AF"/>
    <w:rsid w:val="00AC4F49"/>
    <w:rsid w:val="00AC62EE"/>
    <w:rsid w:val="00AC68AA"/>
    <w:rsid w:val="00AC6D42"/>
    <w:rsid w:val="00AC7E7A"/>
    <w:rsid w:val="00AD126B"/>
    <w:rsid w:val="00AD3753"/>
    <w:rsid w:val="00AD40B1"/>
    <w:rsid w:val="00AD554E"/>
    <w:rsid w:val="00AD5C53"/>
    <w:rsid w:val="00AE0156"/>
    <w:rsid w:val="00AE2131"/>
    <w:rsid w:val="00AE308A"/>
    <w:rsid w:val="00AE42C9"/>
    <w:rsid w:val="00AF047D"/>
    <w:rsid w:val="00AF0C7A"/>
    <w:rsid w:val="00AF23E6"/>
    <w:rsid w:val="00AF3343"/>
    <w:rsid w:val="00AF38BF"/>
    <w:rsid w:val="00AF58E7"/>
    <w:rsid w:val="00AF7826"/>
    <w:rsid w:val="00AF7D95"/>
    <w:rsid w:val="00B002A4"/>
    <w:rsid w:val="00B01658"/>
    <w:rsid w:val="00B0635A"/>
    <w:rsid w:val="00B06490"/>
    <w:rsid w:val="00B1430B"/>
    <w:rsid w:val="00B17043"/>
    <w:rsid w:val="00B21E1D"/>
    <w:rsid w:val="00B223F6"/>
    <w:rsid w:val="00B2369A"/>
    <w:rsid w:val="00B2425C"/>
    <w:rsid w:val="00B2591D"/>
    <w:rsid w:val="00B2708E"/>
    <w:rsid w:val="00B3204D"/>
    <w:rsid w:val="00B3227A"/>
    <w:rsid w:val="00B33254"/>
    <w:rsid w:val="00B344C0"/>
    <w:rsid w:val="00B37EE9"/>
    <w:rsid w:val="00B4073D"/>
    <w:rsid w:val="00B40820"/>
    <w:rsid w:val="00B42CA5"/>
    <w:rsid w:val="00B431B0"/>
    <w:rsid w:val="00B46B78"/>
    <w:rsid w:val="00B5141E"/>
    <w:rsid w:val="00B523F3"/>
    <w:rsid w:val="00B5250D"/>
    <w:rsid w:val="00B54AE7"/>
    <w:rsid w:val="00B56B19"/>
    <w:rsid w:val="00B60444"/>
    <w:rsid w:val="00B653E8"/>
    <w:rsid w:val="00B6555F"/>
    <w:rsid w:val="00B667B0"/>
    <w:rsid w:val="00B66B74"/>
    <w:rsid w:val="00B70140"/>
    <w:rsid w:val="00B80A72"/>
    <w:rsid w:val="00B83845"/>
    <w:rsid w:val="00B83BDA"/>
    <w:rsid w:val="00B871AA"/>
    <w:rsid w:val="00B9156B"/>
    <w:rsid w:val="00B93606"/>
    <w:rsid w:val="00B93C43"/>
    <w:rsid w:val="00B93CB9"/>
    <w:rsid w:val="00B959BC"/>
    <w:rsid w:val="00B95E7E"/>
    <w:rsid w:val="00B97883"/>
    <w:rsid w:val="00B97AE8"/>
    <w:rsid w:val="00B97AF5"/>
    <w:rsid w:val="00BA28F0"/>
    <w:rsid w:val="00BA2FEB"/>
    <w:rsid w:val="00BA5203"/>
    <w:rsid w:val="00BB1218"/>
    <w:rsid w:val="00BB4AFB"/>
    <w:rsid w:val="00BB5A74"/>
    <w:rsid w:val="00BC046D"/>
    <w:rsid w:val="00BC696D"/>
    <w:rsid w:val="00BD006E"/>
    <w:rsid w:val="00BD1C35"/>
    <w:rsid w:val="00BD2BA9"/>
    <w:rsid w:val="00BD63B2"/>
    <w:rsid w:val="00BD787B"/>
    <w:rsid w:val="00BE1034"/>
    <w:rsid w:val="00BE45E0"/>
    <w:rsid w:val="00BE5DD4"/>
    <w:rsid w:val="00BF2768"/>
    <w:rsid w:val="00BF2C09"/>
    <w:rsid w:val="00BF4274"/>
    <w:rsid w:val="00BF44CD"/>
    <w:rsid w:val="00BF5B57"/>
    <w:rsid w:val="00C01F2A"/>
    <w:rsid w:val="00C021F3"/>
    <w:rsid w:val="00C042D9"/>
    <w:rsid w:val="00C05ED5"/>
    <w:rsid w:val="00C10F91"/>
    <w:rsid w:val="00C13D1C"/>
    <w:rsid w:val="00C20F21"/>
    <w:rsid w:val="00C23BAE"/>
    <w:rsid w:val="00C278C5"/>
    <w:rsid w:val="00C27C05"/>
    <w:rsid w:val="00C30344"/>
    <w:rsid w:val="00C308F2"/>
    <w:rsid w:val="00C31F39"/>
    <w:rsid w:val="00C36E52"/>
    <w:rsid w:val="00C40DCC"/>
    <w:rsid w:val="00C430F7"/>
    <w:rsid w:val="00C43492"/>
    <w:rsid w:val="00C44869"/>
    <w:rsid w:val="00C51C63"/>
    <w:rsid w:val="00C52138"/>
    <w:rsid w:val="00C534C4"/>
    <w:rsid w:val="00C55525"/>
    <w:rsid w:val="00C60219"/>
    <w:rsid w:val="00C6057E"/>
    <w:rsid w:val="00C6362C"/>
    <w:rsid w:val="00C64AC2"/>
    <w:rsid w:val="00C64B1C"/>
    <w:rsid w:val="00C6621E"/>
    <w:rsid w:val="00C66BB5"/>
    <w:rsid w:val="00C67365"/>
    <w:rsid w:val="00C67E47"/>
    <w:rsid w:val="00C72CE5"/>
    <w:rsid w:val="00C74906"/>
    <w:rsid w:val="00C83A34"/>
    <w:rsid w:val="00C83FC1"/>
    <w:rsid w:val="00C841F4"/>
    <w:rsid w:val="00C84F03"/>
    <w:rsid w:val="00C87558"/>
    <w:rsid w:val="00C90720"/>
    <w:rsid w:val="00C96377"/>
    <w:rsid w:val="00C97021"/>
    <w:rsid w:val="00CA6BA6"/>
    <w:rsid w:val="00CA6D0F"/>
    <w:rsid w:val="00CB09F2"/>
    <w:rsid w:val="00CB6B36"/>
    <w:rsid w:val="00CC193E"/>
    <w:rsid w:val="00CC2452"/>
    <w:rsid w:val="00CC380D"/>
    <w:rsid w:val="00CC5C3D"/>
    <w:rsid w:val="00CD2C73"/>
    <w:rsid w:val="00CD3508"/>
    <w:rsid w:val="00CD6D25"/>
    <w:rsid w:val="00CE01B8"/>
    <w:rsid w:val="00CF437C"/>
    <w:rsid w:val="00CF515A"/>
    <w:rsid w:val="00CF5992"/>
    <w:rsid w:val="00CF786B"/>
    <w:rsid w:val="00D12955"/>
    <w:rsid w:val="00D1463B"/>
    <w:rsid w:val="00D14A93"/>
    <w:rsid w:val="00D178F4"/>
    <w:rsid w:val="00D21E38"/>
    <w:rsid w:val="00D2666F"/>
    <w:rsid w:val="00D26888"/>
    <w:rsid w:val="00D31E16"/>
    <w:rsid w:val="00D31FF7"/>
    <w:rsid w:val="00D33A34"/>
    <w:rsid w:val="00D343E9"/>
    <w:rsid w:val="00D36E39"/>
    <w:rsid w:val="00D43BD4"/>
    <w:rsid w:val="00D4400C"/>
    <w:rsid w:val="00D467E5"/>
    <w:rsid w:val="00D4693B"/>
    <w:rsid w:val="00D534E9"/>
    <w:rsid w:val="00D60A6A"/>
    <w:rsid w:val="00D619D5"/>
    <w:rsid w:val="00D63AF7"/>
    <w:rsid w:val="00D63C55"/>
    <w:rsid w:val="00D7026E"/>
    <w:rsid w:val="00D70332"/>
    <w:rsid w:val="00D71729"/>
    <w:rsid w:val="00D7253B"/>
    <w:rsid w:val="00D7279F"/>
    <w:rsid w:val="00D73A05"/>
    <w:rsid w:val="00D74ACA"/>
    <w:rsid w:val="00D7586C"/>
    <w:rsid w:val="00D76707"/>
    <w:rsid w:val="00D8010F"/>
    <w:rsid w:val="00D804B0"/>
    <w:rsid w:val="00D813A4"/>
    <w:rsid w:val="00D85455"/>
    <w:rsid w:val="00D90379"/>
    <w:rsid w:val="00D91D51"/>
    <w:rsid w:val="00D94442"/>
    <w:rsid w:val="00DB19F5"/>
    <w:rsid w:val="00DB3F8A"/>
    <w:rsid w:val="00DB66A8"/>
    <w:rsid w:val="00DB66E8"/>
    <w:rsid w:val="00DB6CF6"/>
    <w:rsid w:val="00DB7FB5"/>
    <w:rsid w:val="00DC4A2F"/>
    <w:rsid w:val="00DC4CF8"/>
    <w:rsid w:val="00DC749D"/>
    <w:rsid w:val="00DD203F"/>
    <w:rsid w:val="00DD540C"/>
    <w:rsid w:val="00DD5722"/>
    <w:rsid w:val="00DE15F6"/>
    <w:rsid w:val="00DE28C0"/>
    <w:rsid w:val="00DE410C"/>
    <w:rsid w:val="00DE4F2D"/>
    <w:rsid w:val="00DE5278"/>
    <w:rsid w:val="00DE6BF4"/>
    <w:rsid w:val="00DF0DDB"/>
    <w:rsid w:val="00DF7F7E"/>
    <w:rsid w:val="00E108F4"/>
    <w:rsid w:val="00E122FC"/>
    <w:rsid w:val="00E1259A"/>
    <w:rsid w:val="00E126A2"/>
    <w:rsid w:val="00E13DAF"/>
    <w:rsid w:val="00E172E1"/>
    <w:rsid w:val="00E22F37"/>
    <w:rsid w:val="00E374EF"/>
    <w:rsid w:val="00E422BC"/>
    <w:rsid w:val="00E42CB8"/>
    <w:rsid w:val="00E450F3"/>
    <w:rsid w:val="00E45DF0"/>
    <w:rsid w:val="00E47ECC"/>
    <w:rsid w:val="00E47F23"/>
    <w:rsid w:val="00E50092"/>
    <w:rsid w:val="00E525BA"/>
    <w:rsid w:val="00E53A20"/>
    <w:rsid w:val="00E6016D"/>
    <w:rsid w:val="00E6086D"/>
    <w:rsid w:val="00E61784"/>
    <w:rsid w:val="00E618FF"/>
    <w:rsid w:val="00E6237B"/>
    <w:rsid w:val="00E67522"/>
    <w:rsid w:val="00E72261"/>
    <w:rsid w:val="00E75F17"/>
    <w:rsid w:val="00E762D8"/>
    <w:rsid w:val="00E826E8"/>
    <w:rsid w:val="00E83981"/>
    <w:rsid w:val="00E83BCA"/>
    <w:rsid w:val="00E83E79"/>
    <w:rsid w:val="00E86584"/>
    <w:rsid w:val="00E87EF2"/>
    <w:rsid w:val="00E96F9E"/>
    <w:rsid w:val="00E9762C"/>
    <w:rsid w:val="00EA574B"/>
    <w:rsid w:val="00EB3198"/>
    <w:rsid w:val="00EB36F2"/>
    <w:rsid w:val="00EB4EC4"/>
    <w:rsid w:val="00EB7C65"/>
    <w:rsid w:val="00EC29A9"/>
    <w:rsid w:val="00EC4C0B"/>
    <w:rsid w:val="00ED26B2"/>
    <w:rsid w:val="00ED2C7A"/>
    <w:rsid w:val="00ED398D"/>
    <w:rsid w:val="00ED64A1"/>
    <w:rsid w:val="00ED7F39"/>
    <w:rsid w:val="00EE0550"/>
    <w:rsid w:val="00EE20E0"/>
    <w:rsid w:val="00EF6259"/>
    <w:rsid w:val="00EF73A3"/>
    <w:rsid w:val="00EF7AEA"/>
    <w:rsid w:val="00F044C8"/>
    <w:rsid w:val="00F04F4B"/>
    <w:rsid w:val="00F054DA"/>
    <w:rsid w:val="00F06549"/>
    <w:rsid w:val="00F107FE"/>
    <w:rsid w:val="00F10EE6"/>
    <w:rsid w:val="00F202BB"/>
    <w:rsid w:val="00F224D8"/>
    <w:rsid w:val="00F239DD"/>
    <w:rsid w:val="00F24BCE"/>
    <w:rsid w:val="00F25B69"/>
    <w:rsid w:val="00F2634A"/>
    <w:rsid w:val="00F314E5"/>
    <w:rsid w:val="00F337CE"/>
    <w:rsid w:val="00F35CF4"/>
    <w:rsid w:val="00F3652C"/>
    <w:rsid w:val="00F36C64"/>
    <w:rsid w:val="00F405BD"/>
    <w:rsid w:val="00F4138E"/>
    <w:rsid w:val="00F42317"/>
    <w:rsid w:val="00F437C9"/>
    <w:rsid w:val="00F44026"/>
    <w:rsid w:val="00F45E78"/>
    <w:rsid w:val="00F5442D"/>
    <w:rsid w:val="00F609C8"/>
    <w:rsid w:val="00F63A0D"/>
    <w:rsid w:val="00F70B92"/>
    <w:rsid w:val="00F71174"/>
    <w:rsid w:val="00F729F5"/>
    <w:rsid w:val="00F729FE"/>
    <w:rsid w:val="00F83B17"/>
    <w:rsid w:val="00F8649F"/>
    <w:rsid w:val="00F86FA7"/>
    <w:rsid w:val="00F91AA5"/>
    <w:rsid w:val="00F92F30"/>
    <w:rsid w:val="00F94218"/>
    <w:rsid w:val="00FA0AFF"/>
    <w:rsid w:val="00FA0B01"/>
    <w:rsid w:val="00FA0D53"/>
    <w:rsid w:val="00FA1B9A"/>
    <w:rsid w:val="00FA36C7"/>
    <w:rsid w:val="00FA76CF"/>
    <w:rsid w:val="00FB114E"/>
    <w:rsid w:val="00FB1B66"/>
    <w:rsid w:val="00FB2DB0"/>
    <w:rsid w:val="00FB3D7D"/>
    <w:rsid w:val="00FB5474"/>
    <w:rsid w:val="00FC1AF0"/>
    <w:rsid w:val="00FC29A3"/>
    <w:rsid w:val="00FC474E"/>
    <w:rsid w:val="00FC4880"/>
    <w:rsid w:val="00FC7186"/>
    <w:rsid w:val="00FD66DA"/>
    <w:rsid w:val="00FE0B4C"/>
    <w:rsid w:val="00FE1A82"/>
    <w:rsid w:val="00FE30EF"/>
    <w:rsid w:val="00FE51DB"/>
    <w:rsid w:val="00FF2381"/>
    <w:rsid w:val="00FF2A0C"/>
    <w:rsid w:val="00FF6122"/>
    <w:rsid w:val="00FF6778"/>
    <w:rsid w:val="00FF6A8D"/>
    <w:rsid w:val="00FF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37271B-BA11-4968-9002-143EA126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table" w:styleId="Tabladecuadrcula1clara-nfasis5">
    <w:name w:val="Grid Table 1 Light Accent 5"/>
    <w:basedOn w:val="Tablanormal"/>
    <w:uiPriority w:val="46"/>
    <w:rsid w:val="00B4082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16431926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064336338">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B7582-C9CA-4F6D-ADA0-1F815067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3340</Words>
  <Characters>18376</Characters>
  <Application>Microsoft Office Word</Application>
  <DocSecurity>4</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Tecnica</dc:creator>
  <cp:lastModifiedBy>Asistente S.E</cp:lastModifiedBy>
  <cp:revision>2</cp:revision>
  <cp:lastPrinted>2018-07-11T19:00:00Z</cp:lastPrinted>
  <dcterms:created xsi:type="dcterms:W3CDTF">2018-07-16T16:39:00Z</dcterms:created>
  <dcterms:modified xsi:type="dcterms:W3CDTF">2018-07-16T16:39:00Z</dcterms:modified>
</cp:coreProperties>
</file>