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AD" w:rsidRDefault="003C1AAD" w:rsidP="003C1AAD">
      <w:pPr>
        <w:spacing w:line="240" w:lineRule="auto"/>
        <w:jc w:val="center"/>
        <w:rPr>
          <w:rFonts w:ascii="Calibri Light" w:hAnsi="Calibri Light"/>
          <w:b/>
        </w:rPr>
      </w:pPr>
      <w:r w:rsidRPr="0061746A">
        <w:rPr>
          <w:rFonts w:ascii="Calibri Light" w:hAnsi="Calibri Light"/>
          <w:b/>
        </w:rPr>
        <w:t>ACUERDO ADMINISTRATIVO</w:t>
      </w:r>
    </w:p>
    <w:p w:rsidR="003C1AAD" w:rsidRPr="0061746A" w:rsidRDefault="003C1AAD" w:rsidP="003C1AAD">
      <w:pPr>
        <w:spacing w:after="0" w:line="240" w:lineRule="auto"/>
        <w:jc w:val="center"/>
        <w:rPr>
          <w:rFonts w:ascii="Calibri Light" w:hAnsi="Calibri Light"/>
          <w:b/>
        </w:rPr>
      </w:pPr>
    </w:p>
    <w:p w:rsidR="003C1AAD" w:rsidRPr="003C1AAD" w:rsidRDefault="003C1AAD" w:rsidP="003C1AAD">
      <w:pPr>
        <w:spacing w:line="240" w:lineRule="auto"/>
        <w:jc w:val="both"/>
        <w:rPr>
          <w:rFonts w:ascii="Calibri Light" w:hAnsi="Calibri Light"/>
          <w:lang w:val="es-ES"/>
        </w:rPr>
      </w:pPr>
      <w:r w:rsidRPr="003C1AAD">
        <w:rPr>
          <w:rFonts w:ascii="Calibri Light" w:hAnsi="Calibri Light"/>
          <w:lang w:val="es-ES"/>
        </w:rPr>
        <w:t xml:space="preserve">En la ciudad de Mérida, Yucatán, </w:t>
      </w:r>
      <w:bookmarkStart w:id="0" w:name="_Hlk5085730"/>
      <w:r w:rsidR="006D19F3">
        <w:rPr>
          <w:rFonts w:ascii="Calibri Light" w:hAnsi="Calibri Light"/>
          <w:lang w:val="es-ES"/>
        </w:rPr>
        <w:t>a los dos días del mes de abril</w:t>
      </w:r>
      <w:r w:rsidRPr="006637A5">
        <w:rPr>
          <w:rFonts w:ascii="Calibri Light" w:hAnsi="Calibri Light"/>
          <w:lang w:val="es-ES"/>
        </w:rPr>
        <w:t xml:space="preserve"> del año dos mil dieci</w:t>
      </w:r>
      <w:r w:rsidR="00397F39">
        <w:rPr>
          <w:rFonts w:ascii="Calibri Light" w:hAnsi="Calibri Light"/>
          <w:lang w:val="es-ES"/>
        </w:rPr>
        <w:t>nueve</w:t>
      </w:r>
      <w:bookmarkEnd w:id="0"/>
      <w:r w:rsidRPr="006637A5">
        <w:rPr>
          <w:rFonts w:ascii="Calibri Light" w:hAnsi="Calibri Light"/>
          <w:lang w:val="es-ES"/>
        </w:rPr>
        <w:t xml:space="preserve">, </w:t>
      </w:r>
      <w:r w:rsidRPr="006637A5">
        <w:rPr>
          <w:rFonts w:ascii="Calibri Light" w:hAnsi="Calibri Light"/>
        </w:rPr>
        <w:t>encontrándose reunidos los</w:t>
      </w:r>
      <w:r w:rsidRPr="003C1AAD">
        <w:rPr>
          <w:rFonts w:ascii="Calibri Light" w:hAnsi="Calibri Light"/>
        </w:rPr>
        <w:t xml:space="preserve"> integrantes del Pleno del Instituto Estatal de Transparencia, Acceso a la Información Pública y Protección de Datos Personales, </w:t>
      </w:r>
      <w:r w:rsidR="00810987">
        <w:rPr>
          <w:rFonts w:ascii="Calibri Light" w:hAnsi="Calibri Light"/>
        </w:rPr>
        <w:t>el Maestro en Derecho, Aldrin Martín Briceño Conrado, la</w:t>
      </w:r>
      <w:r w:rsidRPr="003C1AAD">
        <w:rPr>
          <w:rFonts w:ascii="Calibri Light" w:hAnsi="Calibri Light"/>
        </w:rPr>
        <w:t xml:space="preserve"> Licenciada en Derecho, María Eugenia Sansores Ruz y </w:t>
      </w:r>
      <w:r w:rsidR="00810987">
        <w:rPr>
          <w:rFonts w:ascii="Calibri Light" w:hAnsi="Calibri Light"/>
        </w:rPr>
        <w:t>el Doctor en Derecho</w:t>
      </w:r>
      <w:r w:rsidRPr="003C1AAD">
        <w:rPr>
          <w:rFonts w:ascii="Calibri Light" w:hAnsi="Calibri Light"/>
        </w:rPr>
        <w:t>,</w:t>
      </w:r>
      <w:r w:rsidR="00810987">
        <w:rPr>
          <w:rFonts w:ascii="Calibri Light" w:hAnsi="Calibri Light"/>
        </w:rPr>
        <w:t xml:space="preserve"> Carlos Fernando Pavón Durán,</w:t>
      </w:r>
      <w:r w:rsidRPr="003C1AAD">
        <w:rPr>
          <w:rFonts w:ascii="Calibri Light" w:hAnsi="Calibri Light"/>
        </w:rPr>
        <w:t xml:space="preserve"> Comisionad</w:t>
      </w:r>
      <w:r w:rsidR="00810987">
        <w:rPr>
          <w:rFonts w:ascii="Calibri Light" w:hAnsi="Calibri Light"/>
        </w:rPr>
        <w:t>o</w:t>
      </w:r>
      <w:r w:rsidRPr="003C1AAD">
        <w:rPr>
          <w:rFonts w:ascii="Calibri Light" w:hAnsi="Calibri Light"/>
        </w:rPr>
        <w:t xml:space="preserve"> Presidente y Comisionados, respectivamente</w:t>
      </w:r>
      <w:r w:rsidRPr="003C1AAD">
        <w:rPr>
          <w:rFonts w:ascii="Calibri Light" w:hAnsi="Calibri Light"/>
          <w:lang w:val="es-ES"/>
        </w:rPr>
        <w:t>; emiten el presente acuerdo de conformidad con los siguientes:</w:t>
      </w:r>
      <w:r w:rsidRPr="003C1AAD">
        <w:rPr>
          <w:rFonts w:ascii="Calibri Light" w:hAnsi="Calibri Light"/>
        </w:rPr>
        <w:t xml:space="preserve"> </w:t>
      </w:r>
    </w:p>
    <w:p w:rsidR="003C1AAD" w:rsidRPr="005406EA" w:rsidRDefault="003C1AAD" w:rsidP="003C1AAD">
      <w:pPr>
        <w:spacing w:line="240" w:lineRule="auto"/>
        <w:jc w:val="both"/>
        <w:rPr>
          <w:rFonts w:ascii="Calibri Light" w:hAnsi="Calibri Light"/>
          <w:sz w:val="16"/>
          <w:szCs w:val="16"/>
        </w:rPr>
      </w:pPr>
    </w:p>
    <w:p w:rsidR="003C1AAD" w:rsidRDefault="003C1AAD" w:rsidP="003C1AAD">
      <w:pPr>
        <w:spacing w:line="240" w:lineRule="auto"/>
        <w:jc w:val="center"/>
        <w:rPr>
          <w:rFonts w:ascii="Calibri Light" w:hAnsi="Calibri Light"/>
          <w:b/>
        </w:rPr>
      </w:pPr>
      <w:r w:rsidRPr="0061746A">
        <w:rPr>
          <w:rFonts w:ascii="Calibri Light" w:hAnsi="Calibri Light"/>
          <w:b/>
        </w:rPr>
        <w:t>CONSIDERANDOS</w:t>
      </w:r>
    </w:p>
    <w:p w:rsidR="003C1AAD" w:rsidRPr="005406EA" w:rsidRDefault="003C1AAD" w:rsidP="003C1AAD">
      <w:pPr>
        <w:spacing w:line="240" w:lineRule="auto"/>
        <w:jc w:val="center"/>
        <w:rPr>
          <w:rFonts w:ascii="Calibri Light" w:hAnsi="Calibri Light"/>
          <w:b/>
          <w:sz w:val="16"/>
          <w:szCs w:val="16"/>
        </w:rPr>
      </w:pPr>
    </w:p>
    <w:p w:rsidR="003C1AAD" w:rsidRDefault="003C1AAD" w:rsidP="003C1AAD">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10 </w:t>
      </w:r>
      <w:r>
        <w:rPr>
          <w:rFonts w:ascii="Calibri Light" w:hAnsi="Calibri Light"/>
        </w:rPr>
        <w:t xml:space="preserve">y 14 </w:t>
      </w:r>
      <w:r w:rsidRPr="00837E42">
        <w:rPr>
          <w:rFonts w:ascii="Calibri Light" w:hAnsi="Calibri Light"/>
        </w:rPr>
        <w:t xml:space="preserve">de la Ley de Transparencia y Acceso a la Información Pública del Estado de Yucatán, </w:t>
      </w:r>
      <w:r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Pr>
          <w:rFonts w:ascii="Calibri Light" w:hAnsi="Calibri Light" w:cs="Arial"/>
        </w:rPr>
        <w:t xml:space="preserve">osiciones normativas aplicables, </w:t>
      </w:r>
      <w:r w:rsidRPr="00AB013C">
        <w:rPr>
          <w:rFonts w:ascii="Calibri Light" w:hAnsi="Calibri Light"/>
          <w:sz w:val="21"/>
          <w:szCs w:val="21"/>
        </w:rPr>
        <w:t xml:space="preserve">mismo que se encuentra integrado por </w:t>
      </w:r>
      <w:r>
        <w:rPr>
          <w:rFonts w:ascii="Calibri Light" w:hAnsi="Calibri Light"/>
          <w:sz w:val="21"/>
          <w:szCs w:val="21"/>
        </w:rPr>
        <w:t>el pleno</w:t>
      </w:r>
      <w:r w:rsidRPr="00AB013C">
        <w:rPr>
          <w:rFonts w:ascii="Calibri Light" w:hAnsi="Calibri Light"/>
          <w:sz w:val="21"/>
          <w:szCs w:val="21"/>
        </w:rPr>
        <w:t xml:space="preserve"> y </w:t>
      </w:r>
      <w:r>
        <w:rPr>
          <w:rFonts w:ascii="Calibri Light" w:hAnsi="Calibri Light"/>
          <w:sz w:val="21"/>
          <w:szCs w:val="21"/>
        </w:rPr>
        <w:t>las unidades</w:t>
      </w:r>
      <w:r w:rsidRPr="00AB013C">
        <w:rPr>
          <w:rFonts w:ascii="Calibri Light" w:hAnsi="Calibri Light"/>
          <w:sz w:val="21"/>
          <w:szCs w:val="21"/>
        </w:rPr>
        <w:t xml:space="preserve"> administrativa</w:t>
      </w:r>
      <w:r>
        <w:rPr>
          <w:rFonts w:ascii="Calibri Light" w:hAnsi="Calibri Light"/>
          <w:sz w:val="21"/>
          <w:szCs w:val="21"/>
        </w:rPr>
        <w:t>s</w:t>
      </w:r>
      <w:r w:rsidRPr="00AB013C">
        <w:rPr>
          <w:rFonts w:ascii="Calibri Light" w:hAnsi="Calibri Light"/>
          <w:sz w:val="21"/>
          <w:szCs w:val="21"/>
        </w:rPr>
        <w:t xml:space="preserve"> </w:t>
      </w:r>
      <w:r>
        <w:rPr>
          <w:rFonts w:ascii="Calibri Light" w:hAnsi="Calibri Light"/>
          <w:sz w:val="21"/>
          <w:szCs w:val="21"/>
        </w:rPr>
        <w:t>que determine el reglamento interior de conformidad con la disponibilidad presupuestal</w:t>
      </w:r>
      <w:r w:rsidRPr="00AB013C">
        <w:rPr>
          <w:rFonts w:ascii="Calibri Light" w:hAnsi="Calibri Light"/>
          <w:sz w:val="21"/>
          <w:szCs w:val="21"/>
        </w:rPr>
        <w:t>.</w:t>
      </w:r>
    </w:p>
    <w:p w:rsidR="003C1AAD" w:rsidRPr="00F401E0" w:rsidRDefault="003C1AAD" w:rsidP="003C1AAD">
      <w:pPr>
        <w:spacing w:line="240" w:lineRule="auto"/>
        <w:jc w:val="both"/>
        <w:rPr>
          <w:rFonts w:ascii="Calibri Light" w:hAnsi="Calibri Light"/>
          <w:sz w:val="10"/>
          <w:szCs w:val="10"/>
        </w:rPr>
      </w:pPr>
    </w:p>
    <w:p w:rsidR="003C1AAD" w:rsidRDefault="003C1AAD" w:rsidP="003C1AAD">
      <w:pPr>
        <w:autoSpaceDE w:val="0"/>
        <w:autoSpaceDN w:val="0"/>
        <w:adjustRightInd w:val="0"/>
        <w:spacing w:after="0" w:line="240" w:lineRule="auto"/>
        <w:jc w:val="both"/>
        <w:rPr>
          <w:rFonts w:ascii="Calibri Light" w:hAnsi="Calibri Light"/>
        </w:rPr>
      </w:pPr>
      <w:proofErr w:type="gramStart"/>
      <w:r w:rsidRPr="00402A71">
        <w:rPr>
          <w:rFonts w:ascii="Calibri Light" w:hAnsi="Calibri Light"/>
          <w:b/>
        </w:rPr>
        <w:t>SEGUNDO.-</w:t>
      </w:r>
      <w:proofErr w:type="gramEnd"/>
      <w:r w:rsidRPr="00402A71">
        <w:rPr>
          <w:rFonts w:ascii="Calibri Light" w:hAnsi="Calibri Light"/>
          <w:b/>
        </w:rPr>
        <w:t xml:space="preserve"> </w:t>
      </w:r>
      <w:r w:rsidRPr="00402A71">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3C1AAD" w:rsidRPr="00F401E0" w:rsidRDefault="003C1AAD" w:rsidP="003C1AAD">
      <w:pPr>
        <w:autoSpaceDE w:val="0"/>
        <w:autoSpaceDN w:val="0"/>
        <w:adjustRightInd w:val="0"/>
        <w:spacing w:after="0" w:line="240" w:lineRule="auto"/>
        <w:jc w:val="both"/>
        <w:rPr>
          <w:rFonts w:ascii="Calibri Light" w:hAnsi="Calibri Light"/>
          <w:sz w:val="10"/>
          <w:szCs w:val="10"/>
        </w:rPr>
      </w:pPr>
    </w:p>
    <w:p w:rsidR="003C1AAD" w:rsidRPr="008C6C7A" w:rsidRDefault="003C1AAD" w:rsidP="003C1AAD">
      <w:pPr>
        <w:autoSpaceDE w:val="0"/>
        <w:autoSpaceDN w:val="0"/>
        <w:adjustRightInd w:val="0"/>
        <w:spacing w:after="0" w:line="240" w:lineRule="auto"/>
        <w:jc w:val="both"/>
        <w:rPr>
          <w:rFonts w:ascii="Calibri Light" w:hAnsi="Calibri Light" w:cs="Arial"/>
          <w:sz w:val="24"/>
          <w:szCs w:val="24"/>
        </w:rPr>
      </w:pPr>
    </w:p>
    <w:p w:rsidR="003C1AAD" w:rsidRDefault="003C1AAD" w:rsidP="003C1AAD">
      <w:pPr>
        <w:spacing w:line="240" w:lineRule="auto"/>
        <w:jc w:val="both"/>
        <w:rPr>
          <w:rFonts w:ascii="Calibri Light" w:hAnsi="Calibri Light"/>
        </w:rPr>
      </w:pPr>
      <w:proofErr w:type="gramStart"/>
      <w:r w:rsidRPr="0061746A">
        <w:rPr>
          <w:rFonts w:ascii="Calibri Light" w:hAnsi="Calibri Light"/>
          <w:b/>
        </w:rPr>
        <w:t>TERCERO.-</w:t>
      </w:r>
      <w:proofErr w:type="gramEnd"/>
      <w:r w:rsidRPr="0061746A">
        <w:rPr>
          <w:rFonts w:ascii="Calibri Light" w:hAnsi="Calibri Light"/>
          <w:b/>
        </w:rPr>
        <w:t xml:space="preserve"> </w:t>
      </w:r>
      <w:r w:rsidRPr="0061746A">
        <w:rPr>
          <w:rFonts w:ascii="Calibri Light" w:hAnsi="Calibri Light"/>
        </w:rPr>
        <w:t xml:space="preserve">Que </w:t>
      </w:r>
      <w:r>
        <w:rPr>
          <w:rFonts w:ascii="Calibri Light" w:hAnsi="Calibri Light"/>
        </w:rPr>
        <w:t>de conformidad con el artículo 9 fracción XXXVIII</w:t>
      </w:r>
      <w:r w:rsidRPr="0061746A">
        <w:rPr>
          <w:rFonts w:ascii="Calibri Light" w:hAnsi="Calibri Light"/>
        </w:rPr>
        <w:t xml:space="preserve"> del Reglamento Interior del Instituto Estatal </w:t>
      </w:r>
      <w:r>
        <w:rPr>
          <w:rFonts w:ascii="Calibri Light" w:hAnsi="Calibri Light"/>
        </w:rPr>
        <w:t>de Transparencia</w:t>
      </w:r>
      <w:r w:rsidRPr="0061746A">
        <w:rPr>
          <w:rFonts w:ascii="Calibri Light" w:hAnsi="Calibri Light"/>
        </w:rPr>
        <w:t>,</w:t>
      </w:r>
      <w:r>
        <w:rPr>
          <w:rFonts w:ascii="Calibri Light" w:hAnsi="Calibri Light"/>
        </w:rPr>
        <w:t xml:space="preserve"> Acceso a la Información Pública y Protección de Datos Personales,</w:t>
      </w:r>
      <w:r w:rsidRPr="0061746A">
        <w:rPr>
          <w:rFonts w:ascii="Calibri Light" w:hAnsi="Calibri Light"/>
        </w:rPr>
        <w:t xml:space="preserve"> el </w:t>
      </w:r>
      <w:r>
        <w:rPr>
          <w:rFonts w:ascii="Calibri Light" w:hAnsi="Calibri Light"/>
        </w:rPr>
        <w:t>Pleno</w:t>
      </w:r>
      <w:r w:rsidRPr="0061746A">
        <w:rPr>
          <w:rFonts w:ascii="Calibri Light" w:hAnsi="Calibri Light"/>
        </w:rPr>
        <w:t xml:space="preserve"> es el encargado de aprobar la creación o modificación de las partidas presupuestales cuando así se requiera.</w:t>
      </w:r>
    </w:p>
    <w:p w:rsidR="003C1AAD" w:rsidRPr="00F401E0" w:rsidRDefault="003C1AAD" w:rsidP="003C1AAD">
      <w:pPr>
        <w:spacing w:line="240" w:lineRule="auto"/>
        <w:jc w:val="both"/>
        <w:rPr>
          <w:rFonts w:ascii="Calibri Light" w:hAnsi="Calibri Light"/>
          <w:sz w:val="10"/>
          <w:szCs w:val="10"/>
        </w:rPr>
      </w:pPr>
    </w:p>
    <w:p w:rsidR="003C1AAD" w:rsidRPr="0061746A" w:rsidRDefault="003C1AAD" w:rsidP="003C1AAD">
      <w:pPr>
        <w:spacing w:line="240" w:lineRule="auto"/>
        <w:jc w:val="both"/>
        <w:rPr>
          <w:rFonts w:ascii="Calibri Light" w:hAnsi="Calibri Light"/>
        </w:rPr>
      </w:pPr>
      <w:r w:rsidRPr="0061746A">
        <w:rPr>
          <w:rFonts w:ascii="Calibri Light" w:hAnsi="Calibri Light"/>
          <w:b/>
        </w:rPr>
        <w:t xml:space="preserve"> </w:t>
      </w:r>
      <w:proofErr w:type="gramStart"/>
      <w:r w:rsidRPr="0061746A">
        <w:rPr>
          <w:rFonts w:ascii="Calibri Light" w:hAnsi="Calibri Light"/>
          <w:b/>
        </w:rPr>
        <w:t>CUARTO.-</w:t>
      </w:r>
      <w:proofErr w:type="gramEnd"/>
      <w:r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3C1AAD" w:rsidRPr="005406EA" w:rsidRDefault="003C1AAD" w:rsidP="003C1AAD">
      <w:pPr>
        <w:spacing w:line="240" w:lineRule="auto"/>
        <w:jc w:val="both"/>
        <w:rPr>
          <w:rFonts w:ascii="Calibri Light" w:hAnsi="Calibri Light"/>
          <w:b/>
          <w:sz w:val="10"/>
          <w:szCs w:val="10"/>
        </w:rPr>
      </w:pPr>
    </w:p>
    <w:p w:rsidR="003C1AAD" w:rsidRDefault="003C1AAD" w:rsidP="003C1AAD">
      <w:pPr>
        <w:spacing w:line="240" w:lineRule="auto"/>
        <w:jc w:val="both"/>
        <w:rPr>
          <w:rFonts w:ascii="Calibri Light" w:hAnsi="Calibri Light"/>
        </w:rPr>
      </w:pPr>
      <w:proofErr w:type="gramStart"/>
      <w:r w:rsidRPr="0061746A">
        <w:rPr>
          <w:rFonts w:ascii="Calibri Light" w:hAnsi="Calibri Light"/>
          <w:b/>
        </w:rPr>
        <w:lastRenderedPageBreak/>
        <w:t>QUINTO.-</w:t>
      </w:r>
      <w:proofErr w:type="gramEnd"/>
      <w:r w:rsidRPr="0061746A">
        <w:rPr>
          <w:rFonts w:ascii="Calibri Light" w:hAnsi="Calibri Light"/>
          <w:b/>
        </w:rPr>
        <w:t xml:space="preserve"> </w:t>
      </w:r>
      <w:r w:rsidRPr="0061746A">
        <w:rPr>
          <w:rFonts w:ascii="Calibri Light" w:hAnsi="Calibri Light"/>
        </w:rPr>
        <w:t>El artículo 99 de la Ley de Presupuesto y Contabilidad Gubernamental del Estado de Yucatán, a la letra establece:</w:t>
      </w:r>
    </w:p>
    <w:p w:rsidR="003C1AAD" w:rsidRDefault="003C1AAD" w:rsidP="003C1AAD">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rsidR="003C1AAD" w:rsidRPr="0061746A" w:rsidRDefault="003C1AAD" w:rsidP="003C1AAD">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3C1AAD" w:rsidRPr="0061746A" w:rsidRDefault="003C1AAD" w:rsidP="003C1AAD">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3C1AAD" w:rsidRDefault="003C1AAD" w:rsidP="003C1AAD">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1A7284" w:rsidRDefault="003C1AAD" w:rsidP="001A7284">
      <w:pPr>
        <w:spacing w:line="240" w:lineRule="auto"/>
        <w:jc w:val="both"/>
        <w:rPr>
          <w:rFonts w:ascii="Calibri Light" w:hAnsi="Calibri Light" w:cs="Arial"/>
        </w:rPr>
      </w:pPr>
      <w:proofErr w:type="gramStart"/>
      <w:r w:rsidRPr="00B45205">
        <w:rPr>
          <w:rFonts w:ascii="Calibri Light" w:hAnsi="Calibri Light"/>
          <w:b/>
        </w:rPr>
        <w:t>SEXTO.-</w:t>
      </w:r>
      <w:proofErr w:type="gramEnd"/>
      <w:r w:rsidRPr="00B45205">
        <w:rPr>
          <w:rFonts w:ascii="Calibri Light" w:hAnsi="Calibri Light"/>
        </w:rPr>
        <w:t xml:space="preserve"> Que de conformidad con lo acordado en la sesión del Pleno del día </w:t>
      </w:r>
      <w:r w:rsidR="00810987">
        <w:rPr>
          <w:rFonts w:ascii="Calibri Light" w:hAnsi="Calibri Light"/>
        </w:rPr>
        <w:t>diecisiete</w:t>
      </w:r>
      <w:r w:rsidRPr="00B45205">
        <w:rPr>
          <w:rFonts w:ascii="Calibri Light" w:hAnsi="Calibri Light"/>
        </w:rPr>
        <w:t xml:space="preserve"> de enero de dos mil dieci</w:t>
      </w:r>
      <w:r w:rsidR="00810987">
        <w:rPr>
          <w:rFonts w:ascii="Calibri Light" w:hAnsi="Calibri Light"/>
        </w:rPr>
        <w:t>nueve</w:t>
      </w:r>
      <w:r w:rsidRPr="00B45205">
        <w:rPr>
          <w:rFonts w:ascii="Calibri Light" w:hAnsi="Calibri Light"/>
        </w:rPr>
        <w:t xml:space="preserve"> radicada en el acta 006/201</w:t>
      </w:r>
      <w:r w:rsidR="00810987">
        <w:rPr>
          <w:rFonts w:ascii="Calibri Light" w:hAnsi="Calibri Light"/>
        </w:rPr>
        <w:t>9</w:t>
      </w:r>
      <w:r w:rsidRPr="00B45205">
        <w:rPr>
          <w:rFonts w:ascii="Calibri Light" w:hAnsi="Calibri Light"/>
        </w:rPr>
        <w:t xml:space="preserve">, este Pleno es el encargado de autorizar las adecuaciones del calendario de ejecución de gastos </w:t>
      </w:r>
      <w:r w:rsidRPr="00B45205">
        <w:rPr>
          <w:rFonts w:ascii="Calibri Light" w:hAnsi="Calibri Light" w:cs="Arial"/>
        </w:rPr>
        <w:t>del capítulo 1000, relativo a servicios personales.</w:t>
      </w:r>
    </w:p>
    <w:p w:rsidR="003C1AAD" w:rsidRPr="001A7284" w:rsidRDefault="003C1AAD" w:rsidP="001A7284">
      <w:pPr>
        <w:spacing w:line="240" w:lineRule="auto"/>
        <w:jc w:val="both"/>
        <w:rPr>
          <w:rFonts w:ascii="Calibri Light" w:hAnsi="Calibri Light" w:cs="Arial"/>
        </w:rPr>
      </w:pPr>
      <w:proofErr w:type="gramStart"/>
      <w:r w:rsidRPr="005A687D">
        <w:rPr>
          <w:rFonts w:ascii="Calibri Light" w:hAnsi="Calibri Light"/>
          <w:b/>
        </w:rPr>
        <w:t>SÉPTIMO.-</w:t>
      </w:r>
      <w:proofErr w:type="gramEnd"/>
      <w:r w:rsidRPr="005A687D">
        <w:rPr>
          <w:rFonts w:ascii="Calibri Light" w:hAnsi="Calibri Light"/>
        </w:rPr>
        <w:t xml:space="preserve"> Con fecha </w:t>
      </w:r>
      <w:r w:rsidR="005A687D" w:rsidRPr="005A687D">
        <w:rPr>
          <w:rFonts w:ascii="Calibri Light" w:hAnsi="Calibri Light"/>
        </w:rPr>
        <w:t>dos</w:t>
      </w:r>
      <w:r w:rsidR="00B76A80" w:rsidRPr="005A687D">
        <w:rPr>
          <w:rFonts w:ascii="Calibri Light" w:hAnsi="Calibri Light"/>
        </w:rPr>
        <w:t xml:space="preserve"> </w:t>
      </w:r>
      <w:r w:rsidRPr="005A687D">
        <w:rPr>
          <w:rFonts w:ascii="Calibri Light" w:hAnsi="Calibri Light"/>
        </w:rPr>
        <w:t xml:space="preserve">de </w:t>
      </w:r>
      <w:r w:rsidR="005A687D" w:rsidRPr="005A687D">
        <w:rPr>
          <w:rFonts w:ascii="Calibri Light" w:hAnsi="Calibri Light"/>
        </w:rPr>
        <w:t xml:space="preserve">abril </w:t>
      </w:r>
      <w:r w:rsidRPr="005A687D">
        <w:rPr>
          <w:rFonts w:ascii="Calibri Light" w:hAnsi="Calibri Light"/>
        </w:rPr>
        <w:t>del año en curso, se recibió en la Coordinación de Apoyo Plenario, el memorándum número D.A.INAIP/</w:t>
      </w:r>
      <w:r w:rsidR="005A687D" w:rsidRPr="005A687D">
        <w:rPr>
          <w:rFonts w:ascii="Calibri Light" w:hAnsi="Calibri Light"/>
        </w:rPr>
        <w:t>012</w:t>
      </w:r>
      <w:r w:rsidRPr="005A687D">
        <w:rPr>
          <w:rFonts w:ascii="Calibri Light" w:hAnsi="Calibri Light"/>
        </w:rPr>
        <w:t>/</w:t>
      </w:r>
      <w:r w:rsidR="00B76A80" w:rsidRPr="005A687D">
        <w:rPr>
          <w:rFonts w:ascii="Calibri Light" w:hAnsi="Calibri Light"/>
        </w:rPr>
        <w:t>201</w:t>
      </w:r>
      <w:r w:rsidR="005A687D" w:rsidRPr="005A687D">
        <w:rPr>
          <w:rFonts w:ascii="Calibri Light" w:hAnsi="Calibri Light"/>
        </w:rPr>
        <w:t>9</w:t>
      </w:r>
      <w:r w:rsidRPr="005A687D">
        <w:rPr>
          <w:rFonts w:ascii="Calibri Light" w:hAnsi="Calibri Light"/>
        </w:rPr>
        <w:t>, suscrito por la C.P. Virginia Rosalía Angulo Vázquez, Directora de Administración y Finanzas (Anexo Único) en el cual solicita, la siguiente adecuación:</w:t>
      </w:r>
      <w:r>
        <w:rPr>
          <w:rFonts w:ascii="Calibri Light" w:hAnsi="Calibri Light"/>
        </w:rPr>
        <w:t xml:space="preserve"> </w:t>
      </w:r>
    </w:p>
    <w:p w:rsidR="003C1AAD" w:rsidRPr="00C32125" w:rsidRDefault="003C1AAD" w:rsidP="003C1AAD">
      <w:pPr>
        <w:spacing w:line="240" w:lineRule="auto"/>
        <w:jc w:val="both"/>
        <w:rPr>
          <w:rFonts w:ascii="Calibri Light" w:hAnsi="Calibri Light"/>
          <w:sz w:val="10"/>
          <w:szCs w:val="10"/>
        </w:rPr>
      </w:pPr>
    </w:p>
    <w:p w:rsidR="00C32125" w:rsidRPr="006D19F3" w:rsidRDefault="00A9162B" w:rsidP="00965145">
      <w:pPr>
        <w:spacing w:after="0" w:line="240" w:lineRule="auto"/>
        <w:jc w:val="center"/>
        <w:rPr>
          <w:rFonts w:ascii="Calibri Light" w:hAnsi="Calibri Light"/>
          <w:color w:val="FF0000"/>
        </w:rPr>
      </w:pPr>
      <w:r w:rsidRPr="00A9162B">
        <w:rPr>
          <w:noProof/>
        </w:rPr>
        <w:drawing>
          <wp:inline distT="0" distB="0" distL="0" distR="0">
            <wp:extent cx="5076825" cy="3248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3248025"/>
                    </a:xfrm>
                    <a:prstGeom prst="rect">
                      <a:avLst/>
                    </a:prstGeom>
                    <a:noFill/>
                    <a:ln>
                      <a:noFill/>
                    </a:ln>
                  </pic:spPr>
                </pic:pic>
              </a:graphicData>
            </a:graphic>
          </wp:inline>
        </w:drawing>
      </w:r>
    </w:p>
    <w:p w:rsidR="00810987" w:rsidRDefault="00810987" w:rsidP="003C1AAD">
      <w:pPr>
        <w:spacing w:after="0" w:line="240" w:lineRule="auto"/>
        <w:jc w:val="both"/>
        <w:rPr>
          <w:rFonts w:ascii="Calibri Light" w:hAnsi="Calibri Light"/>
        </w:rPr>
      </w:pPr>
    </w:p>
    <w:p w:rsidR="005210BB" w:rsidRDefault="005210BB" w:rsidP="005210BB">
      <w:pPr>
        <w:spacing w:after="0" w:line="240" w:lineRule="auto"/>
        <w:jc w:val="both"/>
        <w:rPr>
          <w:rFonts w:ascii="Calibri Light" w:hAnsi="Calibri Light"/>
        </w:rPr>
      </w:pPr>
      <w:r>
        <w:rPr>
          <w:rFonts w:ascii="Calibri Light" w:hAnsi="Calibri Light"/>
        </w:rPr>
        <w:t xml:space="preserve">La adecuación </w:t>
      </w:r>
      <w:r w:rsidRPr="005A687D">
        <w:rPr>
          <w:rFonts w:ascii="Calibri Light" w:hAnsi="Calibri Light"/>
        </w:rPr>
        <w:t>anterior es para efecto de solventar la insuficiencia presupuestaria de la partida 1531 “Prestaciones y Haberes de Retiro” a efecto de realizar el pago derivado de la separación al cargo de</w:t>
      </w:r>
      <w:r w:rsidR="00C57D73">
        <w:rPr>
          <w:rFonts w:ascii="Calibri Light" w:hAnsi="Calibri Light"/>
        </w:rPr>
        <w:t xml:space="preserve"> </w:t>
      </w:r>
      <w:r w:rsidRPr="005A687D">
        <w:rPr>
          <w:rFonts w:ascii="Calibri Light" w:hAnsi="Calibri Light"/>
        </w:rPr>
        <w:t>l</w:t>
      </w:r>
      <w:r w:rsidR="00C57D73">
        <w:rPr>
          <w:rFonts w:ascii="Calibri Light" w:hAnsi="Calibri Light"/>
        </w:rPr>
        <w:t>os</w:t>
      </w:r>
      <w:r w:rsidRPr="005A687D">
        <w:rPr>
          <w:rFonts w:ascii="Calibri Light" w:hAnsi="Calibri Light"/>
        </w:rPr>
        <w:t xml:space="preserve"> servidor</w:t>
      </w:r>
      <w:r w:rsidR="00C57D73">
        <w:rPr>
          <w:rFonts w:ascii="Calibri Light" w:hAnsi="Calibri Light"/>
        </w:rPr>
        <w:t>es</w:t>
      </w:r>
      <w:r w:rsidRPr="005A687D">
        <w:rPr>
          <w:rFonts w:ascii="Calibri Light" w:hAnsi="Calibri Light"/>
        </w:rPr>
        <w:t xml:space="preserve"> público</w:t>
      </w:r>
      <w:r w:rsidR="00C57D73">
        <w:rPr>
          <w:rFonts w:ascii="Calibri Light" w:hAnsi="Calibri Light"/>
        </w:rPr>
        <w:t>s</w:t>
      </w:r>
      <w:r w:rsidRPr="005A687D">
        <w:rPr>
          <w:rFonts w:ascii="Calibri Light" w:hAnsi="Calibri Light"/>
        </w:rPr>
        <w:t xml:space="preserve"> que ocupaba</w:t>
      </w:r>
      <w:r w:rsidR="005A687D" w:rsidRPr="005A687D">
        <w:rPr>
          <w:rFonts w:ascii="Calibri Light" w:hAnsi="Calibri Light"/>
        </w:rPr>
        <w:t>n</w:t>
      </w:r>
      <w:r w:rsidRPr="005A687D">
        <w:rPr>
          <w:rFonts w:ascii="Calibri Light" w:hAnsi="Calibri Light"/>
        </w:rPr>
        <w:t xml:space="preserve"> l</w:t>
      </w:r>
      <w:r w:rsidR="005A687D" w:rsidRPr="005A687D">
        <w:rPr>
          <w:rFonts w:ascii="Calibri Light" w:hAnsi="Calibri Light"/>
        </w:rPr>
        <w:t>os</w:t>
      </w:r>
      <w:r w:rsidRPr="005A687D">
        <w:rPr>
          <w:rFonts w:ascii="Calibri Light" w:hAnsi="Calibri Light"/>
        </w:rPr>
        <w:t xml:space="preserve"> puesto</w:t>
      </w:r>
      <w:r w:rsidR="005A687D" w:rsidRPr="005A687D">
        <w:rPr>
          <w:rFonts w:ascii="Calibri Light" w:hAnsi="Calibri Light"/>
        </w:rPr>
        <w:t>s</w:t>
      </w:r>
      <w:r w:rsidRPr="005A687D">
        <w:rPr>
          <w:rFonts w:ascii="Calibri Light" w:hAnsi="Calibri Light"/>
        </w:rPr>
        <w:t xml:space="preserve"> de </w:t>
      </w:r>
      <w:r w:rsidR="005A687D" w:rsidRPr="005A687D">
        <w:rPr>
          <w:rFonts w:ascii="Calibri Light" w:hAnsi="Calibri Light"/>
        </w:rPr>
        <w:t xml:space="preserve">Auxiliar de registro y </w:t>
      </w:r>
      <w:r w:rsidR="00C57D73">
        <w:rPr>
          <w:rFonts w:ascii="Calibri Light" w:hAnsi="Calibri Light"/>
        </w:rPr>
        <w:t>c</w:t>
      </w:r>
      <w:r w:rsidR="005A687D" w:rsidRPr="005A687D">
        <w:rPr>
          <w:rFonts w:ascii="Calibri Light" w:hAnsi="Calibri Light"/>
        </w:rPr>
        <w:t xml:space="preserve">ontrol y </w:t>
      </w:r>
      <w:r w:rsidR="00C57D73">
        <w:rPr>
          <w:rFonts w:ascii="Calibri Light" w:hAnsi="Calibri Light"/>
        </w:rPr>
        <w:t xml:space="preserve">de </w:t>
      </w:r>
      <w:r w:rsidR="005A687D" w:rsidRPr="005A687D">
        <w:rPr>
          <w:rFonts w:ascii="Calibri Light" w:hAnsi="Calibri Light"/>
        </w:rPr>
        <w:t>Auxiliar de la Coordinación de Apoyo Plenario</w:t>
      </w:r>
      <w:r w:rsidRPr="005A687D">
        <w:rPr>
          <w:rFonts w:ascii="Calibri Light" w:hAnsi="Calibri Light"/>
        </w:rPr>
        <w:t>.</w:t>
      </w:r>
    </w:p>
    <w:p w:rsidR="005210BB" w:rsidRDefault="005210BB" w:rsidP="005210BB">
      <w:pPr>
        <w:spacing w:after="0" w:line="240" w:lineRule="auto"/>
        <w:jc w:val="both"/>
        <w:rPr>
          <w:rFonts w:ascii="Calibri Light" w:hAnsi="Calibri Light"/>
        </w:rPr>
      </w:pPr>
    </w:p>
    <w:p w:rsidR="005210BB" w:rsidRDefault="005210BB" w:rsidP="003D6FEE">
      <w:pPr>
        <w:spacing w:after="0" w:line="240" w:lineRule="auto"/>
        <w:jc w:val="both"/>
        <w:rPr>
          <w:rFonts w:ascii="Calibri Light" w:hAnsi="Calibri Light"/>
        </w:rPr>
      </w:pPr>
      <w:r w:rsidRPr="00935F7F">
        <w:rPr>
          <w:rFonts w:ascii="Calibri Light" w:hAnsi="Calibri Light"/>
        </w:rPr>
        <w:lastRenderedPageBreak/>
        <w:t xml:space="preserve">Del análisis minucioso realizado a la </w:t>
      </w:r>
      <w:r>
        <w:rPr>
          <w:rFonts w:ascii="Calibri Light" w:hAnsi="Calibri Light"/>
        </w:rPr>
        <w:t>información</w:t>
      </w:r>
      <w:r w:rsidRPr="00935F7F">
        <w:rPr>
          <w:rFonts w:ascii="Calibri Light" w:hAnsi="Calibri Light"/>
        </w:rPr>
        <w:t xml:space="preserve"> recibida, así como de lo anteriormente expuesto y fundado</w:t>
      </w:r>
      <w:r>
        <w:rPr>
          <w:rFonts w:ascii="Calibri Light" w:hAnsi="Calibri Light"/>
        </w:rPr>
        <w:t xml:space="preserve"> y de conformidad a lo establecido en el artículo 34 del Reglamento Interior de este Órgano Garante,</w:t>
      </w:r>
      <w:r w:rsidRPr="00935F7F">
        <w:rPr>
          <w:rFonts w:ascii="Calibri Light" w:hAnsi="Calibri Light"/>
        </w:rPr>
        <w:t xml:space="preserve"> el Pleno del Instituto Estatal de Transparencia, Acceso a la Información Pública y Protección de Datos Personales emite </w:t>
      </w:r>
      <w:r>
        <w:rPr>
          <w:rFonts w:ascii="Calibri Light" w:hAnsi="Calibri Light"/>
        </w:rPr>
        <w:t xml:space="preserve">por unanimidad de votos </w:t>
      </w:r>
      <w:r w:rsidRPr="00935F7F">
        <w:rPr>
          <w:rFonts w:ascii="Calibri Light" w:hAnsi="Calibri Light"/>
        </w:rPr>
        <w:t>el siguiente:</w:t>
      </w:r>
    </w:p>
    <w:p w:rsidR="005210BB" w:rsidRDefault="005210BB" w:rsidP="003D6FEE">
      <w:pPr>
        <w:spacing w:after="0" w:line="240" w:lineRule="auto"/>
        <w:jc w:val="both"/>
        <w:rPr>
          <w:rFonts w:ascii="Calibri Light" w:hAnsi="Calibri Light"/>
        </w:rPr>
      </w:pPr>
    </w:p>
    <w:p w:rsidR="005210BB" w:rsidRDefault="005210BB" w:rsidP="003D6FEE">
      <w:pPr>
        <w:spacing w:after="0" w:line="240" w:lineRule="auto"/>
        <w:jc w:val="both"/>
        <w:rPr>
          <w:rFonts w:ascii="Calibri Light" w:hAnsi="Calibri Light"/>
        </w:rPr>
      </w:pPr>
    </w:p>
    <w:p w:rsidR="003C1AAD" w:rsidRDefault="003C1AAD" w:rsidP="003D6FEE">
      <w:pPr>
        <w:spacing w:after="0" w:line="240" w:lineRule="auto"/>
        <w:jc w:val="center"/>
        <w:rPr>
          <w:rFonts w:ascii="Calibri Light" w:hAnsi="Calibri Light" w:cs="Calibri Light"/>
          <w:b/>
          <w:spacing w:val="20"/>
        </w:rPr>
      </w:pPr>
      <w:r w:rsidRPr="003D6FEE">
        <w:rPr>
          <w:rFonts w:ascii="Calibri Light" w:hAnsi="Calibri Light" w:cs="Calibri Light"/>
          <w:b/>
          <w:spacing w:val="20"/>
        </w:rPr>
        <w:t>ACUERDO</w:t>
      </w:r>
    </w:p>
    <w:p w:rsidR="00C52530" w:rsidRPr="003D6FEE" w:rsidRDefault="00C52530" w:rsidP="003D6FEE">
      <w:pPr>
        <w:spacing w:after="0" w:line="240" w:lineRule="auto"/>
        <w:jc w:val="center"/>
        <w:rPr>
          <w:rFonts w:ascii="Calibri Light" w:hAnsi="Calibri Light" w:cs="Calibri Light"/>
          <w:b/>
          <w:spacing w:val="20"/>
        </w:rPr>
      </w:pPr>
    </w:p>
    <w:p w:rsidR="003D6FEE" w:rsidRDefault="0084223E" w:rsidP="003D6FEE">
      <w:pPr>
        <w:spacing w:after="0" w:line="240" w:lineRule="auto"/>
        <w:jc w:val="both"/>
        <w:rPr>
          <w:rFonts w:ascii="Calibri Light" w:hAnsi="Calibri Light" w:cs="Calibri Light"/>
        </w:rPr>
      </w:pPr>
      <w:proofErr w:type="gramStart"/>
      <w:r w:rsidRPr="003D6FEE">
        <w:rPr>
          <w:rFonts w:ascii="Calibri Light" w:hAnsi="Calibri Light" w:cs="Calibri Light"/>
          <w:b/>
        </w:rPr>
        <w:t>PRIMERO.-</w:t>
      </w:r>
      <w:proofErr w:type="gramEnd"/>
      <w:r w:rsidRPr="003D6FEE">
        <w:rPr>
          <w:rFonts w:ascii="Calibri Light" w:hAnsi="Calibri Light" w:cs="Calibri Light"/>
        </w:rPr>
        <w:t xml:space="preserve"> Se autoriza la adecuación del calendario de ejecución del gasto de los programas y/o proyectos antes referidos, así como de las diversas partidas que integran el presupuesto de egresos autorizado para el ejercicio 2019, en los términos propuestos por la Unidad Administrativa responsable del gasto institucional, de conformidad a lo establecido en el considerando SÉPTIMO del presente acuerdo.</w:t>
      </w:r>
    </w:p>
    <w:p w:rsidR="003D6FEE" w:rsidRPr="003D6FEE" w:rsidRDefault="003D6FEE" w:rsidP="003D6FEE">
      <w:pPr>
        <w:spacing w:after="0" w:line="240" w:lineRule="auto"/>
        <w:jc w:val="both"/>
        <w:rPr>
          <w:rFonts w:ascii="Calibri Light" w:hAnsi="Calibri Light" w:cs="Calibri Light"/>
        </w:rPr>
      </w:pPr>
    </w:p>
    <w:p w:rsidR="003C1AAD" w:rsidRDefault="003C1AAD" w:rsidP="003D6FEE">
      <w:pPr>
        <w:spacing w:after="0" w:line="240" w:lineRule="auto"/>
        <w:jc w:val="both"/>
        <w:rPr>
          <w:rFonts w:ascii="Calibri Light" w:hAnsi="Calibri Light" w:cs="Calibri Light"/>
        </w:rPr>
      </w:pPr>
      <w:proofErr w:type="gramStart"/>
      <w:r w:rsidRPr="003D6FEE">
        <w:rPr>
          <w:rFonts w:ascii="Calibri Light" w:hAnsi="Calibri Light" w:cs="Calibri Light"/>
          <w:b/>
        </w:rPr>
        <w:t>SEGUNDO.-</w:t>
      </w:r>
      <w:proofErr w:type="gramEnd"/>
      <w:r w:rsidRPr="003D6FEE">
        <w:rPr>
          <w:rFonts w:ascii="Calibri Light" w:hAnsi="Calibri Light" w:cs="Calibri Light"/>
          <w:b/>
        </w:rPr>
        <w:t xml:space="preserve"> </w:t>
      </w:r>
      <w:r w:rsidR="003D6FEE" w:rsidRPr="003D6FEE">
        <w:rPr>
          <w:rFonts w:ascii="Calibri Light" w:hAnsi="Calibri Light" w:cs="Calibri Light"/>
        </w:rPr>
        <w:t>Se instruye a la Coordinación de Apoyo Plenario</w:t>
      </w:r>
      <w:r w:rsidR="003D6FEE" w:rsidRPr="003D6FEE">
        <w:rPr>
          <w:rFonts w:ascii="Calibri Light" w:hAnsi="Calibri Light" w:cs="Calibri Light"/>
          <w:b/>
        </w:rPr>
        <w:t xml:space="preserve"> </w:t>
      </w:r>
      <w:r w:rsidR="003D6FEE" w:rsidRPr="003D6FEE">
        <w:rPr>
          <w:rFonts w:ascii="Calibri Light" w:hAnsi="Calibri Light" w:cs="Calibri Light"/>
        </w:rPr>
        <w:t xml:space="preserve">para que notifique </w:t>
      </w:r>
      <w:r w:rsidRPr="003D6FEE">
        <w:rPr>
          <w:rFonts w:ascii="Calibri Light" w:hAnsi="Calibri Light" w:cs="Calibri Light"/>
        </w:rPr>
        <w:t>a la Directora de Administración y Finanzas del Instituto Estatal de Transparencia, Acceso a la Información Pública y Protección de Datos Personales</w:t>
      </w:r>
      <w:r w:rsidR="00FC3891">
        <w:rPr>
          <w:rFonts w:ascii="Calibri Light" w:hAnsi="Calibri Light" w:cs="Calibri Light"/>
        </w:rPr>
        <w:t xml:space="preserve">, </w:t>
      </w:r>
      <w:r w:rsidRPr="003D6FEE">
        <w:rPr>
          <w:rFonts w:ascii="Calibri Light" w:hAnsi="Calibri Light" w:cs="Calibri Light"/>
        </w:rPr>
        <w:t>para que en el ejercicio de sus funciones se sirva en dar trámite oportuno al presente acuerdo.</w:t>
      </w:r>
    </w:p>
    <w:p w:rsidR="003D6FEE" w:rsidRPr="003D6FEE" w:rsidRDefault="003D6FEE" w:rsidP="003D6FEE">
      <w:pPr>
        <w:spacing w:after="0" w:line="240" w:lineRule="auto"/>
        <w:jc w:val="both"/>
        <w:rPr>
          <w:rFonts w:ascii="Calibri Light" w:hAnsi="Calibri Light" w:cs="Calibri Light"/>
        </w:rPr>
      </w:pPr>
    </w:p>
    <w:p w:rsidR="00116A0A" w:rsidRPr="003D6FEE" w:rsidRDefault="00116A0A" w:rsidP="003D6FEE">
      <w:pPr>
        <w:spacing w:after="0" w:line="240" w:lineRule="auto"/>
        <w:jc w:val="both"/>
        <w:rPr>
          <w:rFonts w:ascii="Calibri Light" w:eastAsia="Arial" w:hAnsi="Calibri Light" w:cs="Calibri Light"/>
        </w:rPr>
      </w:pPr>
      <w:proofErr w:type="gramStart"/>
      <w:r w:rsidRPr="003D6FEE">
        <w:rPr>
          <w:rFonts w:ascii="Calibri Light" w:hAnsi="Calibri Light" w:cs="Calibri Light"/>
          <w:b/>
        </w:rPr>
        <w:t>TERCERO.-</w:t>
      </w:r>
      <w:proofErr w:type="gramEnd"/>
      <w:r w:rsidRPr="003D6FEE">
        <w:rPr>
          <w:rFonts w:ascii="Calibri Light" w:hAnsi="Calibri Light" w:cs="Calibri Light"/>
          <w:b/>
        </w:rPr>
        <w:t xml:space="preserve"> </w:t>
      </w:r>
      <w:r w:rsidR="00C52530" w:rsidRPr="00C52530">
        <w:rPr>
          <w:rFonts w:ascii="Calibri Light" w:hAnsi="Calibri Light" w:cs="Calibri Light"/>
        </w:rPr>
        <w:t>Se instruye a la Coordinación de Apoyo Plenario para que realice los trámites correspondientes para la</w:t>
      </w:r>
      <w:r w:rsidR="00C52530">
        <w:rPr>
          <w:rFonts w:ascii="Calibri Light" w:hAnsi="Calibri Light" w:cs="Calibri Light"/>
          <w:b/>
        </w:rPr>
        <w:t xml:space="preserve"> </w:t>
      </w:r>
      <w:r w:rsidR="00C52530">
        <w:rPr>
          <w:rFonts w:ascii="Calibri Light" w:eastAsia="Arial" w:hAnsi="Calibri Light" w:cs="Calibri Light"/>
        </w:rPr>
        <w:t>publicación d</w:t>
      </w:r>
      <w:r w:rsidRPr="003D6FEE">
        <w:rPr>
          <w:rFonts w:ascii="Calibri Light" w:eastAsia="Arial" w:hAnsi="Calibri Light" w:cs="Calibri Light"/>
        </w:rPr>
        <w:t>el presente acuerdo en la Página de Internet Oficial del Instituto Estatal de Transparencia, Acceso a la Información Pública y Protección de Datos Personales.</w:t>
      </w:r>
    </w:p>
    <w:p w:rsidR="00355751" w:rsidRDefault="00355751" w:rsidP="00116A0A">
      <w:pPr>
        <w:spacing w:line="240" w:lineRule="auto"/>
        <w:jc w:val="both"/>
        <w:rPr>
          <w:rFonts w:ascii="Calibri Light" w:hAnsi="Calibri Light" w:cs="Calibri Light"/>
        </w:rPr>
      </w:pPr>
    </w:p>
    <w:p w:rsidR="00116A0A" w:rsidRPr="003D6FEE" w:rsidRDefault="00116A0A" w:rsidP="00116A0A">
      <w:pPr>
        <w:spacing w:line="240" w:lineRule="auto"/>
        <w:jc w:val="both"/>
        <w:rPr>
          <w:rFonts w:ascii="Calibri Light" w:hAnsi="Calibri Light" w:cs="Calibri Light"/>
        </w:rPr>
      </w:pPr>
      <w:r w:rsidRPr="003D6FEE">
        <w:rPr>
          <w:rFonts w:ascii="Calibri Light" w:hAnsi="Calibri Light" w:cs="Calibri Light"/>
        </w:rPr>
        <w:t>Así lo acordó y firma para debida constancia, el Pleno del Instituto del Estatal de Transparencia, Acceso a la Información Pública y Protección de Datos Personales:</w:t>
      </w:r>
    </w:p>
    <w:p w:rsidR="003C1AAD" w:rsidRDefault="003C1AAD" w:rsidP="003C1AAD">
      <w:pPr>
        <w:spacing w:line="240" w:lineRule="auto"/>
        <w:jc w:val="both"/>
        <w:rPr>
          <w:rFonts w:ascii="Calibri Light" w:hAnsi="Calibri Light"/>
        </w:rPr>
      </w:pPr>
    </w:p>
    <w:tbl>
      <w:tblPr>
        <w:tblW w:w="9888" w:type="dxa"/>
        <w:tblInd w:w="-593" w:type="dxa"/>
        <w:tblLook w:val="04A0" w:firstRow="1" w:lastRow="0" w:firstColumn="1" w:lastColumn="0" w:noHBand="0" w:noVBand="1"/>
      </w:tblPr>
      <w:tblGrid>
        <w:gridCol w:w="4944"/>
        <w:gridCol w:w="4944"/>
      </w:tblGrid>
      <w:tr w:rsidR="00F96333" w:rsidRPr="00EC7E12" w:rsidTr="00826CCC">
        <w:tc>
          <w:tcPr>
            <w:tcW w:w="9888" w:type="dxa"/>
            <w:gridSpan w:val="2"/>
          </w:tcPr>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p>
          <w:p w:rsidR="00F96333" w:rsidRDefault="00F96333" w:rsidP="00826CCC">
            <w:pPr>
              <w:spacing w:after="0" w:line="240" w:lineRule="auto"/>
              <w:jc w:val="center"/>
              <w:rPr>
                <w:rFonts w:asciiTheme="majorHAnsi" w:hAnsiTheme="majorHAnsi" w:cstheme="majorHAnsi"/>
                <w:b/>
                <w:bCs/>
              </w:rPr>
            </w:pPr>
            <w:r>
              <w:rPr>
                <w:rFonts w:asciiTheme="majorHAnsi" w:hAnsiTheme="majorHAnsi" w:cstheme="majorHAnsi"/>
                <w:b/>
                <w:bCs/>
              </w:rPr>
              <w:t>(RÚBRICA)</w:t>
            </w: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r w:rsidRPr="00EC7E12">
              <w:rPr>
                <w:rFonts w:asciiTheme="majorHAnsi" w:hAnsiTheme="majorHAnsi" w:cstheme="majorHAnsi"/>
                <w:b/>
                <w:bCs/>
              </w:rPr>
              <w:t>M.D. ALDRIN MARTÍN BRICEÑO CONRADO</w:t>
            </w:r>
          </w:p>
          <w:p w:rsidR="00F96333" w:rsidRPr="00EC7E12" w:rsidRDefault="00F96333" w:rsidP="00826CCC">
            <w:pPr>
              <w:spacing w:after="0" w:line="240" w:lineRule="auto"/>
              <w:jc w:val="center"/>
              <w:rPr>
                <w:rFonts w:asciiTheme="majorHAnsi" w:hAnsiTheme="majorHAnsi" w:cstheme="majorHAnsi"/>
                <w:b/>
                <w:lang w:val="es-ES"/>
              </w:rPr>
            </w:pPr>
            <w:r w:rsidRPr="00EC7E12">
              <w:rPr>
                <w:rFonts w:asciiTheme="majorHAnsi" w:hAnsiTheme="majorHAnsi" w:cstheme="majorHAnsi"/>
                <w:b/>
                <w:bCs/>
              </w:rPr>
              <w:t>COMISIONADO PRESIDENTE</w:t>
            </w:r>
          </w:p>
        </w:tc>
      </w:tr>
      <w:tr w:rsidR="00F96333" w:rsidRPr="00EC7E12" w:rsidTr="00826CCC">
        <w:tc>
          <w:tcPr>
            <w:tcW w:w="4944" w:type="dxa"/>
          </w:tcPr>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r>
              <w:rPr>
                <w:rFonts w:asciiTheme="majorHAnsi" w:hAnsiTheme="majorHAnsi" w:cstheme="majorHAnsi"/>
                <w:b/>
                <w:bCs/>
              </w:rPr>
              <w:t>(RÚBRICA)</w:t>
            </w: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rPr>
            </w:pPr>
            <w:r w:rsidRPr="00EC7E12">
              <w:rPr>
                <w:rFonts w:asciiTheme="majorHAnsi" w:hAnsiTheme="majorHAnsi" w:cstheme="majorHAnsi"/>
                <w:b/>
                <w:bCs/>
              </w:rPr>
              <w:t>LICDA. MARÍA EUGENIA SANSORES RUZ</w:t>
            </w:r>
          </w:p>
          <w:p w:rsidR="00F96333" w:rsidRPr="00EC7E12" w:rsidRDefault="00F96333" w:rsidP="00826CCC">
            <w:pPr>
              <w:spacing w:after="0" w:line="240" w:lineRule="auto"/>
              <w:jc w:val="center"/>
              <w:rPr>
                <w:rFonts w:asciiTheme="majorHAnsi" w:hAnsiTheme="majorHAnsi" w:cstheme="majorHAnsi"/>
                <w:b/>
                <w:lang w:val="es-ES"/>
              </w:rPr>
            </w:pPr>
            <w:r w:rsidRPr="00EC7E12">
              <w:rPr>
                <w:rFonts w:asciiTheme="majorHAnsi" w:hAnsiTheme="majorHAnsi" w:cstheme="majorHAnsi"/>
                <w:b/>
              </w:rPr>
              <w:t xml:space="preserve">COMISIONADA </w:t>
            </w:r>
          </w:p>
        </w:tc>
        <w:tc>
          <w:tcPr>
            <w:tcW w:w="4944" w:type="dxa"/>
          </w:tcPr>
          <w:p w:rsidR="00F96333" w:rsidRPr="00EC7E12" w:rsidRDefault="00F96333" w:rsidP="00826CCC">
            <w:pPr>
              <w:spacing w:after="0" w:line="240" w:lineRule="auto"/>
              <w:jc w:val="center"/>
              <w:rPr>
                <w:rFonts w:asciiTheme="majorHAnsi" w:hAnsiTheme="majorHAnsi" w:cstheme="majorHAnsi"/>
                <w:b/>
                <w:bCs/>
                <w:lang w:val="es-ES"/>
              </w:rPr>
            </w:pP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bCs/>
              </w:rPr>
            </w:pPr>
            <w:r>
              <w:rPr>
                <w:rFonts w:asciiTheme="majorHAnsi" w:hAnsiTheme="majorHAnsi" w:cstheme="majorHAnsi"/>
                <w:b/>
                <w:bCs/>
              </w:rPr>
              <w:t>(RÚBRICA)</w:t>
            </w:r>
          </w:p>
          <w:p w:rsidR="00F96333" w:rsidRPr="00EC7E12" w:rsidRDefault="00F96333" w:rsidP="00826CCC">
            <w:pPr>
              <w:spacing w:after="0" w:line="240" w:lineRule="auto"/>
              <w:jc w:val="center"/>
              <w:rPr>
                <w:rFonts w:asciiTheme="majorHAnsi" w:hAnsiTheme="majorHAnsi" w:cstheme="majorHAnsi"/>
                <w:b/>
                <w:bCs/>
              </w:rPr>
            </w:pPr>
          </w:p>
          <w:p w:rsidR="00F96333" w:rsidRPr="00EC7E12" w:rsidRDefault="00F96333" w:rsidP="00826CCC">
            <w:pPr>
              <w:spacing w:after="0" w:line="240" w:lineRule="auto"/>
              <w:jc w:val="center"/>
              <w:rPr>
                <w:rFonts w:asciiTheme="majorHAnsi" w:hAnsiTheme="majorHAnsi" w:cstheme="majorHAnsi"/>
                <w:b/>
              </w:rPr>
            </w:pPr>
            <w:r w:rsidRPr="00EC7E12">
              <w:rPr>
                <w:rFonts w:asciiTheme="majorHAnsi" w:hAnsiTheme="majorHAnsi" w:cstheme="majorHAnsi"/>
                <w:b/>
              </w:rPr>
              <w:t>DR. CARLOS FERNANDO PAVÓN DURÁN</w:t>
            </w:r>
          </w:p>
          <w:p w:rsidR="00F96333" w:rsidRPr="00EC7E12" w:rsidRDefault="00F96333" w:rsidP="00826CCC">
            <w:pPr>
              <w:spacing w:after="0" w:line="240" w:lineRule="auto"/>
              <w:jc w:val="center"/>
              <w:rPr>
                <w:rFonts w:asciiTheme="majorHAnsi" w:hAnsiTheme="majorHAnsi" w:cstheme="majorHAnsi"/>
                <w:b/>
                <w:lang w:val="es-ES"/>
              </w:rPr>
            </w:pPr>
            <w:r w:rsidRPr="00EC7E12">
              <w:rPr>
                <w:rFonts w:asciiTheme="majorHAnsi" w:hAnsiTheme="majorHAnsi" w:cstheme="majorHAnsi"/>
                <w:b/>
                <w:bCs/>
              </w:rPr>
              <w:t>COMISIONADO</w:t>
            </w:r>
          </w:p>
        </w:tc>
      </w:tr>
    </w:tbl>
    <w:p w:rsidR="00F96333" w:rsidRDefault="00F96333" w:rsidP="003C1AAD">
      <w:pPr>
        <w:spacing w:line="240" w:lineRule="auto"/>
        <w:jc w:val="both"/>
        <w:rPr>
          <w:rFonts w:ascii="Calibri Light" w:hAnsi="Calibri Light"/>
        </w:rPr>
      </w:pPr>
    </w:p>
    <w:p w:rsidR="00810987" w:rsidRDefault="00810987" w:rsidP="00A53AA9">
      <w:pPr>
        <w:jc w:val="center"/>
        <w:rPr>
          <w:rFonts w:asciiTheme="majorHAnsi" w:hAnsiTheme="majorHAnsi" w:cstheme="majorHAnsi"/>
          <w:b/>
          <w:sz w:val="21"/>
          <w:szCs w:val="21"/>
        </w:rPr>
      </w:pPr>
    </w:p>
    <w:p w:rsidR="003C1AAD" w:rsidRDefault="00F96333" w:rsidP="006D19F3">
      <w:pPr>
        <w:pStyle w:val="Sinespaciado"/>
        <w:jc w:val="center"/>
        <w:rPr>
          <w:b/>
        </w:rPr>
      </w:pPr>
      <w:r>
        <w:rPr>
          <w:noProof/>
        </w:rPr>
        <w:lastRenderedPageBreak/>
        <w:drawing>
          <wp:inline distT="0" distB="0" distL="0" distR="0">
            <wp:extent cx="5362575" cy="7667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2575" cy="7667625"/>
                    </a:xfrm>
                    <a:prstGeom prst="rect">
                      <a:avLst/>
                    </a:prstGeom>
                    <a:noFill/>
                    <a:ln>
                      <a:noFill/>
                    </a:ln>
                  </pic:spPr>
                </pic:pic>
              </a:graphicData>
            </a:graphic>
          </wp:inline>
        </w:drawing>
      </w:r>
      <w:bookmarkStart w:id="1" w:name="_GoBack"/>
      <w:bookmarkEnd w:id="1"/>
    </w:p>
    <w:sectPr w:rsidR="003C1AAD" w:rsidSect="00A55A5E">
      <w:headerReference w:type="default" r:id="rId9"/>
      <w:footerReference w:type="default" r:id="rId10"/>
      <w:pgSz w:w="12240" w:h="15840"/>
      <w:pgMar w:top="2150"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FA" w:rsidRDefault="003B4A17">
      <w:pPr>
        <w:spacing w:after="0" w:line="240" w:lineRule="auto"/>
      </w:pPr>
      <w:r>
        <w:separator/>
      </w:r>
    </w:p>
  </w:endnote>
  <w:endnote w:type="continuationSeparator" w:id="0">
    <w:p w:rsidR="00B904FA" w:rsidRDefault="003B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2E2A91" w:rsidRPr="002E2A91">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2E2A91" w:rsidRPr="002E2A91">
      <w:rPr>
        <w:noProof/>
        <w:sz w:val="18"/>
        <w:szCs w:val="18"/>
        <w:lang w:val="es-ES"/>
      </w:rPr>
      <w:t>6</w:t>
    </w:r>
    <w:r w:rsidRPr="001904F3">
      <w:rPr>
        <w:sz w:val="18"/>
        <w:szCs w:val="18"/>
      </w:rPr>
      <w:fldChar w:fldCharType="end"/>
    </w:r>
  </w:p>
  <w:p w:rsidR="001904F3" w:rsidRDefault="00F963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FA" w:rsidRDefault="003B4A17">
      <w:pPr>
        <w:spacing w:after="0" w:line="240" w:lineRule="auto"/>
      </w:pPr>
      <w:r>
        <w:separator/>
      </w:r>
    </w:p>
  </w:footnote>
  <w:footnote w:type="continuationSeparator" w:id="0">
    <w:p w:rsidR="00B904FA" w:rsidRDefault="003B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46" w:rsidRDefault="00A55A5E">
    <w:pPr>
      <w:pStyle w:val="Encabezado"/>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-2540</wp:posOffset>
          </wp:positionV>
          <wp:extent cx="5810250" cy="942975"/>
          <wp:effectExtent l="0" t="0" r="0" b="9525"/>
          <wp:wrapTight wrapText="bothSides">
            <wp:wrapPolygon edited="0">
              <wp:start x="708" y="0"/>
              <wp:lineTo x="283" y="1309"/>
              <wp:lineTo x="283" y="3055"/>
              <wp:lineTo x="708" y="7418"/>
              <wp:lineTo x="779" y="21382"/>
              <wp:lineTo x="3612" y="21382"/>
              <wp:lineTo x="5311" y="20945"/>
              <wp:lineTo x="10481" y="16145"/>
              <wp:lineTo x="10481" y="14400"/>
              <wp:lineTo x="21529" y="8727"/>
              <wp:lineTo x="21529" y="2618"/>
              <wp:lineTo x="1770" y="0"/>
              <wp:lineTo x="708"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13A5E"/>
    <w:rsid w:val="00021EA3"/>
    <w:rsid w:val="00022272"/>
    <w:rsid w:val="0003785B"/>
    <w:rsid w:val="00042973"/>
    <w:rsid w:val="00062D0E"/>
    <w:rsid w:val="00065C90"/>
    <w:rsid w:val="00093EDE"/>
    <w:rsid w:val="000A1348"/>
    <w:rsid w:val="000E6E46"/>
    <w:rsid w:val="00111CB3"/>
    <w:rsid w:val="00116A0A"/>
    <w:rsid w:val="001400DF"/>
    <w:rsid w:val="0016049B"/>
    <w:rsid w:val="00166278"/>
    <w:rsid w:val="0018357B"/>
    <w:rsid w:val="00190DC3"/>
    <w:rsid w:val="001A1146"/>
    <w:rsid w:val="001A308F"/>
    <w:rsid w:val="001A7284"/>
    <w:rsid w:val="001B33B3"/>
    <w:rsid w:val="001C3F63"/>
    <w:rsid w:val="001E6BDE"/>
    <w:rsid w:val="001F3AD1"/>
    <w:rsid w:val="00204736"/>
    <w:rsid w:val="0020641B"/>
    <w:rsid w:val="00217462"/>
    <w:rsid w:val="00232C01"/>
    <w:rsid w:val="00241255"/>
    <w:rsid w:val="0025134C"/>
    <w:rsid w:val="00275A11"/>
    <w:rsid w:val="002A549E"/>
    <w:rsid w:val="002E0D28"/>
    <w:rsid w:val="002E2A91"/>
    <w:rsid w:val="002F42D6"/>
    <w:rsid w:val="002F6742"/>
    <w:rsid w:val="00313A7A"/>
    <w:rsid w:val="003221C2"/>
    <w:rsid w:val="00332017"/>
    <w:rsid w:val="00355751"/>
    <w:rsid w:val="00357AF1"/>
    <w:rsid w:val="00371180"/>
    <w:rsid w:val="0038265D"/>
    <w:rsid w:val="00397F39"/>
    <w:rsid w:val="003A66E8"/>
    <w:rsid w:val="003B18D7"/>
    <w:rsid w:val="003B4A17"/>
    <w:rsid w:val="003C1AAD"/>
    <w:rsid w:val="003D4339"/>
    <w:rsid w:val="003D6FEE"/>
    <w:rsid w:val="00405840"/>
    <w:rsid w:val="00414F93"/>
    <w:rsid w:val="004776C9"/>
    <w:rsid w:val="004C661C"/>
    <w:rsid w:val="00502BB6"/>
    <w:rsid w:val="00516750"/>
    <w:rsid w:val="005210BB"/>
    <w:rsid w:val="00550EBB"/>
    <w:rsid w:val="005711E7"/>
    <w:rsid w:val="005A4FCF"/>
    <w:rsid w:val="005A687D"/>
    <w:rsid w:val="006102CC"/>
    <w:rsid w:val="00641FA8"/>
    <w:rsid w:val="00651DE6"/>
    <w:rsid w:val="006637A5"/>
    <w:rsid w:val="006735F2"/>
    <w:rsid w:val="006B034E"/>
    <w:rsid w:val="006B09A2"/>
    <w:rsid w:val="006B5AD8"/>
    <w:rsid w:val="006D19F3"/>
    <w:rsid w:val="006E36A4"/>
    <w:rsid w:val="0071410C"/>
    <w:rsid w:val="00721DCE"/>
    <w:rsid w:val="007246CD"/>
    <w:rsid w:val="00773DA3"/>
    <w:rsid w:val="00775E6D"/>
    <w:rsid w:val="00792FDF"/>
    <w:rsid w:val="007B6021"/>
    <w:rsid w:val="007E38E9"/>
    <w:rsid w:val="008007DB"/>
    <w:rsid w:val="0080597D"/>
    <w:rsid w:val="00810987"/>
    <w:rsid w:val="008136CA"/>
    <w:rsid w:val="00815C73"/>
    <w:rsid w:val="00816BF7"/>
    <w:rsid w:val="00827C48"/>
    <w:rsid w:val="0084223E"/>
    <w:rsid w:val="00850313"/>
    <w:rsid w:val="00852B4F"/>
    <w:rsid w:val="00864C36"/>
    <w:rsid w:val="00891581"/>
    <w:rsid w:val="008A4A23"/>
    <w:rsid w:val="008F2F04"/>
    <w:rsid w:val="008F3278"/>
    <w:rsid w:val="008F5A05"/>
    <w:rsid w:val="00904526"/>
    <w:rsid w:val="00931A3D"/>
    <w:rsid w:val="00956DFB"/>
    <w:rsid w:val="0096469D"/>
    <w:rsid w:val="00965145"/>
    <w:rsid w:val="00972B1F"/>
    <w:rsid w:val="00983DA4"/>
    <w:rsid w:val="009A4492"/>
    <w:rsid w:val="00A001D5"/>
    <w:rsid w:val="00A11482"/>
    <w:rsid w:val="00A2471A"/>
    <w:rsid w:val="00A35BA1"/>
    <w:rsid w:val="00A36915"/>
    <w:rsid w:val="00A53AA9"/>
    <w:rsid w:val="00A55A5E"/>
    <w:rsid w:val="00A67F45"/>
    <w:rsid w:val="00A81234"/>
    <w:rsid w:val="00A909BF"/>
    <w:rsid w:val="00A9162B"/>
    <w:rsid w:val="00AB0C9B"/>
    <w:rsid w:val="00AB14E7"/>
    <w:rsid w:val="00B24914"/>
    <w:rsid w:val="00B25D5B"/>
    <w:rsid w:val="00B2707F"/>
    <w:rsid w:val="00B30C23"/>
    <w:rsid w:val="00B6355C"/>
    <w:rsid w:val="00B76A80"/>
    <w:rsid w:val="00B904FA"/>
    <w:rsid w:val="00B9570E"/>
    <w:rsid w:val="00BA5247"/>
    <w:rsid w:val="00BA73D4"/>
    <w:rsid w:val="00BB1CD8"/>
    <w:rsid w:val="00BC6763"/>
    <w:rsid w:val="00BD72BC"/>
    <w:rsid w:val="00BE67CF"/>
    <w:rsid w:val="00C1783C"/>
    <w:rsid w:val="00C23D9E"/>
    <w:rsid w:val="00C254D6"/>
    <w:rsid w:val="00C32125"/>
    <w:rsid w:val="00C36EC1"/>
    <w:rsid w:val="00C43BDD"/>
    <w:rsid w:val="00C47DCB"/>
    <w:rsid w:val="00C50ADF"/>
    <w:rsid w:val="00C52530"/>
    <w:rsid w:val="00C57D73"/>
    <w:rsid w:val="00C60BA0"/>
    <w:rsid w:val="00C856CE"/>
    <w:rsid w:val="00C92344"/>
    <w:rsid w:val="00C95644"/>
    <w:rsid w:val="00CA18ED"/>
    <w:rsid w:val="00D0328B"/>
    <w:rsid w:val="00D2077F"/>
    <w:rsid w:val="00D35729"/>
    <w:rsid w:val="00D66373"/>
    <w:rsid w:val="00D81C56"/>
    <w:rsid w:val="00DA2189"/>
    <w:rsid w:val="00DC1073"/>
    <w:rsid w:val="00DE4EF8"/>
    <w:rsid w:val="00E31F58"/>
    <w:rsid w:val="00E45ADB"/>
    <w:rsid w:val="00E51933"/>
    <w:rsid w:val="00E80462"/>
    <w:rsid w:val="00E82853"/>
    <w:rsid w:val="00EA5FF1"/>
    <w:rsid w:val="00EB026A"/>
    <w:rsid w:val="00EB0B52"/>
    <w:rsid w:val="00ED49EA"/>
    <w:rsid w:val="00EE603C"/>
    <w:rsid w:val="00EF69D9"/>
    <w:rsid w:val="00F2016E"/>
    <w:rsid w:val="00F25FA2"/>
    <w:rsid w:val="00F52555"/>
    <w:rsid w:val="00F54516"/>
    <w:rsid w:val="00F82085"/>
    <w:rsid w:val="00F96333"/>
    <w:rsid w:val="00FB1EF9"/>
    <w:rsid w:val="00FC3891"/>
    <w:rsid w:val="00FD0E56"/>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4321E"/>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4672">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236288453">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277ED-4C79-41D5-BF2B-942AA53B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35</cp:revision>
  <cp:lastPrinted>2018-08-20T18:59:00Z</cp:lastPrinted>
  <dcterms:created xsi:type="dcterms:W3CDTF">2018-08-15T20:58:00Z</dcterms:created>
  <dcterms:modified xsi:type="dcterms:W3CDTF">2019-04-04T18:52:00Z</dcterms:modified>
</cp:coreProperties>
</file>