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5EB" w:rsidRPr="00784449" w:rsidRDefault="0027208D" w:rsidP="00DD5774">
      <w:pPr>
        <w:spacing w:line="240" w:lineRule="auto"/>
        <w:jc w:val="center"/>
        <w:rPr>
          <w:b/>
          <w:sz w:val="23"/>
          <w:szCs w:val="23"/>
        </w:rPr>
      </w:pPr>
      <w:r w:rsidRPr="00784449">
        <w:rPr>
          <w:b/>
          <w:sz w:val="23"/>
          <w:szCs w:val="23"/>
        </w:rPr>
        <w:t>ACUERDO ADMINISTRATIVO</w:t>
      </w:r>
      <w:r w:rsidR="006B7AD3" w:rsidRPr="00784449">
        <w:rPr>
          <w:b/>
          <w:sz w:val="23"/>
          <w:szCs w:val="23"/>
        </w:rPr>
        <w:t xml:space="preserve"> DEL PLENO</w:t>
      </w:r>
    </w:p>
    <w:p w:rsidR="00B10791" w:rsidRDefault="00B10791" w:rsidP="00B10791">
      <w:pPr>
        <w:spacing w:after="0"/>
        <w:jc w:val="both"/>
        <w:rPr>
          <w:rFonts w:cstheme="minorHAnsi"/>
          <w:sz w:val="23"/>
          <w:szCs w:val="23"/>
        </w:rPr>
      </w:pPr>
      <w:r w:rsidRPr="00873515">
        <w:rPr>
          <w:rFonts w:cstheme="minorHAnsi"/>
          <w:sz w:val="23"/>
          <w:szCs w:val="23"/>
        </w:rPr>
        <w:t xml:space="preserve">En la ciudad de Mérida, Yucatán, siendo las </w:t>
      </w:r>
      <w:r w:rsidR="00873515" w:rsidRPr="00873515">
        <w:rPr>
          <w:rFonts w:cstheme="minorHAnsi"/>
          <w:sz w:val="23"/>
          <w:szCs w:val="23"/>
        </w:rPr>
        <w:t>quince</w:t>
      </w:r>
      <w:r w:rsidRPr="00873515">
        <w:rPr>
          <w:rFonts w:cstheme="minorHAnsi"/>
          <w:sz w:val="23"/>
          <w:szCs w:val="23"/>
        </w:rPr>
        <w:t xml:space="preserve"> horas con </w:t>
      </w:r>
      <w:r w:rsidR="00873515" w:rsidRPr="00873515">
        <w:rPr>
          <w:rFonts w:cstheme="minorHAnsi"/>
          <w:sz w:val="23"/>
          <w:szCs w:val="23"/>
        </w:rPr>
        <w:t>treinta y tres</w:t>
      </w:r>
      <w:r w:rsidRPr="00873515">
        <w:rPr>
          <w:rFonts w:cstheme="minorHAnsi"/>
          <w:sz w:val="23"/>
          <w:szCs w:val="23"/>
        </w:rPr>
        <w:t xml:space="preserve"> minutos, del día </w:t>
      </w:r>
      <w:r w:rsidR="00873515" w:rsidRPr="00873515">
        <w:rPr>
          <w:rFonts w:cstheme="minorHAnsi"/>
          <w:sz w:val="23"/>
          <w:szCs w:val="23"/>
        </w:rPr>
        <w:t>seis</w:t>
      </w:r>
      <w:r w:rsidRPr="00873515">
        <w:rPr>
          <w:rFonts w:cstheme="minorHAnsi"/>
          <w:sz w:val="23"/>
          <w:szCs w:val="23"/>
        </w:rPr>
        <w:t xml:space="preserve"> de abril del año dos mil diecisiete, encontrándose reunidos los integrantes del Pleno del Instituto Estatal de</w:t>
      </w:r>
      <w:r w:rsidRPr="00E1396D">
        <w:rPr>
          <w:rFonts w:cstheme="minorHAnsi"/>
          <w:sz w:val="23"/>
          <w:szCs w:val="23"/>
        </w:rPr>
        <w:t xml:space="preserve"> Transparencia, Acceso a la Información Pública y Protección de Datos Personales, los Licenciados en Derecho, </w:t>
      </w:r>
      <w:r w:rsidRPr="00E1396D">
        <w:rPr>
          <w:rFonts w:eastAsia="Times New Roman" w:cstheme="minorHAnsi"/>
          <w:sz w:val="23"/>
          <w:szCs w:val="23"/>
          <w:lang w:eastAsia="ar-SA"/>
        </w:rPr>
        <w:t>Susana Aguilar Covarrubias,</w:t>
      </w:r>
      <w:r w:rsidRPr="00E1396D">
        <w:rPr>
          <w:rFonts w:cstheme="minorHAnsi"/>
          <w:sz w:val="23"/>
          <w:szCs w:val="23"/>
        </w:rPr>
        <w:t xml:space="preserve"> </w:t>
      </w:r>
      <w:r w:rsidRPr="00E1396D">
        <w:rPr>
          <w:rFonts w:eastAsia="Times New Roman" w:cstheme="minorHAnsi"/>
          <w:sz w:val="23"/>
          <w:szCs w:val="23"/>
          <w:lang w:eastAsia="ar-SA"/>
        </w:rPr>
        <w:t>María Eugenia Sansores Ruz y Aldrin Martín Briceño Conrado, Comisionada Presidenta y Comisionados, respectivamente</w:t>
      </w:r>
      <w:r w:rsidRPr="00E1396D">
        <w:rPr>
          <w:rFonts w:cstheme="minorHAnsi"/>
          <w:sz w:val="23"/>
          <w:szCs w:val="23"/>
        </w:rPr>
        <w:t>, emiten el presente acuerdo de conformidad con los siguientes:</w:t>
      </w:r>
    </w:p>
    <w:p w:rsidR="00B10791" w:rsidRDefault="00B10791" w:rsidP="008F4A75">
      <w:pPr>
        <w:spacing w:line="240" w:lineRule="auto"/>
        <w:jc w:val="center"/>
        <w:rPr>
          <w:b/>
          <w:sz w:val="23"/>
          <w:szCs w:val="23"/>
        </w:rPr>
      </w:pPr>
    </w:p>
    <w:p w:rsidR="008F4A75" w:rsidRPr="00784449" w:rsidRDefault="008F4A75" w:rsidP="008F4A75">
      <w:pPr>
        <w:spacing w:line="240" w:lineRule="auto"/>
        <w:jc w:val="center"/>
        <w:rPr>
          <w:b/>
          <w:sz w:val="23"/>
          <w:szCs w:val="23"/>
        </w:rPr>
      </w:pPr>
      <w:r w:rsidRPr="00784449">
        <w:rPr>
          <w:b/>
          <w:sz w:val="23"/>
          <w:szCs w:val="23"/>
        </w:rPr>
        <w:t>ANTECEDENTES</w:t>
      </w:r>
    </w:p>
    <w:p w:rsidR="00606365" w:rsidRPr="00784449" w:rsidRDefault="00606365" w:rsidP="007C7A2C">
      <w:pPr>
        <w:spacing w:after="0"/>
        <w:jc w:val="both"/>
        <w:rPr>
          <w:rFonts w:eastAsia="Arial" w:cs="Arial"/>
          <w:sz w:val="23"/>
          <w:szCs w:val="23"/>
        </w:rPr>
      </w:pPr>
      <w:r w:rsidRPr="00784449">
        <w:rPr>
          <w:rFonts w:eastAsia="Arial" w:cs="Arial"/>
          <w:b/>
          <w:sz w:val="23"/>
          <w:szCs w:val="23"/>
        </w:rPr>
        <w:t xml:space="preserve">PRIMERO.- </w:t>
      </w:r>
      <w:r w:rsidRPr="00784449">
        <w:rPr>
          <w:rFonts w:eastAsia="Arial" w:cs="Arial"/>
          <w:sz w:val="23"/>
          <w:szCs w:val="23"/>
        </w:rPr>
        <w:t>El 20 de abril de 2016, se publicó en el Diario Oficial del Gobierno del Estado de Yucatán el Decreto 380/2016, por el que se modifica la Constitución Política del Estado de Yucatán, en materia de anticorrupción y transparencia. A través de dicha modificación, se sientan las bases de la homologación de la legislación estatal, acorde a lo dispuesto en la Ley general, Ley reglamentaria del artículo 6 constitucional.</w:t>
      </w:r>
    </w:p>
    <w:p w:rsidR="00606365" w:rsidRPr="00784449" w:rsidRDefault="00606365" w:rsidP="007C7A2C">
      <w:pPr>
        <w:spacing w:after="0"/>
        <w:jc w:val="both"/>
        <w:rPr>
          <w:rFonts w:eastAsia="Arial" w:cs="Arial"/>
          <w:b/>
          <w:sz w:val="23"/>
          <w:szCs w:val="23"/>
        </w:rPr>
      </w:pPr>
    </w:p>
    <w:p w:rsidR="00606365" w:rsidRPr="00784449" w:rsidRDefault="00606365" w:rsidP="007C7A2C">
      <w:pPr>
        <w:spacing w:after="0"/>
        <w:jc w:val="both"/>
        <w:rPr>
          <w:rFonts w:eastAsia="Arial" w:cs="Arial"/>
          <w:sz w:val="23"/>
          <w:szCs w:val="23"/>
        </w:rPr>
      </w:pPr>
      <w:r w:rsidRPr="00784449">
        <w:rPr>
          <w:rFonts w:eastAsia="Arial" w:cs="Arial"/>
          <w:b/>
          <w:sz w:val="23"/>
          <w:szCs w:val="23"/>
        </w:rPr>
        <w:t>SEGUNDO.-</w:t>
      </w:r>
      <w:r w:rsidRPr="00784449">
        <w:rPr>
          <w:rFonts w:eastAsia="Arial" w:cs="Arial"/>
          <w:sz w:val="23"/>
          <w:szCs w:val="23"/>
        </w:rPr>
        <w:t xml:space="preserve"> El 2 de mayo de 2016, se publicó en el Diario Oficial del Gobierno del Estado, el Decreto 388/2016, por el que se expide la Ley de Transparencia y Acceso a la Información Pública del Estado de Yucatán, a través de dicha publicación se dio cumplimiento a lo establecido en el transitorio quinto de la Ley General de Transparencia y Acceso a la Información Pública, la homologación de la Ley estatal conforme a lo dispuesto en la citada Ley general.</w:t>
      </w:r>
    </w:p>
    <w:p w:rsidR="00606365" w:rsidRPr="00784449" w:rsidRDefault="00606365" w:rsidP="007C7A2C">
      <w:pPr>
        <w:spacing w:after="0"/>
        <w:jc w:val="both"/>
        <w:rPr>
          <w:b/>
          <w:sz w:val="23"/>
          <w:szCs w:val="23"/>
        </w:rPr>
      </w:pPr>
    </w:p>
    <w:p w:rsidR="00606365" w:rsidRPr="00784449" w:rsidRDefault="00606365" w:rsidP="007C7A2C">
      <w:pPr>
        <w:shd w:val="clear" w:color="auto" w:fill="FFFFFF"/>
        <w:jc w:val="both"/>
        <w:rPr>
          <w:rFonts w:eastAsia="Arial" w:cs="Arial"/>
          <w:sz w:val="23"/>
          <w:szCs w:val="23"/>
        </w:rPr>
      </w:pPr>
      <w:r w:rsidRPr="00784449">
        <w:rPr>
          <w:b/>
          <w:sz w:val="23"/>
          <w:szCs w:val="23"/>
        </w:rPr>
        <w:t>TERCERO</w:t>
      </w:r>
      <w:r w:rsidRPr="00784449">
        <w:rPr>
          <w:rFonts w:eastAsia="Arial" w:cs="Arial"/>
          <w:b/>
          <w:sz w:val="23"/>
          <w:szCs w:val="23"/>
        </w:rPr>
        <w:t>.-</w:t>
      </w:r>
      <w:r w:rsidRPr="00784449">
        <w:rPr>
          <w:rFonts w:eastAsia="Arial" w:cs="Arial"/>
          <w:sz w:val="23"/>
          <w:szCs w:val="23"/>
        </w:rPr>
        <w:t xml:space="preserve"> </w:t>
      </w:r>
      <w:r w:rsidR="00964E80" w:rsidRPr="00784449">
        <w:rPr>
          <w:rFonts w:eastAsia="Arial" w:cs="Arial"/>
          <w:sz w:val="23"/>
          <w:szCs w:val="23"/>
        </w:rPr>
        <w:t xml:space="preserve">El 1 de septiembre de 2015 entraron en vigor las Políticas Administrativas y Financieras del INAIP, vigentes, las cuales tienen como objetivo establecer políticas generales en materia de administración y financiera, a través de procedimientos debidamente fundados, motivados y autorizados por los funcionarios públicos competentes, lo anterior con el fin de un mejor y adecuado cumplimiento de los objetivos institucionales en un marco de legalidad, transparencia y eficiencia en el manejo de la economía. </w:t>
      </w:r>
    </w:p>
    <w:p w:rsidR="00500CB6" w:rsidRDefault="007C7A2C" w:rsidP="00964E80">
      <w:pPr>
        <w:shd w:val="clear" w:color="auto" w:fill="FFFFFF"/>
        <w:jc w:val="both"/>
      </w:pPr>
      <w:r w:rsidRPr="00784449">
        <w:rPr>
          <w:rFonts w:eastAsia="Arial" w:cs="Arial"/>
          <w:b/>
          <w:sz w:val="23"/>
          <w:szCs w:val="23"/>
        </w:rPr>
        <w:t xml:space="preserve">CUARTO.- </w:t>
      </w:r>
      <w:r w:rsidR="00317E93" w:rsidRPr="003B66F5">
        <w:rPr>
          <w:rFonts w:eastAsia="Arial" w:cstheme="minorHAnsi"/>
          <w:sz w:val="23"/>
          <w:szCs w:val="23"/>
        </w:rPr>
        <w:t xml:space="preserve">El día </w:t>
      </w:r>
      <w:r w:rsidR="003B66F5">
        <w:rPr>
          <w:rFonts w:cstheme="minorHAnsi"/>
          <w:sz w:val="23"/>
          <w:szCs w:val="23"/>
        </w:rPr>
        <w:t xml:space="preserve">12 de septiembre de </w:t>
      </w:r>
      <w:r w:rsidR="003B66F5" w:rsidRPr="003B66F5">
        <w:rPr>
          <w:rFonts w:cstheme="minorHAnsi"/>
          <w:sz w:val="23"/>
          <w:szCs w:val="23"/>
        </w:rPr>
        <w:t xml:space="preserve">2014 </w:t>
      </w:r>
      <w:r w:rsidR="003B66F5">
        <w:rPr>
          <w:rFonts w:cstheme="minorHAnsi"/>
          <w:sz w:val="23"/>
          <w:szCs w:val="23"/>
        </w:rPr>
        <w:t>mediante acta de sesión del Consejo Ge</w:t>
      </w:r>
      <w:r w:rsidR="00867DE3">
        <w:rPr>
          <w:rFonts w:cstheme="minorHAnsi"/>
          <w:sz w:val="23"/>
          <w:szCs w:val="23"/>
        </w:rPr>
        <w:t xml:space="preserve">neral </w:t>
      </w:r>
      <w:r w:rsidR="003B66F5">
        <w:rPr>
          <w:rFonts w:cstheme="minorHAnsi"/>
          <w:sz w:val="23"/>
          <w:szCs w:val="23"/>
        </w:rPr>
        <w:t xml:space="preserve">radicada en el acta con número </w:t>
      </w:r>
      <w:r w:rsidR="003B66F5" w:rsidRPr="003B66F5">
        <w:rPr>
          <w:rFonts w:cstheme="minorHAnsi"/>
          <w:sz w:val="23"/>
          <w:szCs w:val="23"/>
        </w:rPr>
        <w:t>058/2014</w:t>
      </w:r>
      <w:r w:rsidR="003B66F5">
        <w:rPr>
          <w:rFonts w:cstheme="minorHAnsi"/>
          <w:sz w:val="23"/>
          <w:szCs w:val="23"/>
        </w:rPr>
        <w:t>, se autorizó la suscripción de contratos de a</w:t>
      </w:r>
      <w:r w:rsidR="00A565B2" w:rsidRPr="003B66F5">
        <w:rPr>
          <w:rFonts w:cstheme="minorHAnsi"/>
          <w:sz w:val="23"/>
          <w:szCs w:val="23"/>
        </w:rPr>
        <w:t>rrendamiento</w:t>
      </w:r>
      <w:r w:rsidR="003B66F5">
        <w:t xml:space="preserve"> de bienes m</w:t>
      </w:r>
      <w:r w:rsidR="00A565B2">
        <w:t>uebles de tres vehículo</w:t>
      </w:r>
      <w:r w:rsidR="003B66F5">
        <w:t>s</w:t>
      </w:r>
      <w:r w:rsidR="00500CB6">
        <w:t>.</w:t>
      </w:r>
    </w:p>
    <w:p w:rsidR="00964E80" w:rsidRPr="00784449" w:rsidRDefault="00317E93" w:rsidP="00964E80">
      <w:pPr>
        <w:shd w:val="clear" w:color="auto" w:fill="FFFFFF"/>
        <w:jc w:val="both"/>
        <w:rPr>
          <w:rFonts w:eastAsia="Arial" w:cs="Arial"/>
          <w:sz w:val="23"/>
          <w:szCs w:val="23"/>
        </w:rPr>
      </w:pPr>
      <w:r>
        <w:rPr>
          <w:rFonts w:eastAsia="Arial" w:cs="Arial"/>
          <w:b/>
          <w:sz w:val="23"/>
          <w:szCs w:val="23"/>
        </w:rPr>
        <w:t>QUIN</w:t>
      </w:r>
      <w:r w:rsidRPr="00784449">
        <w:rPr>
          <w:rFonts w:eastAsia="Arial" w:cs="Arial"/>
          <w:b/>
          <w:sz w:val="23"/>
          <w:szCs w:val="23"/>
        </w:rPr>
        <w:t xml:space="preserve">TO.- </w:t>
      </w:r>
      <w:r w:rsidR="00964E80" w:rsidRPr="00784449">
        <w:rPr>
          <w:rFonts w:eastAsia="Arial" w:cs="Arial"/>
          <w:sz w:val="23"/>
          <w:szCs w:val="23"/>
        </w:rPr>
        <w:t>El 31 de diciembre de 2010 se publicó en el Diario Oficial del Gobierno del Estado, el Decreto 364, a través del cual se expide la Ley de Presupuesto y Contabilidad Gubernamental del Estado de Yucatán</w:t>
      </w:r>
      <w:r w:rsidR="001C6CE0">
        <w:rPr>
          <w:rFonts w:eastAsia="Arial" w:cs="Arial"/>
          <w:sz w:val="23"/>
          <w:szCs w:val="23"/>
        </w:rPr>
        <w:t>, vigente</w:t>
      </w:r>
      <w:r w:rsidR="00964E80" w:rsidRPr="00784449">
        <w:rPr>
          <w:rFonts w:eastAsia="Arial" w:cs="Arial"/>
          <w:sz w:val="23"/>
          <w:szCs w:val="23"/>
        </w:rPr>
        <w:t>.</w:t>
      </w:r>
    </w:p>
    <w:p w:rsidR="009C7632" w:rsidRPr="00784449" w:rsidRDefault="009C7632" w:rsidP="00671BBA">
      <w:pPr>
        <w:jc w:val="center"/>
        <w:rPr>
          <w:b/>
          <w:sz w:val="23"/>
          <w:szCs w:val="23"/>
        </w:rPr>
      </w:pPr>
      <w:r w:rsidRPr="00784449">
        <w:rPr>
          <w:b/>
          <w:sz w:val="23"/>
          <w:szCs w:val="23"/>
        </w:rPr>
        <w:lastRenderedPageBreak/>
        <w:t>CONSIDERANDOS</w:t>
      </w:r>
    </w:p>
    <w:p w:rsidR="009C7632" w:rsidRPr="00784449" w:rsidRDefault="009C7632" w:rsidP="00671BBA">
      <w:pPr>
        <w:jc w:val="both"/>
        <w:rPr>
          <w:sz w:val="23"/>
          <w:szCs w:val="23"/>
        </w:rPr>
      </w:pPr>
      <w:r w:rsidRPr="00784449">
        <w:rPr>
          <w:b/>
          <w:sz w:val="23"/>
          <w:szCs w:val="23"/>
        </w:rPr>
        <w:t>PRIMERO.-</w:t>
      </w:r>
      <w:r w:rsidRPr="00784449">
        <w:rPr>
          <w:sz w:val="23"/>
          <w:szCs w:val="23"/>
        </w:rPr>
        <w:t xml:space="preserve"> Que de conformidad con el artículo 10 y 14 de la Ley de Transparencia y Acceso a la Información Pública del Estado de Yucatán, </w:t>
      </w:r>
      <w:r w:rsidRPr="00784449">
        <w:rPr>
          <w:rFonts w:cs="Arial"/>
          <w:sz w:val="23"/>
          <w:szCs w:val="23"/>
        </w:rPr>
        <w:t xml:space="preserve">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general, esta ley y demás disposiciones normativas aplicables, </w:t>
      </w:r>
      <w:r w:rsidRPr="00784449">
        <w:rPr>
          <w:sz w:val="23"/>
          <w:szCs w:val="23"/>
        </w:rPr>
        <w:t>mismo que se encuentra integrado por el pleno y las unidades administrativas que determine el reglamento interior de conformidad con la disponibilidad presupuestal.</w:t>
      </w:r>
    </w:p>
    <w:p w:rsidR="009C7632" w:rsidRPr="00784449" w:rsidRDefault="009C7632" w:rsidP="00671BBA">
      <w:pPr>
        <w:autoSpaceDE w:val="0"/>
        <w:autoSpaceDN w:val="0"/>
        <w:adjustRightInd w:val="0"/>
        <w:jc w:val="both"/>
        <w:rPr>
          <w:sz w:val="23"/>
          <w:szCs w:val="23"/>
        </w:rPr>
      </w:pPr>
      <w:r w:rsidRPr="00784449">
        <w:rPr>
          <w:b/>
          <w:sz w:val="23"/>
          <w:szCs w:val="23"/>
        </w:rPr>
        <w:t xml:space="preserve">SEGUNDO.- </w:t>
      </w:r>
      <w:r w:rsidRPr="00784449">
        <w:rPr>
          <w:sz w:val="23"/>
          <w:szCs w:val="23"/>
        </w:rPr>
        <w:t xml:space="preserve">Que de acuerdo a la fracción V del artículo 15 de la Ley de </w:t>
      </w:r>
      <w:r w:rsidR="00EE0932" w:rsidRPr="00784449">
        <w:rPr>
          <w:sz w:val="23"/>
          <w:szCs w:val="23"/>
        </w:rPr>
        <w:t>Transparencia y Acceso a la Información Pública del Estado de Yucatán</w:t>
      </w:r>
      <w:r w:rsidRPr="00784449">
        <w:rPr>
          <w:sz w:val="23"/>
          <w:szCs w:val="23"/>
        </w:rPr>
        <w:t xml:space="preserve">, serán atribuciones del Pleno del Instituto, </w:t>
      </w:r>
      <w:r w:rsidR="00DB615B" w:rsidRPr="00784449">
        <w:rPr>
          <w:sz w:val="23"/>
          <w:szCs w:val="23"/>
        </w:rPr>
        <w:t>evaluar, aprobar, y dar seguimiento a los proyectos de presupuestos de ingresos y egresos del INAIP</w:t>
      </w:r>
      <w:r w:rsidRPr="00784449">
        <w:rPr>
          <w:sz w:val="23"/>
          <w:szCs w:val="23"/>
        </w:rPr>
        <w:t>.</w:t>
      </w:r>
    </w:p>
    <w:p w:rsidR="009C7632" w:rsidRPr="00784449" w:rsidRDefault="009C7632" w:rsidP="00671BBA">
      <w:pPr>
        <w:jc w:val="both"/>
        <w:rPr>
          <w:sz w:val="23"/>
          <w:szCs w:val="23"/>
        </w:rPr>
      </w:pPr>
      <w:r w:rsidRPr="00784449">
        <w:rPr>
          <w:b/>
          <w:sz w:val="23"/>
          <w:szCs w:val="23"/>
        </w:rPr>
        <w:t xml:space="preserve">TERCERO.- </w:t>
      </w:r>
      <w:r w:rsidRPr="00784449">
        <w:rPr>
          <w:sz w:val="23"/>
          <w:szCs w:val="23"/>
        </w:rPr>
        <w:t xml:space="preserve">Que de conformidad con el artículo 8 fracción </w:t>
      </w:r>
      <w:r w:rsidR="00CD5F7B" w:rsidRPr="00784449">
        <w:rPr>
          <w:sz w:val="23"/>
          <w:szCs w:val="23"/>
        </w:rPr>
        <w:t xml:space="preserve">VIII </w:t>
      </w:r>
      <w:r w:rsidRPr="00784449">
        <w:rPr>
          <w:sz w:val="23"/>
          <w:szCs w:val="23"/>
        </w:rPr>
        <w:t>del Reglamento Interior del Instituto Estatal de Acceso a la Información Pública del Estado de Yucatán,</w:t>
      </w:r>
      <w:r w:rsidR="00F9694D" w:rsidRPr="00784449">
        <w:rPr>
          <w:sz w:val="23"/>
          <w:szCs w:val="23"/>
        </w:rPr>
        <w:t xml:space="preserve"> vigente,</w:t>
      </w:r>
      <w:r w:rsidRPr="00784449">
        <w:rPr>
          <w:sz w:val="23"/>
          <w:szCs w:val="23"/>
        </w:rPr>
        <w:t xml:space="preserve"> el Pleno es el encargado de aprobar </w:t>
      </w:r>
      <w:r w:rsidR="00CD5F7B" w:rsidRPr="00784449">
        <w:rPr>
          <w:sz w:val="23"/>
          <w:szCs w:val="23"/>
        </w:rPr>
        <w:t>las modificaciones a los planes, programas y aplicación del presupuesto del Instituto</w:t>
      </w:r>
      <w:r w:rsidRPr="00784449">
        <w:rPr>
          <w:sz w:val="23"/>
          <w:szCs w:val="23"/>
        </w:rPr>
        <w:t>.</w:t>
      </w:r>
    </w:p>
    <w:p w:rsidR="00964E80" w:rsidRPr="00784449" w:rsidRDefault="009C7632" w:rsidP="00671BBA">
      <w:pPr>
        <w:jc w:val="both"/>
        <w:rPr>
          <w:sz w:val="23"/>
          <w:szCs w:val="23"/>
        </w:rPr>
      </w:pPr>
      <w:r w:rsidRPr="00784449">
        <w:rPr>
          <w:b/>
          <w:sz w:val="23"/>
          <w:szCs w:val="23"/>
        </w:rPr>
        <w:t>CUARTO.-</w:t>
      </w:r>
      <w:r w:rsidRPr="00784449">
        <w:rPr>
          <w:sz w:val="23"/>
          <w:szCs w:val="23"/>
        </w:rPr>
        <w:t xml:space="preserve"> </w:t>
      </w:r>
      <w:r w:rsidR="00D0143D" w:rsidRPr="00784449">
        <w:rPr>
          <w:sz w:val="23"/>
          <w:szCs w:val="23"/>
        </w:rPr>
        <w:t xml:space="preserve">Que en el capítulo VIII titulado “De los vehículos”, en su numeral 131 de las </w:t>
      </w:r>
      <w:r w:rsidR="00D0143D" w:rsidRPr="00784449">
        <w:rPr>
          <w:rFonts w:eastAsia="Arial" w:cs="Arial"/>
          <w:sz w:val="23"/>
          <w:szCs w:val="23"/>
        </w:rPr>
        <w:t>Políticas Administrativas y Financieras del INAIP</w:t>
      </w:r>
      <w:r w:rsidR="00D0143D" w:rsidRPr="00784449">
        <w:rPr>
          <w:sz w:val="23"/>
          <w:szCs w:val="23"/>
        </w:rPr>
        <w:t xml:space="preserve">, vigentes, se indica que el Instituto cuenta con facultades suficiente para comprar, arrendar o en su caso adquirir en comodato los vehículos que necesite para el desempeño de sus funciones, lo anterior, mediante autorización del Pleno plasmado en el acuerdo respectivo, en el que se autorice la compra, arrendamiento o comodato del vehículo en cuestión, y se señalen las siguientes características:  </w:t>
      </w:r>
    </w:p>
    <w:p w:rsidR="00D0143D" w:rsidRPr="00784449" w:rsidRDefault="00D0143D" w:rsidP="00671BBA">
      <w:pPr>
        <w:pStyle w:val="Prrafodelista"/>
        <w:numPr>
          <w:ilvl w:val="0"/>
          <w:numId w:val="3"/>
        </w:numPr>
        <w:jc w:val="both"/>
        <w:rPr>
          <w:sz w:val="23"/>
          <w:szCs w:val="23"/>
        </w:rPr>
      </w:pPr>
      <w:r w:rsidRPr="00784449">
        <w:rPr>
          <w:sz w:val="23"/>
          <w:szCs w:val="23"/>
        </w:rPr>
        <w:t>Año, modelo, número de puertas y capacidad de pasajeros;</w:t>
      </w:r>
    </w:p>
    <w:p w:rsidR="00D0143D" w:rsidRPr="00784449" w:rsidRDefault="00D0143D" w:rsidP="00671BBA">
      <w:pPr>
        <w:pStyle w:val="Prrafodelista"/>
        <w:numPr>
          <w:ilvl w:val="0"/>
          <w:numId w:val="3"/>
        </w:numPr>
        <w:jc w:val="both"/>
        <w:rPr>
          <w:sz w:val="23"/>
          <w:szCs w:val="23"/>
        </w:rPr>
      </w:pPr>
      <w:r w:rsidRPr="00784449">
        <w:rPr>
          <w:sz w:val="23"/>
          <w:szCs w:val="23"/>
        </w:rPr>
        <w:t>Valor máximo del vehículo o del monto máximo del arrendamiento, según sea el caso; y</w:t>
      </w:r>
    </w:p>
    <w:p w:rsidR="00964E80" w:rsidRPr="00784449" w:rsidRDefault="00D0143D" w:rsidP="00671BBA">
      <w:pPr>
        <w:pStyle w:val="Prrafodelista"/>
        <w:numPr>
          <w:ilvl w:val="0"/>
          <w:numId w:val="3"/>
        </w:numPr>
        <w:jc w:val="both"/>
        <w:rPr>
          <w:sz w:val="23"/>
          <w:szCs w:val="23"/>
        </w:rPr>
      </w:pPr>
      <w:r w:rsidRPr="00784449">
        <w:rPr>
          <w:sz w:val="23"/>
          <w:szCs w:val="23"/>
        </w:rPr>
        <w:t>Tipo, modalidad y/o plazo del contrato correspondiente.</w:t>
      </w:r>
    </w:p>
    <w:p w:rsidR="00CE32D2" w:rsidRPr="00784449" w:rsidRDefault="00D0143D" w:rsidP="00671BBA">
      <w:pPr>
        <w:jc w:val="both"/>
        <w:rPr>
          <w:sz w:val="23"/>
          <w:szCs w:val="23"/>
        </w:rPr>
      </w:pPr>
      <w:r w:rsidRPr="00784449">
        <w:rPr>
          <w:b/>
          <w:sz w:val="23"/>
          <w:szCs w:val="23"/>
        </w:rPr>
        <w:t xml:space="preserve">QUINTO.- </w:t>
      </w:r>
      <w:r w:rsidR="009C7632" w:rsidRPr="00784449">
        <w:rPr>
          <w:sz w:val="23"/>
          <w:szCs w:val="23"/>
        </w:rPr>
        <w:t xml:space="preserve">Que </w:t>
      </w:r>
      <w:r w:rsidR="00CE32D2" w:rsidRPr="00784449">
        <w:rPr>
          <w:sz w:val="23"/>
          <w:szCs w:val="23"/>
        </w:rPr>
        <w:t>en los artículos 5, 6 y 7 de la Ley de Presupuesto y Contabilidad Gubernamental del Estado de Yucatán</w:t>
      </w:r>
      <w:r w:rsidR="00B36E77" w:rsidRPr="00784449">
        <w:rPr>
          <w:sz w:val="23"/>
          <w:szCs w:val="23"/>
        </w:rPr>
        <w:t>, señala a los organismos</w:t>
      </w:r>
      <w:r w:rsidR="00CE32D2" w:rsidRPr="00784449">
        <w:rPr>
          <w:sz w:val="23"/>
          <w:szCs w:val="23"/>
        </w:rPr>
        <w:t xml:space="preserve"> autónomos como ejecutores de gasto del Gobierno del Estado, así como </w:t>
      </w:r>
      <w:r w:rsidR="00BC7DE3" w:rsidRPr="00784449">
        <w:rPr>
          <w:sz w:val="23"/>
          <w:szCs w:val="23"/>
        </w:rPr>
        <w:t>cuáles</w:t>
      </w:r>
      <w:r w:rsidR="00CE32D2" w:rsidRPr="00784449">
        <w:rPr>
          <w:sz w:val="23"/>
          <w:szCs w:val="23"/>
        </w:rPr>
        <w:t xml:space="preserve"> son sus funciones </w:t>
      </w:r>
      <w:r w:rsidR="00B36E77" w:rsidRPr="00784449">
        <w:rPr>
          <w:sz w:val="23"/>
          <w:szCs w:val="23"/>
        </w:rPr>
        <w:t>y obligaciones.</w:t>
      </w:r>
    </w:p>
    <w:p w:rsidR="00DD5774" w:rsidRPr="00784449" w:rsidRDefault="00357A26" w:rsidP="00671BBA">
      <w:pPr>
        <w:jc w:val="both"/>
        <w:rPr>
          <w:sz w:val="23"/>
          <w:szCs w:val="23"/>
        </w:rPr>
      </w:pPr>
      <w:r w:rsidRPr="00784449">
        <w:rPr>
          <w:b/>
          <w:sz w:val="23"/>
          <w:szCs w:val="23"/>
        </w:rPr>
        <w:lastRenderedPageBreak/>
        <w:t xml:space="preserve">SEXTO.- </w:t>
      </w:r>
      <w:r w:rsidR="001B4A49" w:rsidRPr="00784449">
        <w:rPr>
          <w:sz w:val="23"/>
          <w:szCs w:val="23"/>
        </w:rPr>
        <w:t xml:space="preserve">Que de conformidad con lo dispuesto en el artículo 71 </w:t>
      </w:r>
      <w:r w:rsidR="00B50FB0" w:rsidRPr="00784449">
        <w:rPr>
          <w:sz w:val="23"/>
          <w:szCs w:val="23"/>
        </w:rPr>
        <w:t>párrafo</w:t>
      </w:r>
      <w:r w:rsidR="00EB169F" w:rsidRPr="00784449">
        <w:rPr>
          <w:sz w:val="23"/>
          <w:szCs w:val="23"/>
        </w:rPr>
        <w:t xml:space="preserve"> cuarto </w:t>
      </w:r>
      <w:r w:rsidR="001B4A49" w:rsidRPr="00784449">
        <w:rPr>
          <w:sz w:val="23"/>
          <w:szCs w:val="23"/>
        </w:rPr>
        <w:t>de la Ley de Presupuesto y Contabilidad Gubernamental del Estado de Yucatán, los organismos autónomos, a través de sus autoridades competentes, podrán autorizar la celebración de contratos plurianuales siempre y cuando cumplan lo dispuesto y</w:t>
      </w:r>
      <w:r w:rsidR="007427EF">
        <w:rPr>
          <w:sz w:val="23"/>
          <w:szCs w:val="23"/>
        </w:rPr>
        <w:t xml:space="preserve"> emitan normas generales</w:t>
      </w:r>
      <w:r w:rsidR="001B4A49" w:rsidRPr="00784449">
        <w:rPr>
          <w:sz w:val="23"/>
          <w:szCs w:val="23"/>
        </w:rPr>
        <w:t xml:space="preserve"> para su justificación y autorización.</w:t>
      </w:r>
    </w:p>
    <w:p w:rsidR="00867DE3" w:rsidRPr="00867DE3" w:rsidRDefault="00357A26" w:rsidP="00671BBA">
      <w:pPr>
        <w:jc w:val="both"/>
        <w:rPr>
          <w:sz w:val="23"/>
          <w:szCs w:val="23"/>
        </w:rPr>
      </w:pPr>
      <w:r w:rsidRPr="00784449">
        <w:rPr>
          <w:b/>
          <w:sz w:val="23"/>
          <w:szCs w:val="23"/>
        </w:rPr>
        <w:t xml:space="preserve">SÉPTIMO.- </w:t>
      </w:r>
      <w:r w:rsidR="00867DE3">
        <w:rPr>
          <w:sz w:val="23"/>
          <w:szCs w:val="23"/>
        </w:rPr>
        <w:t xml:space="preserve">Que de conformidad a lo aprobado el día </w:t>
      </w:r>
      <w:r w:rsidR="00867DE3">
        <w:rPr>
          <w:rFonts w:cstheme="minorHAnsi"/>
          <w:sz w:val="23"/>
          <w:szCs w:val="23"/>
        </w:rPr>
        <w:t xml:space="preserve">12 de septiembre de </w:t>
      </w:r>
      <w:r w:rsidR="00867DE3" w:rsidRPr="003B66F5">
        <w:rPr>
          <w:rFonts w:cstheme="minorHAnsi"/>
          <w:sz w:val="23"/>
          <w:szCs w:val="23"/>
        </w:rPr>
        <w:t xml:space="preserve">2014 </w:t>
      </w:r>
      <w:r w:rsidR="00867DE3">
        <w:rPr>
          <w:rFonts w:cstheme="minorHAnsi"/>
          <w:sz w:val="23"/>
          <w:szCs w:val="23"/>
        </w:rPr>
        <w:t xml:space="preserve">mediante acta de sesión del Consejo General radicada en el acta con número </w:t>
      </w:r>
      <w:r w:rsidR="00867DE3" w:rsidRPr="003B66F5">
        <w:rPr>
          <w:rFonts w:cstheme="minorHAnsi"/>
          <w:sz w:val="23"/>
          <w:szCs w:val="23"/>
        </w:rPr>
        <w:t>058/201</w:t>
      </w:r>
      <w:r w:rsidR="00867DE3">
        <w:rPr>
          <w:rFonts w:cstheme="minorHAnsi"/>
          <w:sz w:val="23"/>
          <w:szCs w:val="23"/>
        </w:rPr>
        <w:t>4</w:t>
      </w:r>
      <w:r w:rsidR="0072261D">
        <w:rPr>
          <w:rFonts w:cstheme="minorHAnsi"/>
          <w:sz w:val="23"/>
          <w:szCs w:val="23"/>
        </w:rPr>
        <w:t>, se procedió a la firma de los</w:t>
      </w:r>
      <w:r w:rsidR="00867DE3">
        <w:rPr>
          <w:rFonts w:cstheme="minorHAnsi"/>
          <w:sz w:val="23"/>
          <w:szCs w:val="23"/>
        </w:rPr>
        <w:t xml:space="preserve"> contratos </w:t>
      </w:r>
      <w:r w:rsidR="0072261D">
        <w:rPr>
          <w:sz w:val="23"/>
          <w:szCs w:val="23"/>
        </w:rPr>
        <w:t>marcados con los números A01479, A01478 y A01480 los cuales tienen como período de arrendamiento del 06 de octubre del 2014 al 06 de abril de 2016, del 06 de octubre del 2014 al 06 de abril de 2017 y del 27 de octubre del 2014 al 27 de abril de 2017, respectivamente.</w:t>
      </w:r>
    </w:p>
    <w:p w:rsidR="00D010D8" w:rsidRDefault="0072261D" w:rsidP="00671BBA">
      <w:pPr>
        <w:jc w:val="both"/>
        <w:rPr>
          <w:sz w:val="23"/>
          <w:szCs w:val="23"/>
        </w:rPr>
      </w:pPr>
      <w:r w:rsidRPr="0072261D">
        <w:rPr>
          <w:b/>
          <w:sz w:val="23"/>
          <w:szCs w:val="23"/>
        </w:rPr>
        <w:t>OCTAVO.-</w:t>
      </w:r>
      <w:r w:rsidRPr="0072261D">
        <w:rPr>
          <w:sz w:val="23"/>
          <w:szCs w:val="23"/>
        </w:rPr>
        <w:t xml:space="preserve"> </w:t>
      </w:r>
      <w:r w:rsidR="00357A26" w:rsidRPr="0072261D">
        <w:rPr>
          <w:sz w:val="23"/>
          <w:szCs w:val="23"/>
        </w:rPr>
        <w:t>Que</w:t>
      </w:r>
      <w:r w:rsidR="00832B19" w:rsidRPr="0072261D">
        <w:rPr>
          <w:sz w:val="23"/>
          <w:szCs w:val="23"/>
        </w:rPr>
        <w:t xml:space="preserve"> en términos de</w:t>
      </w:r>
      <w:r w:rsidR="00357A26" w:rsidRPr="0072261D">
        <w:rPr>
          <w:sz w:val="23"/>
          <w:szCs w:val="23"/>
        </w:rPr>
        <w:t xml:space="preserve"> lo establecido </w:t>
      </w:r>
      <w:r w:rsidR="00832B19" w:rsidRPr="0072261D">
        <w:rPr>
          <w:sz w:val="23"/>
          <w:szCs w:val="23"/>
        </w:rPr>
        <w:t>en los considerandos que anteceden al presente</w:t>
      </w:r>
      <w:r w:rsidR="00357A26" w:rsidRPr="0072261D">
        <w:rPr>
          <w:sz w:val="23"/>
          <w:szCs w:val="23"/>
        </w:rPr>
        <w:t xml:space="preserve">, el </w:t>
      </w:r>
      <w:r w:rsidR="00CA7826" w:rsidRPr="0072261D">
        <w:rPr>
          <w:sz w:val="23"/>
          <w:szCs w:val="23"/>
        </w:rPr>
        <w:t xml:space="preserve">Pleno del </w:t>
      </w:r>
      <w:r w:rsidR="00357A26" w:rsidRPr="0072261D">
        <w:rPr>
          <w:sz w:val="23"/>
          <w:szCs w:val="23"/>
        </w:rPr>
        <w:t>INAIP</w:t>
      </w:r>
      <w:r w:rsidR="00CA7826" w:rsidRPr="0072261D">
        <w:rPr>
          <w:sz w:val="23"/>
          <w:szCs w:val="23"/>
        </w:rPr>
        <w:t xml:space="preserve"> </w:t>
      </w:r>
      <w:r w:rsidR="00357A26" w:rsidRPr="0072261D">
        <w:rPr>
          <w:sz w:val="23"/>
          <w:szCs w:val="23"/>
        </w:rPr>
        <w:t xml:space="preserve">considera </w:t>
      </w:r>
      <w:r w:rsidR="00832B19" w:rsidRPr="0072261D">
        <w:rPr>
          <w:sz w:val="23"/>
          <w:szCs w:val="23"/>
        </w:rPr>
        <w:t xml:space="preserve">pertinente llevar a cabo la suscripción de contratos de arrendamiento </w:t>
      </w:r>
      <w:r w:rsidR="00D010D8" w:rsidRPr="0072261D">
        <w:rPr>
          <w:sz w:val="23"/>
          <w:szCs w:val="23"/>
        </w:rPr>
        <w:t>puro de bienes muebles de dos</w:t>
      </w:r>
      <w:r w:rsidR="00357A26" w:rsidRPr="0072261D">
        <w:rPr>
          <w:sz w:val="23"/>
          <w:szCs w:val="23"/>
        </w:rPr>
        <w:t xml:space="preserve"> vehículos</w:t>
      </w:r>
      <w:r w:rsidR="00D010D8" w:rsidRPr="0072261D">
        <w:rPr>
          <w:sz w:val="23"/>
          <w:szCs w:val="23"/>
        </w:rPr>
        <w:t>, toda vez que en el presente mes se termina</w:t>
      </w:r>
      <w:r w:rsidR="004C6298" w:rsidRPr="0072261D">
        <w:rPr>
          <w:sz w:val="23"/>
          <w:szCs w:val="23"/>
        </w:rPr>
        <w:t>n los</w:t>
      </w:r>
      <w:r w:rsidR="00D010D8" w:rsidRPr="0072261D">
        <w:rPr>
          <w:sz w:val="23"/>
          <w:szCs w:val="23"/>
        </w:rPr>
        <w:t xml:space="preserve"> contrato de arrendamiento puro de dos de los vehículos que conf</w:t>
      </w:r>
      <w:r w:rsidR="004C6298" w:rsidRPr="0072261D">
        <w:rPr>
          <w:sz w:val="23"/>
          <w:szCs w:val="23"/>
        </w:rPr>
        <w:t>o</w:t>
      </w:r>
      <w:r>
        <w:rPr>
          <w:sz w:val="23"/>
          <w:szCs w:val="23"/>
        </w:rPr>
        <w:t xml:space="preserve">rman la flotilla del instituto </w:t>
      </w:r>
      <w:r w:rsidR="00D010D8" w:rsidRPr="0072261D">
        <w:rPr>
          <w:sz w:val="23"/>
          <w:szCs w:val="23"/>
        </w:rPr>
        <w:t xml:space="preserve">y de acuerdo a la alza de precios es indispensable concluir ambos el día </w:t>
      </w:r>
      <w:r w:rsidR="00500CB6">
        <w:rPr>
          <w:sz w:val="23"/>
          <w:szCs w:val="23"/>
        </w:rPr>
        <w:t>seis</w:t>
      </w:r>
      <w:r w:rsidR="00D010D8" w:rsidRPr="0072261D">
        <w:rPr>
          <w:sz w:val="23"/>
          <w:szCs w:val="23"/>
        </w:rPr>
        <w:t xml:space="preserve"> del presente mes y año</w:t>
      </w:r>
      <w:r w:rsidR="00460042" w:rsidRPr="0072261D">
        <w:rPr>
          <w:sz w:val="23"/>
          <w:szCs w:val="23"/>
        </w:rPr>
        <w:t xml:space="preserve"> para así dar trámite oportuno a los contratos para adquirir los vehículos</w:t>
      </w:r>
      <w:r w:rsidR="00D010D8" w:rsidRPr="0072261D">
        <w:rPr>
          <w:sz w:val="23"/>
          <w:szCs w:val="23"/>
        </w:rPr>
        <w:t>.</w:t>
      </w:r>
      <w:r w:rsidR="00357A26" w:rsidRPr="00784449">
        <w:rPr>
          <w:sz w:val="23"/>
          <w:szCs w:val="23"/>
        </w:rPr>
        <w:t xml:space="preserve"> </w:t>
      </w:r>
    </w:p>
    <w:p w:rsidR="005E0E19" w:rsidRPr="00784449" w:rsidRDefault="00500CB6" w:rsidP="00671BBA">
      <w:pPr>
        <w:jc w:val="both"/>
        <w:rPr>
          <w:sz w:val="23"/>
          <w:szCs w:val="23"/>
        </w:rPr>
      </w:pPr>
      <w:r>
        <w:rPr>
          <w:b/>
          <w:sz w:val="23"/>
          <w:szCs w:val="23"/>
        </w:rPr>
        <w:t>NOVENO</w:t>
      </w:r>
      <w:r w:rsidR="00D010D8" w:rsidRPr="00D010D8">
        <w:rPr>
          <w:b/>
          <w:sz w:val="23"/>
          <w:szCs w:val="23"/>
        </w:rPr>
        <w:t>.-</w:t>
      </w:r>
      <w:r w:rsidR="00D010D8">
        <w:rPr>
          <w:sz w:val="23"/>
          <w:szCs w:val="23"/>
        </w:rPr>
        <w:t xml:space="preserve"> Que de conformidad a lo establecido en el </w:t>
      </w:r>
      <w:r w:rsidR="00A155F6">
        <w:rPr>
          <w:sz w:val="23"/>
          <w:szCs w:val="23"/>
        </w:rPr>
        <w:t xml:space="preserve">considerando CUARTO, a continuación se especifican las </w:t>
      </w:r>
      <w:r w:rsidR="00832B19" w:rsidRPr="00784449">
        <w:rPr>
          <w:sz w:val="23"/>
          <w:szCs w:val="23"/>
        </w:rPr>
        <w:t>características</w:t>
      </w:r>
      <w:r w:rsidR="00A155F6">
        <w:rPr>
          <w:sz w:val="23"/>
          <w:szCs w:val="23"/>
        </w:rPr>
        <w:t xml:space="preserve"> de los vehículos que se arrendarán</w:t>
      </w:r>
      <w:r w:rsidR="00832B19" w:rsidRPr="00784449">
        <w:rPr>
          <w:sz w:val="23"/>
          <w:szCs w:val="23"/>
        </w:rPr>
        <w:t xml:space="preserve">: </w:t>
      </w:r>
    </w:p>
    <w:p w:rsidR="005D66B3" w:rsidRDefault="00D52477" w:rsidP="005D66B3">
      <w:pPr>
        <w:jc w:val="both"/>
        <w:rPr>
          <w:sz w:val="23"/>
          <w:szCs w:val="23"/>
        </w:rPr>
      </w:pPr>
      <w:r>
        <w:rPr>
          <w:sz w:val="23"/>
          <w:szCs w:val="23"/>
        </w:rPr>
        <w:t>Dos</w:t>
      </w:r>
      <w:r w:rsidR="005D66B3" w:rsidRPr="00784449">
        <w:rPr>
          <w:sz w:val="23"/>
          <w:szCs w:val="23"/>
        </w:rPr>
        <w:t xml:space="preserve"> autos </w:t>
      </w:r>
      <w:r w:rsidR="00E409EE">
        <w:rPr>
          <w:sz w:val="23"/>
          <w:szCs w:val="23"/>
        </w:rPr>
        <w:t>“</w:t>
      </w:r>
      <w:r>
        <w:rPr>
          <w:sz w:val="23"/>
          <w:szCs w:val="23"/>
        </w:rPr>
        <w:t>Mazda</w:t>
      </w:r>
      <w:r w:rsidR="00E409EE">
        <w:rPr>
          <w:sz w:val="23"/>
          <w:szCs w:val="23"/>
        </w:rPr>
        <w:t>”</w:t>
      </w:r>
      <w:r w:rsidR="005D66B3" w:rsidRPr="00784449">
        <w:rPr>
          <w:sz w:val="23"/>
          <w:szCs w:val="23"/>
        </w:rPr>
        <w:t xml:space="preserve"> con las siguientes características:</w:t>
      </w:r>
    </w:p>
    <w:p w:rsidR="00C115CD" w:rsidRPr="00784449" w:rsidRDefault="00C115CD" w:rsidP="005D66B3">
      <w:pPr>
        <w:jc w:val="both"/>
        <w:rPr>
          <w:sz w:val="23"/>
          <w:szCs w:val="23"/>
        </w:rPr>
      </w:pPr>
    </w:p>
    <w:tbl>
      <w:tblPr>
        <w:tblStyle w:val="Tablaconcuadrcula"/>
        <w:tblW w:w="0" w:type="auto"/>
        <w:jc w:val="center"/>
        <w:tblLook w:val="04A0" w:firstRow="1" w:lastRow="0" w:firstColumn="1" w:lastColumn="0" w:noHBand="0" w:noVBand="1"/>
      </w:tblPr>
      <w:tblGrid>
        <w:gridCol w:w="845"/>
        <w:gridCol w:w="944"/>
        <w:gridCol w:w="928"/>
        <w:gridCol w:w="1182"/>
        <w:gridCol w:w="1623"/>
        <w:gridCol w:w="825"/>
        <w:gridCol w:w="1167"/>
      </w:tblGrid>
      <w:tr w:rsidR="005D66B3" w:rsidRPr="00784449" w:rsidTr="00575369">
        <w:trPr>
          <w:jc w:val="center"/>
        </w:trPr>
        <w:tc>
          <w:tcPr>
            <w:tcW w:w="818" w:type="dxa"/>
          </w:tcPr>
          <w:p w:rsidR="005D66B3" w:rsidRPr="00784449" w:rsidRDefault="005D66B3" w:rsidP="00575369">
            <w:pPr>
              <w:jc w:val="center"/>
              <w:rPr>
                <w:sz w:val="23"/>
                <w:szCs w:val="23"/>
              </w:rPr>
            </w:pPr>
            <w:r w:rsidRPr="00784449">
              <w:rPr>
                <w:sz w:val="23"/>
                <w:szCs w:val="23"/>
              </w:rPr>
              <w:t>Marca</w:t>
            </w:r>
          </w:p>
        </w:tc>
        <w:tc>
          <w:tcPr>
            <w:tcW w:w="912" w:type="dxa"/>
          </w:tcPr>
          <w:p w:rsidR="005D66B3" w:rsidRPr="00784449" w:rsidRDefault="005D66B3" w:rsidP="00575369">
            <w:pPr>
              <w:jc w:val="center"/>
              <w:rPr>
                <w:sz w:val="23"/>
                <w:szCs w:val="23"/>
              </w:rPr>
            </w:pPr>
            <w:r w:rsidRPr="00784449">
              <w:rPr>
                <w:sz w:val="23"/>
                <w:szCs w:val="23"/>
              </w:rPr>
              <w:t>Modelo</w:t>
            </w:r>
          </w:p>
        </w:tc>
        <w:tc>
          <w:tcPr>
            <w:tcW w:w="898" w:type="dxa"/>
          </w:tcPr>
          <w:p w:rsidR="005D66B3" w:rsidRPr="00784449" w:rsidRDefault="005D66B3" w:rsidP="00575369">
            <w:pPr>
              <w:jc w:val="center"/>
              <w:rPr>
                <w:sz w:val="23"/>
                <w:szCs w:val="23"/>
              </w:rPr>
            </w:pPr>
            <w:r w:rsidRPr="00784449">
              <w:rPr>
                <w:sz w:val="23"/>
                <w:szCs w:val="23"/>
              </w:rPr>
              <w:t>No. de Puertas</w:t>
            </w:r>
          </w:p>
        </w:tc>
        <w:tc>
          <w:tcPr>
            <w:tcW w:w="1140" w:type="dxa"/>
          </w:tcPr>
          <w:p w:rsidR="005D66B3" w:rsidRPr="00784449" w:rsidRDefault="005D66B3" w:rsidP="00575369">
            <w:pPr>
              <w:jc w:val="center"/>
              <w:rPr>
                <w:sz w:val="23"/>
                <w:szCs w:val="23"/>
              </w:rPr>
            </w:pPr>
            <w:r w:rsidRPr="00784449">
              <w:rPr>
                <w:sz w:val="23"/>
                <w:szCs w:val="23"/>
              </w:rPr>
              <w:t>Capacidad de Pasajeros</w:t>
            </w:r>
          </w:p>
        </w:tc>
        <w:tc>
          <w:tcPr>
            <w:tcW w:w="1562" w:type="dxa"/>
          </w:tcPr>
          <w:p w:rsidR="005D66B3" w:rsidRPr="00784449" w:rsidRDefault="005D66B3" w:rsidP="00575369">
            <w:pPr>
              <w:jc w:val="center"/>
              <w:rPr>
                <w:sz w:val="23"/>
                <w:szCs w:val="23"/>
              </w:rPr>
            </w:pPr>
            <w:r w:rsidRPr="00784449">
              <w:rPr>
                <w:sz w:val="23"/>
                <w:szCs w:val="23"/>
              </w:rPr>
              <w:t>Valor máximo del vehículo o del monto máximo del arrendamiento</w:t>
            </w:r>
          </w:p>
        </w:tc>
        <w:tc>
          <w:tcPr>
            <w:tcW w:w="799" w:type="dxa"/>
          </w:tcPr>
          <w:p w:rsidR="005D66B3" w:rsidRPr="00784449" w:rsidRDefault="005D66B3" w:rsidP="00575369">
            <w:pPr>
              <w:jc w:val="center"/>
              <w:rPr>
                <w:sz w:val="23"/>
                <w:szCs w:val="23"/>
              </w:rPr>
            </w:pPr>
            <w:r w:rsidRPr="00784449">
              <w:rPr>
                <w:sz w:val="23"/>
                <w:szCs w:val="23"/>
              </w:rPr>
              <w:t>Tipo</w:t>
            </w:r>
          </w:p>
        </w:tc>
        <w:tc>
          <w:tcPr>
            <w:tcW w:w="1167" w:type="dxa"/>
          </w:tcPr>
          <w:p w:rsidR="005D66B3" w:rsidRPr="00784449" w:rsidRDefault="00645381" w:rsidP="00575369">
            <w:pPr>
              <w:jc w:val="center"/>
              <w:rPr>
                <w:sz w:val="23"/>
                <w:szCs w:val="23"/>
              </w:rPr>
            </w:pPr>
            <w:r w:rsidRPr="00784449">
              <w:rPr>
                <w:sz w:val="23"/>
                <w:szCs w:val="23"/>
              </w:rPr>
              <w:t>P</w:t>
            </w:r>
            <w:r w:rsidR="005D66B3" w:rsidRPr="00784449">
              <w:rPr>
                <w:sz w:val="23"/>
                <w:szCs w:val="23"/>
              </w:rPr>
              <w:t>lazo del contrato</w:t>
            </w:r>
          </w:p>
        </w:tc>
      </w:tr>
      <w:tr w:rsidR="005D66B3" w:rsidRPr="00784449" w:rsidTr="00575369">
        <w:trPr>
          <w:jc w:val="center"/>
        </w:trPr>
        <w:tc>
          <w:tcPr>
            <w:tcW w:w="818" w:type="dxa"/>
          </w:tcPr>
          <w:p w:rsidR="005D66B3" w:rsidRPr="00EA4FA8" w:rsidRDefault="00D52477" w:rsidP="00575369">
            <w:pPr>
              <w:rPr>
                <w:sz w:val="23"/>
                <w:szCs w:val="23"/>
              </w:rPr>
            </w:pPr>
            <w:r w:rsidRPr="00EA4FA8">
              <w:rPr>
                <w:sz w:val="23"/>
                <w:szCs w:val="23"/>
              </w:rPr>
              <w:t>Mazda</w:t>
            </w:r>
          </w:p>
        </w:tc>
        <w:tc>
          <w:tcPr>
            <w:tcW w:w="912" w:type="dxa"/>
          </w:tcPr>
          <w:p w:rsidR="005D66B3" w:rsidRPr="00EA4FA8" w:rsidRDefault="005D66B3" w:rsidP="00575369">
            <w:pPr>
              <w:jc w:val="center"/>
              <w:rPr>
                <w:sz w:val="23"/>
                <w:szCs w:val="23"/>
              </w:rPr>
            </w:pPr>
            <w:r w:rsidRPr="00EA4FA8">
              <w:rPr>
                <w:sz w:val="23"/>
                <w:szCs w:val="23"/>
              </w:rPr>
              <w:t>2017</w:t>
            </w:r>
          </w:p>
        </w:tc>
        <w:tc>
          <w:tcPr>
            <w:tcW w:w="898" w:type="dxa"/>
          </w:tcPr>
          <w:p w:rsidR="005D66B3" w:rsidRPr="00EA4FA8" w:rsidRDefault="005D66B3" w:rsidP="00575369">
            <w:pPr>
              <w:jc w:val="center"/>
              <w:rPr>
                <w:sz w:val="23"/>
                <w:szCs w:val="23"/>
              </w:rPr>
            </w:pPr>
            <w:r w:rsidRPr="00EA4FA8">
              <w:rPr>
                <w:sz w:val="23"/>
                <w:szCs w:val="23"/>
              </w:rPr>
              <w:t>4</w:t>
            </w:r>
          </w:p>
        </w:tc>
        <w:tc>
          <w:tcPr>
            <w:tcW w:w="1140" w:type="dxa"/>
          </w:tcPr>
          <w:p w:rsidR="005D66B3" w:rsidRPr="00EA4FA8" w:rsidRDefault="005D66B3" w:rsidP="00575369">
            <w:pPr>
              <w:jc w:val="center"/>
              <w:rPr>
                <w:sz w:val="23"/>
                <w:szCs w:val="23"/>
              </w:rPr>
            </w:pPr>
            <w:r w:rsidRPr="00EA4FA8">
              <w:rPr>
                <w:sz w:val="23"/>
                <w:szCs w:val="23"/>
              </w:rPr>
              <w:t>5</w:t>
            </w:r>
          </w:p>
        </w:tc>
        <w:tc>
          <w:tcPr>
            <w:tcW w:w="1562" w:type="dxa"/>
          </w:tcPr>
          <w:p w:rsidR="005D66B3" w:rsidRPr="00EA4FA8" w:rsidRDefault="00EA4FA8" w:rsidP="005D66B3">
            <w:pPr>
              <w:jc w:val="center"/>
              <w:rPr>
                <w:sz w:val="23"/>
                <w:szCs w:val="23"/>
              </w:rPr>
            </w:pPr>
            <w:r>
              <w:rPr>
                <w:sz w:val="23"/>
                <w:szCs w:val="23"/>
              </w:rPr>
              <w:t xml:space="preserve">$ </w:t>
            </w:r>
            <w:r w:rsidR="00C115CD">
              <w:rPr>
                <w:rFonts w:ascii="Arial" w:hAnsi="Arial" w:cs="Arial"/>
                <w:color w:val="222222"/>
                <w:sz w:val="19"/>
                <w:szCs w:val="19"/>
                <w:shd w:val="clear" w:color="auto" w:fill="FFFFFF"/>
              </w:rPr>
              <w:t>283,553.56</w:t>
            </w:r>
          </w:p>
        </w:tc>
        <w:tc>
          <w:tcPr>
            <w:tcW w:w="799" w:type="dxa"/>
          </w:tcPr>
          <w:p w:rsidR="005D66B3" w:rsidRPr="00EA4FA8" w:rsidRDefault="00873515" w:rsidP="00575369">
            <w:pPr>
              <w:jc w:val="center"/>
              <w:rPr>
                <w:sz w:val="23"/>
                <w:szCs w:val="23"/>
              </w:rPr>
            </w:pPr>
            <w:r w:rsidRPr="00EA4FA8">
              <w:rPr>
                <w:sz w:val="23"/>
                <w:szCs w:val="23"/>
              </w:rPr>
              <w:t>Nuevo</w:t>
            </w:r>
          </w:p>
        </w:tc>
        <w:tc>
          <w:tcPr>
            <w:tcW w:w="1167" w:type="dxa"/>
          </w:tcPr>
          <w:p w:rsidR="005D66B3" w:rsidRPr="00EA4FA8" w:rsidRDefault="00EA4FA8" w:rsidP="00575369">
            <w:pPr>
              <w:jc w:val="center"/>
              <w:rPr>
                <w:sz w:val="23"/>
                <w:szCs w:val="23"/>
              </w:rPr>
            </w:pPr>
            <w:r>
              <w:rPr>
                <w:sz w:val="23"/>
                <w:szCs w:val="23"/>
              </w:rPr>
              <w:t>19</w:t>
            </w:r>
            <w:r w:rsidR="005D66B3" w:rsidRPr="00EA4FA8">
              <w:rPr>
                <w:sz w:val="23"/>
                <w:szCs w:val="23"/>
              </w:rPr>
              <w:t xml:space="preserve"> meses</w:t>
            </w:r>
          </w:p>
        </w:tc>
      </w:tr>
    </w:tbl>
    <w:p w:rsidR="005D66B3" w:rsidRDefault="005D66B3" w:rsidP="00671BBA">
      <w:pPr>
        <w:jc w:val="both"/>
        <w:rPr>
          <w:sz w:val="23"/>
          <w:szCs w:val="23"/>
        </w:rPr>
      </w:pPr>
    </w:p>
    <w:tbl>
      <w:tblPr>
        <w:tblStyle w:val="Tablaconcuadrcula"/>
        <w:tblW w:w="0" w:type="auto"/>
        <w:jc w:val="center"/>
        <w:tblLook w:val="04A0" w:firstRow="1" w:lastRow="0" w:firstColumn="1" w:lastColumn="0" w:noHBand="0" w:noVBand="1"/>
      </w:tblPr>
      <w:tblGrid>
        <w:gridCol w:w="845"/>
        <w:gridCol w:w="944"/>
        <w:gridCol w:w="928"/>
        <w:gridCol w:w="1182"/>
        <w:gridCol w:w="1623"/>
        <w:gridCol w:w="825"/>
        <w:gridCol w:w="1167"/>
      </w:tblGrid>
      <w:tr w:rsidR="00873515" w:rsidRPr="00784449" w:rsidTr="00152426">
        <w:trPr>
          <w:jc w:val="center"/>
        </w:trPr>
        <w:tc>
          <w:tcPr>
            <w:tcW w:w="818" w:type="dxa"/>
          </w:tcPr>
          <w:p w:rsidR="00873515" w:rsidRPr="00784449" w:rsidRDefault="00873515" w:rsidP="00152426">
            <w:pPr>
              <w:jc w:val="center"/>
              <w:rPr>
                <w:sz w:val="23"/>
                <w:szCs w:val="23"/>
              </w:rPr>
            </w:pPr>
            <w:r w:rsidRPr="00784449">
              <w:rPr>
                <w:sz w:val="23"/>
                <w:szCs w:val="23"/>
              </w:rPr>
              <w:t>Marca</w:t>
            </w:r>
          </w:p>
        </w:tc>
        <w:tc>
          <w:tcPr>
            <w:tcW w:w="912" w:type="dxa"/>
          </w:tcPr>
          <w:p w:rsidR="00873515" w:rsidRPr="00784449" w:rsidRDefault="00873515" w:rsidP="00152426">
            <w:pPr>
              <w:jc w:val="center"/>
              <w:rPr>
                <w:sz w:val="23"/>
                <w:szCs w:val="23"/>
              </w:rPr>
            </w:pPr>
            <w:r w:rsidRPr="00784449">
              <w:rPr>
                <w:sz w:val="23"/>
                <w:szCs w:val="23"/>
              </w:rPr>
              <w:t>Modelo</w:t>
            </w:r>
          </w:p>
        </w:tc>
        <w:tc>
          <w:tcPr>
            <w:tcW w:w="898" w:type="dxa"/>
          </w:tcPr>
          <w:p w:rsidR="00873515" w:rsidRPr="00784449" w:rsidRDefault="00873515" w:rsidP="00152426">
            <w:pPr>
              <w:jc w:val="center"/>
              <w:rPr>
                <w:sz w:val="23"/>
                <w:szCs w:val="23"/>
              </w:rPr>
            </w:pPr>
            <w:r w:rsidRPr="00784449">
              <w:rPr>
                <w:sz w:val="23"/>
                <w:szCs w:val="23"/>
              </w:rPr>
              <w:t>No. de Puertas</w:t>
            </w:r>
          </w:p>
        </w:tc>
        <w:tc>
          <w:tcPr>
            <w:tcW w:w="1140" w:type="dxa"/>
          </w:tcPr>
          <w:p w:rsidR="00873515" w:rsidRPr="00784449" w:rsidRDefault="00873515" w:rsidP="00152426">
            <w:pPr>
              <w:jc w:val="center"/>
              <w:rPr>
                <w:sz w:val="23"/>
                <w:szCs w:val="23"/>
              </w:rPr>
            </w:pPr>
            <w:r w:rsidRPr="00784449">
              <w:rPr>
                <w:sz w:val="23"/>
                <w:szCs w:val="23"/>
              </w:rPr>
              <w:t>Capacidad de Pasajeros</w:t>
            </w:r>
          </w:p>
        </w:tc>
        <w:tc>
          <w:tcPr>
            <w:tcW w:w="1562" w:type="dxa"/>
          </w:tcPr>
          <w:p w:rsidR="00873515" w:rsidRPr="00784449" w:rsidRDefault="00873515" w:rsidP="00152426">
            <w:pPr>
              <w:jc w:val="center"/>
              <w:rPr>
                <w:sz w:val="23"/>
                <w:szCs w:val="23"/>
              </w:rPr>
            </w:pPr>
            <w:r w:rsidRPr="00784449">
              <w:rPr>
                <w:sz w:val="23"/>
                <w:szCs w:val="23"/>
              </w:rPr>
              <w:t>Valor máximo del vehículo o del monto máximo del arrendamiento</w:t>
            </w:r>
          </w:p>
        </w:tc>
        <w:tc>
          <w:tcPr>
            <w:tcW w:w="799" w:type="dxa"/>
          </w:tcPr>
          <w:p w:rsidR="00873515" w:rsidRPr="00784449" w:rsidRDefault="00873515" w:rsidP="00152426">
            <w:pPr>
              <w:jc w:val="center"/>
              <w:rPr>
                <w:sz w:val="23"/>
                <w:szCs w:val="23"/>
              </w:rPr>
            </w:pPr>
            <w:r w:rsidRPr="00784449">
              <w:rPr>
                <w:sz w:val="23"/>
                <w:szCs w:val="23"/>
              </w:rPr>
              <w:t>Tipo</w:t>
            </w:r>
          </w:p>
        </w:tc>
        <w:tc>
          <w:tcPr>
            <w:tcW w:w="1167" w:type="dxa"/>
          </w:tcPr>
          <w:p w:rsidR="00873515" w:rsidRPr="00784449" w:rsidRDefault="00873515" w:rsidP="00152426">
            <w:pPr>
              <w:jc w:val="center"/>
              <w:rPr>
                <w:sz w:val="23"/>
                <w:szCs w:val="23"/>
              </w:rPr>
            </w:pPr>
            <w:r w:rsidRPr="00784449">
              <w:rPr>
                <w:sz w:val="23"/>
                <w:szCs w:val="23"/>
              </w:rPr>
              <w:t>Plazo del contrato</w:t>
            </w:r>
          </w:p>
        </w:tc>
      </w:tr>
      <w:tr w:rsidR="00873515" w:rsidRPr="00784449" w:rsidTr="00152426">
        <w:trPr>
          <w:jc w:val="center"/>
        </w:trPr>
        <w:tc>
          <w:tcPr>
            <w:tcW w:w="818" w:type="dxa"/>
          </w:tcPr>
          <w:p w:rsidR="00873515" w:rsidRPr="00EA4FA8" w:rsidRDefault="00873515" w:rsidP="00152426">
            <w:pPr>
              <w:rPr>
                <w:sz w:val="23"/>
                <w:szCs w:val="23"/>
              </w:rPr>
            </w:pPr>
            <w:r w:rsidRPr="00EA4FA8">
              <w:rPr>
                <w:sz w:val="23"/>
                <w:szCs w:val="23"/>
              </w:rPr>
              <w:t>Mazda</w:t>
            </w:r>
          </w:p>
        </w:tc>
        <w:tc>
          <w:tcPr>
            <w:tcW w:w="912" w:type="dxa"/>
          </w:tcPr>
          <w:p w:rsidR="00873515" w:rsidRPr="00EA4FA8" w:rsidRDefault="00873515" w:rsidP="00152426">
            <w:pPr>
              <w:jc w:val="center"/>
              <w:rPr>
                <w:sz w:val="23"/>
                <w:szCs w:val="23"/>
              </w:rPr>
            </w:pPr>
            <w:r w:rsidRPr="00EA4FA8">
              <w:rPr>
                <w:sz w:val="23"/>
                <w:szCs w:val="23"/>
              </w:rPr>
              <w:t>2017</w:t>
            </w:r>
          </w:p>
        </w:tc>
        <w:tc>
          <w:tcPr>
            <w:tcW w:w="898" w:type="dxa"/>
          </w:tcPr>
          <w:p w:rsidR="00873515" w:rsidRPr="00EA4FA8" w:rsidRDefault="00873515" w:rsidP="00152426">
            <w:pPr>
              <w:jc w:val="center"/>
              <w:rPr>
                <w:sz w:val="23"/>
                <w:szCs w:val="23"/>
              </w:rPr>
            </w:pPr>
            <w:r w:rsidRPr="00EA4FA8">
              <w:rPr>
                <w:sz w:val="23"/>
                <w:szCs w:val="23"/>
              </w:rPr>
              <w:t>4</w:t>
            </w:r>
          </w:p>
        </w:tc>
        <w:tc>
          <w:tcPr>
            <w:tcW w:w="1140" w:type="dxa"/>
          </w:tcPr>
          <w:p w:rsidR="00873515" w:rsidRPr="00EA4FA8" w:rsidRDefault="00873515" w:rsidP="00152426">
            <w:pPr>
              <w:jc w:val="center"/>
              <w:rPr>
                <w:sz w:val="23"/>
                <w:szCs w:val="23"/>
              </w:rPr>
            </w:pPr>
            <w:r w:rsidRPr="00EA4FA8">
              <w:rPr>
                <w:sz w:val="23"/>
                <w:szCs w:val="23"/>
              </w:rPr>
              <w:t>5</w:t>
            </w:r>
          </w:p>
        </w:tc>
        <w:tc>
          <w:tcPr>
            <w:tcW w:w="1562" w:type="dxa"/>
          </w:tcPr>
          <w:p w:rsidR="006B183C" w:rsidRPr="00EA4FA8" w:rsidRDefault="00F16159" w:rsidP="006B183C">
            <w:pPr>
              <w:jc w:val="center"/>
              <w:rPr>
                <w:sz w:val="23"/>
                <w:szCs w:val="23"/>
              </w:rPr>
            </w:pPr>
            <w:r>
              <w:rPr>
                <w:sz w:val="23"/>
                <w:szCs w:val="23"/>
              </w:rPr>
              <w:t>$ 386,463.06</w:t>
            </w:r>
          </w:p>
        </w:tc>
        <w:tc>
          <w:tcPr>
            <w:tcW w:w="799" w:type="dxa"/>
          </w:tcPr>
          <w:p w:rsidR="00873515" w:rsidRPr="00EA4FA8" w:rsidRDefault="00873515" w:rsidP="00152426">
            <w:pPr>
              <w:jc w:val="center"/>
              <w:rPr>
                <w:sz w:val="23"/>
                <w:szCs w:val="23"/>
              </w:rPr>
            </w:pPr>
            <w:r w:rsidRPr="00EA4FA8">
              <w:rPr>
                <w:sz w:val="23"/>
                <w:szCs w:val="23"/>
              </w:rPr>
              <w:t>Nuevo</w:t>
            </w:r>
          </w:p>
        </w:tc>
        <w:tc>
          <w:tcPr>
            <w:tcW w:w="1167" w:type="dxa"/>
          </w:tcPr>
          <w:p w:rsidR="00873515" w:rsidRPr="00EA4FA8" w:rsidRDefault="00F9282A" w:rsidP="00152426">
            <w:pPr>
              <w:jc w:val="center"/>
              <w:rPr>
                <w:sz w:val="23"/>
                <w:szCs w:val="23"/>
              </w:rPr>
            </w:pPr>
            <w:r>
              <w:rPr>
                <w:sz w:val="23"/>
                <w:szCs w:val="23"/>
              </w:rPr>
              <w:t>40</w:t>
            </w:r>
            <w:r w:rsidR="00873515" w:rsidRPr="00EA4FA8">
              <w:rPr>
                <w:sz w:val="23"/>
                <w:szCs w:val="23"/>
              </w:rPr>
              <w:t xml:space="preserve"> meses</w:t>
            </w:r>
          </w:p>
        </w:tc>
      </w:tr>
    </w:tbl>
    <w:p w:rsidR="00873515" w:rsidRPr="00784449" w:rsidRDefault="00873515" w:rsidP="00671BBA">
      <w:pPr>
        <w:jc w:val="both"/>
        <w:rPr>
          <w:sz w:val="23"/>
          <w:szCs w:val="23"/>
        </w:rPr>
      </w:pPr>
    </w:p>
    <w:p w:rsidR="00A61CA9" w:rsidRPr="00784449" w:rsidRDefault="00A61CA9" w:rsidP="00671BBA">
      <w:pPr>
        <w:jc w:val="both"/>
        <w:rPr>
          <w:sz w:val="23"/>
          <w:szCs w:val="23"/>
        </w:rPr>
      </w:pPr>
      <w:r w:rsidRPr="00784449">
        <w:rPr>
          <w:sz w:val="23"/>
          <w:szCs w:val="23"/>
        </w:rPr>
        <w:t>Del análisis minucioso realizado de lo anteriormente expuesto y fundado, el Pleno del Instituto Estatal de Transparencia, Acceso a la Información Pública y Protección de Datos Personales emite el siguiente:</w:t>
      </w:r>
    </w:p>
    <w:p w:rsidR="0070462F" w:rsidRPr="00784449" w:rsidRDefault="0070462F" w:rsidP="00671BBA">
      <w:pPr>
        <w:jc w:val="center"/>
        <w:rPr>
          <w:sz w:val="23"/>
          <w:szCs w:val="23"/>
        </w:rPr>
      </w:pPr>
      <w:r w:rsidRPr="00784449">
        <w:rPr>
          <w:b/>
          <w:spacing w:val="20"/>
          <w:sz w:val="23"/>
          <w:szCs w:val="23"/>
        </w:rPr>
        <w:t>ACUERDO</w:t>
      </w:r>
    </w:p>
    <w:p w:rsidR="0070462F" w:rsidRPr="00784449" w:rsidRDefault="0070462F" w:rsidP="00671BBA">
      <w:pPr>
        <w:jc w:val="both"/>
        <w:rPr>
          <w:sz w:val="23"/>
          <w:szCs w:val="23"/>
        </w:rPr>
      </w:pPr>
      <w:r w:rsidRPr="00784449">
        <w:rPr>
          <w:b/>
          <w:sz w:val="23"/>
          <w:szCs w:val="23"/>
        </w:rPr>
        <w:t>PRIMERO.-</w:t>
      </w:r>
      <w:r w:rsidRPr="00784449">
        <w:rPr>
          <w:sz w:val="23"/>
          <w:szCs w:val="23"/>
        </w:rPr>
        <w:t xml:space="preserve"> Se procede a </w:t>
      </w:r>
      <w:r w:rsidR="00B50FB0" w:rsidRPr="00784449">
        <w:rPr>
          <w:sz w:val="23"/>
          <w:szCs w:val="23"/>
        </w:rPr>
        <w:t>autorizar</w:t>
      </w:r>
      <w:r w:rsidR="00832B19" w:rsidRPr="00784449">
        <w:rPr>
          <w:sz w:val="23"/>
          <w:szCs w:val="23"/>
        </w:rPr>
        <w:t xml:space="preserve"> los</w:t>
      </w:r>
      <w:r w:rsidRPr="00784449">
        <w:rPr>
          <w:sz w:val="23"/>
          <w:szCs w:val="23"/>
        </w:rPr>
        <w:t xml:space="preserve"> </w:t>
      </w:r>
      <w:r w:rsidR="00B50FB0" w:rsidRPr="00784449">
        <w:rPr>
          <w:sz w:val="23"/>
          <w:szCs w:val="23"/>
        </w:rPr>
        <w:t>contrato</w:t>
      </w:r>
      <w:r w:rsidR="00832B19" w:rsidRPr="00784449">
        <w:rPr>
          <w:sz w:val="23"/>
          <w:szCs w:val="23"/>
        </w:rPr>
        <w:t>s</w:t>
      </w:r>
      <w:r w:rsidR="00B50FB0" w:rsidRPr="00784449">
        <w:rPr>
          <w:sz w:val="23"/>
          <w:szCs w:val="23"/>
        </w:rPr>
        <w:t xml:space="preserve"> plurianual</w:t>
      </w:r>
      <w:r w:rsidR="00832B19" w:rsidRPr="00784449">
        <w:rPr>
          <w:sz w:val="23"/>
          <w:szCs w:val="23"/>
        </w:rPr>
        <w:t>es</w:t>
      </w:r>
      <w:r w:rsidR="00D76E0D" w:rsidRPr="00784449">
        <w:rPr>
          <w:sz w:val="23"/>
          <w:szCs w:val="23"/>
        </w:rPr>
        <w:t xml:space="preserve"> </w:t>
      </w:r>
      <w:r w:rsidR="00832B19" w:rsidRPr="00784449">
        <w:rPr>
          <w:sz w:val="23"/>
          <w:szCs w:val="23"/>
        </w:rPr>
        <w:t xml:space="preserve">de arrendamiento puro de los vehículos descritos en el considerando </w:t>
      </w:r>
      <w:r w:rsidR="009D47ED">
        <w:rPr>
          <w:sz w:val="23"/>
          <w:szCs w:val="23"/>
        </w:rPr>
        <w:t>SÉPTIMO</w:t>
      </w:r>
      <w:r w:rsidRPr="00784449">
        <w:rPr>
          <w:sz w:val="23"/>
          <w:szCs w:val="23"/>
        </w:rPr>
        <w:t>, en</w:t>
      </w:r>
      <w:r w:rsidR="007461CC" w:rsidRPr="00784449">
        <w:rPr>
          <w:sz w:val="23"/>
          <w:szCs w:val="23"/>
        </w:rPr>
        <w:t xml:space="preserve"> los términos propuestos en </w:t>
      </w:r>
      <w:r w:rsidR="00A61CA9" w:rsidRPr="00784449">
        <w:rPr>
          <w:sz w:val="23"/>
          <w:szCs w:val="23"/>
        </w:rPr>
        <w:t>el presente acuerdo</w:t>
      </w:r>
      <w:r w:rsidRPr="00784449">
        <w:rPr>
          <w:sz w:val="23"/>
          <w:szCs w:val="23"/>
        </w:rPr>
        <w:t>.</w:t>
      </w:r>
    </w:p>
    <w:p w:rsidR="009D47ED" w:rsidRPr="009D47ED" w:rsidRDefault="0070462F" w:rsidP="009D47ED">
      <w:pPr>
        <w:jc w:val="both"/>
        <w:rPr>
          <w:sz w:val="23"/>
          <w:szCs w:val="23"/>
        </w:rPr>
      </w:pPr>
      <w:r w:rsidRPr="00784449">
        <w:rPr>
          <w:b/>
          <w:sz w:val="23"/>
          <w:szCs w:val="23"/>
        </w:rPr>
        <w:t xml:space="preserve">SEGUNDO.- </w:t>
      </w:r>
      <w:r w:rsidR="009D47ED" w:rsidRPr="009D47ED">
        <w:rPr>
          <w:sz w:val="23"/>
          <w:szCs w:val="23"/>
        </w:rPr>
        <w:t>El presente acuerdo se firma por duplicado, correspondiendo uno de los ejemplares a la Coordinación de Apoyo Plenario y Archivo Administrativo</w:t>
      </w:r>
      <w:r w:rsidR="009D47ED" w:rsidRPr="009D47ED">
        <w:rPr>
          <w:b/>
          <w:sz w:val="23"/>
          <w:szCs w:val="23"/>
        </w:rPr>
        <w:t xml:space="preserve"> </w:t>
      </w:r>
      <w:r w:rsidR="009D47ED" w:rsidRPr="009D47ED">
        <w:rPr>
          <w:sz w:val="23"/>
          <w:szCs w:val="23"/>
        </w:rPr>
        <w:t>y el otro, remítase a la C.P. Virginia Rosalía Angulo Vázquez, Directora de Administración y Finanzas, del Instituto Estatal de Transparencia, Acceso a la Información Pública y Protección de Datos Personales, respectivamente, para que en el ejercicio de sus funciones se sirva en dar trámite oportuno al presente.</w:t>
      </w:r>
    </w:p>
    <w:p w:rsidR="009D47ED" w:rsidRDefault="009D47ED" w:rsidP="009D47ED">
      <w:pPr>
        <w:jc w:val="both"/>
        <w:rPr>
          <w:sz w:val="23"/>
          <w:szCs w:val="23"/>
        </w:rPr>
      </w:pPr>
      <w:r>
        <w:rPr>
          <w:b/>
          <w:sz w:val="23"/>
          <w:szCs w:val="23"/>
        </w:rPr>
        <w:t>TERCERO</w:t>
      </w:r>
      <w:r w:rsidRPr="009D47ED">
        <w:rPr>
          <w:b/>
          <w:sz w:val="23"/>
          <w:szCs w:val="23"/>
        </w:rPr>
        <w:t xml:space="preserve">.- </w:t>
      </w:r>
      <w:r w:rsidRPr="009D47ED">
        <w:rPr>
          <w:sz w:val="23"/>
          <w:szCs w:val="23"/>
        </w:rPr>
        <w:t>Publíquese el presente acuerdo en la Página de Internet Oficial del Instituto Estatal de Transparencia, Acceso a la Información Pública y Protección de Datos Personales.</w:t>
      </w:r>
    </w:p>
    <w:p w:rsidR="009D47ED" w:rsidRPr="009D47ED" w:rsidRDefault="00BE2EC6" w:rsidP="009D47ED">
      <w:pPr>
        <w:jc w:val="both"/>
        <w:rPr>
          <w:sz w:val="23"/>
          <w:szCs w:val="23"/>
        </w:rPr>
      </w:pPr>
      <w:r>
        <w:rPr>
          <w:b/>
          <w:sz w:val="23"/>
          <w:szCs w:val="23"/>
        </w:rPr>
        <w:t>CUARTO</w:t>
      </w:r>
      <w:r w:rsidR="009D47ED" w:rsidRPr="009D47ED">
        <w:rPr>
          <w:b/>
          <w:sz w:val="23"/>
          <w:szCs w:val="23"/>
        </w:rPr>
        <w:t xml:space="preserve">.- </w:t>
      </w:r>
      <w:r w:rsidR="009D47ED" w:rsidRPr="009D47ED">
        <w:rPr>
          <w:sz w:val="23"/>
          <w:szCs w:val="23"/>
        </w:rPr>
        <w:t xml:space="preserve">Cúmplase. </w:t>
      </w:r>
    </w:p>
    <w:tbl>
      <w:tblPr>
        <w:tblW w:w="0" w:type="auto"/>
        <w:tblLook w:val="04A0" w:firstRow="1" w:lastRow="0" w:firstColumn="1" w:lastColumn="0" w:noHBand="0" w:noVBand="1"/>
      </w:tblPr>
      <w:tblGrid>
        <w:gridCol w:w="4414"/>
        <w:gridCol w:w="4414"/>
      </w:tblGrid>
      <w:tr w:rsidR="00BB57B6" w:rsidRPr="001D7FFD" w:rsidTr="00B969F2">
        <w:tc>
          <w:tcPr>
            <w:tcW w:w="8828" w:type="dxa"/>
            <w:gridSpan w:val="2"/>
          </w:tcPr>
          <w:p w:rsidR="00BB57B6" w:rsidRPr="001D7FFD" w:rsidRDefault="009D47ED" w:rsidP="00B969F2">
            <w:pPr>
              <w:spacing w:after="0" w:line="360" w:lineRule="auto"/>
              <w:rPr>
                <w:rFonts w:ascii="Arial" w:hAnsi="Arial" w:cs="Arial"/>
                <w:b/>
                <w:sz w:val="20"/>
                <w:szCs w:val="20"/>
              </w:rPr>
            </w:pPr>
            <w:r w:rsidRPr="009D47ED">
              <w:rPr>
                <w:sz w:val="23"/>
                <w:szCs w:val="23"/>
              </w:rPr>
              <w:t>Así lo acordó y firma para debida constancia, el Pleno del Instituto Estatal de Transparencia, Acceso a la Información Pública y Protección de Datos Personales:</w:t>
            </w:r>
          </w:p>
          <w:p w:rsidR="00BB57B6" w:rsidRDefault="00BB57B6" w:rsidP="00B969F2">
            <w:pPr>
              <w:spacing w:after="0" w:line="360" w:lineRule="auto"/>
              <w:jc w:val="center"/>
              <w:rPr>
                <w:rFonts w:ascii="Arial" w:hAnsi="Arial" w:cs="Arial"/>
                <w:b/>
                <w:sz w:val="20"/>
                <w:szCs w:val="20"/>
              </w:rPr>
            </w:pPr>
          </w:p>
          <w:p w:rsidR="00BB57B6" w:rsidRDefault="00BB57B6" w:rsidP="00B969F2">
            <w:pPr>
              <w:spacing w:after="0" w:line="360" w:lineRule="auto"/>
              <w:jc w:val="center"/>
              <w:rPr>
                <w:rFonts w:ascii="Arial" w:hAnsi="Arial" w:cs="Arial"/>
                <w:b/>
                <w:sz w:val="20"/>
                <w:szCs w:val="20"/>
              </w:rPr>
            </w:pPr>
          </w:p>
          <w:p w:rsidR="00A75841" w:rsidRPr="00B41986" w:rsidRDefault="00A75841" w:rsidP="00B41986">
            <w:pPr>
              <w:pStyle w:val="Sinespaciado"/>
              <w:jc w:val="center"/>
              <w:rPr>
                <w:rFonts w:ascii="Arial" w:hAnsi="Arial" w:cs="Arial"/>
                <w:b/>
                <w:sz w:val="20"/>
                <w:szCs w:val="20"/>
              </w:rPr>
            </w:pPr>
          </w:p>
          <w:p w:rsidR="00BB57B6" w:rsidRPr="00B41986" w:rsidRDefault="00B41986" w:rsidP="00B41986">
            <w:pPr>
              <w:pStyle w:val="Sinespaciado"/>
              <w:jc w:val="center"/>
              <w:rPr>
                <w:rFonts w:ascii="Arial" w:hAnsi="Arial" w:cs="Arial"/>
                <w:b/>
                <w:sz w:val="20"/>
                <w:szCs w:val="20"/>
              </w:rPr>
            </w:pPr>
            <w:r w:rsidRPr="00B41986">
              <w:rPr>
                <w:rFonts w:ascii="Arial" w:hAnsi="Arial" w:cs="Arial"/>
                <w:b/>
                <w:sz w:val="20"/>
                <w:szCs w:val="20"/>
              </w:rPr>
              <w:t>(RÚBRICA)</w:t>
            </w:r>
          </w:p>
          <w:p w:rsidR="00BB57B6" w:rsidRPr="00B41986" w:rsidRDefault="00BB57B6" w:rsidP="00B41986">
            <w:pPr>
              <w:pStyle w:val="Sinespaciado"/>
              <w:jc w:val="center"/>
              <w:rPr>
                <w:rFonts w:ascii="Arial" w:hAnsi="Arial" w:cs="Arial"/>
                <w:b/>
                <w:sz w:val="20"/>
                <w:szCs w:val="20"/>
              </w:rPr>
            </w:pPr>
            <w:r w:rsidRPr="00B41986">
              <w:rPr>
                <w:rFonts w:ascii="Arial" w:hAnsi="Arial" w:cs="Arial"/>
                <w:b/>
                <w:sz w:val="20"/>
                <w:szCs w:val="20"/>
              </w:rPr>
              <w:t>LICDA. SUSANA AGUILAR COVARRUBIAS</w:t>
            </w:r>
          </w:p>
          <w:p w:rsidR="00BB57B6" w:rsidRPr="001D7FFD" w:rsidRDefault="00BB57B6" w:rsidP="00B41986">
            <w:pPr>
              <w:pStyle w:val="Sinespaciado"/>
              <w:jc w:val="center"/>
              <w:rPr>
                <w:lang w:val="es-ES"/>
              </w:rPr>
            </w:pPr>
            <w:r w:rsidRPr="00B41986">
              <w:rPr>
                <w:rFonts w:ascii="Arial" w:hAnsi="Arial" w:cs="Arial"/>
                <w:b/>
                <w:sz w:val="20"/>
                <w:szCs w:val="20"/>
              </w:rPr>
              <w:t>COMISIONADA PRESIDENTA</w:t>
            </w:r>
          </w:p>
        </w:tc>
      </w:tr>
      <w:tr w:rsidR="00BB57B6" w:rsidRPr="001D7FFD" w:rsidTr="00B969F2">
        <w:tc>
          <w:tcPr>
            <w:tcW w:w="4414" w:type="dxa"/>
          </w:tcPr>
          <w:p w:rsidR="00BB57B6" w:rsidRPr="001D7FFD" w:rsidRDefault="00BB57B6" w:rsidP="00B969F2">
            <w:pPr>
              <w:spacing w:after="0" w:line="360" w:lineRule="auto"/>
              <w:jc w:val="center"/>
              <w:rPr>
                <w:rFonts w:ascii="Arial" w:hAnsi="Arial" w:cs="Arial"/>
                <w:b/>
                <w:bCs/>
                <w:sz w:val="20"/>
                <w:szCs w:val="20"/>
                <w:lang w:val="es-ES"/>
              </w:rPr>
            </w:pPr>
          </w:p>
          <w:p w:rsidR="00BB57B6" w:rsidRDefault="00BB57B6" w:rsidP="00B41986">
            <w:pPr>
              <w:pStyle w:val="Sinespaciado"/>
              <w:jc w:val="center"/>
              <w:rPr>
                <w:rFonts w:ascii="Arial" w:hAnsi="Arial" w:cs="Arial"/>
                <w:b/>
                <w:sz w:val="20"/>
                <w:szCs w:val="20"/>
              </w:rPr>
            </w:pPr>
          </w:p>
          <w:p w:rsidR="00B41986" w:rsidRDefault="00B41986" w:rsidP="00B41986">
            <w:pPr>
              <w:pStyle w:val="Sinespaciado"/>
              <w:jc w:val="center"/>
              <w:rPr>
                <w:rFonts w:ascii="Arial" w:hAnsi="Arial" w:cs="Arial"/>
                <w:b/>
                <w:sz w:val="20"/>
                <w:szCs w:val="20"/>
              </w:rPr>
            </w:pPr>
          </w:p>
          <w:p w:rsidR="00B41986" w:rsidRPr="00B41986" w:rsidRDefault="00B41986" w:rsidP="00B41986">
            <w:pPr>
              <w:pStyle w:val="Sinespaciado"/>
              <w:jc w:val="center"/>
              <w:rPr>
                <w:rFonts w:ascii="Arial" w:hAnsi="Arial" w:cs="Arial"/>
                <w:b/>
                <w:sz w:val="20"/>
                <w:szCs w:val="20"/>
              </w:rPr>
            </w:pPr>
            <w:r>
              <w:rPr>
                <w:rFonts w:ascii="Arial" w:hAnsi="Arial" w:cs="Arial"/>
                <w:b/>
                <w:sz w:val="20"/>
                <w:szCs w:val="20"/>
              </w:rPr>
              <w:t>(RÚBRICA)</w:t>
            </w:r>
          </w:p>
          <w:p w:rsidR="00BB57B6" w:rsidRPr="00B41986" w:rsidRDefault="00BB57B6" w:rsidP="00B41986">
            <w:pPr>
              <w:pStyle w:val="Sinespaciado"/>
              <w:jc w:val="center"/>
              <w:rPr>
                <w:rFonts w:ascii="Arial" w:hAnsi="Arial" w:cs="Arial"/>
                <w:b/>
                <w:bCs/>
                <w:sz w:val="20"/>
                <w:szCs w:val="20"/>
              </w:rPr>
            </w:pPr>
            <w:r w:rsidRPr="00B41986">
              <w:rPr>
                <w:rFonts w:ascii="Arial" w:hAnsi="Arial" w:cs="Arial"/>
                <w:b/>
                <w:bCs/>
                <w:sz w:val="20"/>
                <w:szCs w:val="20"/>
              </w:rPr>
              <w:t>LICDA. MARÍA EUGENIA SANSORES RUZ</w:t>
            </w:r>
          </w:p>
          <w:p w:rsidR="00BB57B6" w:rsidRPr="001D7FFD" w:rsidRDefault="00BB57B6" w:rsidP="00B41986">
            <w:pPr>
              <w:pStyle w:val="Sinespaciado"/>
              <w:jc w:val="center"/>
              <w:rPr>
                <w:lang w:val="es-ES"/>
              </w:rPr>
            </w:pPr>
            <w:r w:rsidRPr="00B41986">
              <w:rPr>
                <w:rFonts w:ascii="Arial" w:hAnsi="Arial" w:cs="Arial"/>
                <w:b/>
                <w:bCs/>
                <w:sz w:val="20"/>
                <w:szCs w:val="20"/>
              </w:rPr>
              <w:t>COMISIONADA</w:t>
            </w:r>
          </w:p>
        </w:tc>
        <w:tc>
          <w:tcPr>
            <w:tcW w:w="4414" w:type="dxa"/>
          </w:tcPr>
          <w:p w:rsidR="00BB57B6" w:rsidRPr="001D7FFD" w:rsidRDefault="00BB57B6" w:rsidP="00B969F2">
            <w:pPr>
              <w:spacing w:after="0" w:line="360" w:lineRule="auto"/>
              <w:jc w:val="center"/>
              <w:rPr>
                <w:rFonts w:ascii="Arial" w:hAnsi="Arial" w:cs="Arial"/>
                <w:b/>
                <w:bCs/>
                <w:sz w:val="20"/>
                <w:szCs w:val="20"/>
                <w:lang w:val="es-ES"/>
              </w:rPr>
            </w:pPr>
          </w:p>
          <w:p w:rsidR="00BB57B6" w:rsidRDefault="00BB57B6" w:rsidP="00B969F2">
            <w:pPr>
              <w:spacing w:after="0" w:line="360" w:lineRule="auto"/>
              <w:rPr>
                <w:rFonts w:ascii="Arial" w:hAnsi="Arial" w:cs="Arial"/>
                <w:b/>
                <w:bCs/>
                <w:sz w:val="20"/>
                <w:szCs w:val="20"/>
              </w:rPr>
            </w:pPr>
          </w:p>
          <w:p w:rsidR="00B41986" w:rsidRPr="00B41986" w:rsidRDefault="00B41986" w:rsidP="00B41986">
            <w:pPr>
              <w:pStyle w:val="Sinespaciado"/>
              <w:jc w:val="center"/>
              <w:rPr>
                <w:b/>
                <w:sz w:val="6"/>
                <w:szCs w:val="6"/>
              </w:rPr>
            </w:pPr>
            <w:bookmarkStart w:id="0" w:name="_GoBack"/>
            <w:bookmarkEnd w:id="0"/>
          </w:p>
          <w:p w:rsidR="00BB57B6" w:rsidRPr="00B41986" w:rsidRDefault="00B41986" w:rsidP="00B41986">
            <w:pPr>
              <w:pStyle w:val="Sinespaciado"/>
              <w:jc w:val="center"/>
              <w:rPr>
                <w:rFonts w:ascii="Arial" w:hAnsi="Arial" w:cs="Arial"/>
                <w:b/>
                <w:sz w:val="20"/>
                <w:szCs w:val="20"/>
              </w:rPr>
            </w:pPr>
            <w:r w:rsidRPr="00B41986">
              <w:rPr>
                <w:b/>
              </w:rPr>
              <w:t>(</w:t>
            </w:r>
            <w:r w:rsidRPr="00B41986">
              <w:rPr>
                <w:rFonts w:ascii="Arial" w:hAnsi="Arial" w:cs="Arial"/>
                <w:b/>
                <w:sz w:val="20"/>
                <w:szCs w:val="20"/>
              </w:rPr>
              <w:t>RÚBRICA)</w:t>
            </w:r>
          </w:p>
          <w:p w:rsidR="00BB57B6" w:rsidRPr="00B41986" w:rsidRDefault="00BB57B6" w:rsidP="00B41986">
            <w:pPr>
              <w:pStyle w:val="Sinespaciado"/>
              <w:jc w:val="center"/>
              <w:rPr>
                <w:rFonts w:ascii="Arial" w:hAnsi="Arial" w:cs="Arial"/>
                <w:b/>
                <w:sz w:val="20"/>
                <w:szCs w:val="20"/>
              </w:rPr>
            </w:pPr>
            <w:r w:rsidRPr="00B41986">
              <w:rPr>
                <w:rFonts w:ascii="Arial" w:hAnsi="Arial" w:cs="Arial"/>
                <w:b/>
                <w:sz w:val="20"/>
                <w:szCs w:val="20"/>
              </w:rPr>
              <w:t>LIC. ALDRIN MARTÍN BRICEÑO CONRADO</w:t>
            </w:r>
          </w:p>
          <w:p w:rsidR="00BB57B6" w:rsidRPr="001D7FFD" w:rsidRDefault="00BB57B6" w:rsidP="00B41986">
            <w:pPr>
              <w:pStyle w:val="Sinespaciado"/>
              <w:jc w:val="center"/>
              <w:rPr>
                <w:lang w:val="es-ES"/>
              </w:rPr>
            </w:pPr>
            <w:r w:rsidRPr="00B41986">
              <w:rPr>
                <w:rFonts w:ascii="Arial" w:hAnsi="Arial" w:cs="Arial"/>
                <w:b/>
                <w:sz w:val="20"/>
                <w:szCs w:val="20"/>
              </w:rPr>
              <w:t>COMISIONADO</w:t>
            </w:r>
          </w:p>
        </w:tc>
      </w:tr>
    </w:tbl>
    <w:p w:rsidR="00892188" w:rsidRPr="00784449" w:rsidRDefault="00892188" w:rsidP="00DD5774">
      <w:pPr>
        <w:rPr>
          <w:rFonts w:cs="Arial"/>
          <w:sz w:val="23"/>
          <w:szCs w:val="23"/>
        </w:rPr>
      </w:pPr>
    </w:p>
    <w:sectPr w:rsidR="00892188" w:rsidRPr="00784449">
      <w:headerReference w:type="default" r:id="rId9"/>
      <w:footerReference w:type="default" r:id="rId10"/>
      <w:pgSz w:w="12240" w:h="15840"/>
      <w:pgMar w:top="1417" w:right="1701" w:bottom="141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A80" w:rsidRDefault="00B60A80" w:rsidP="00B60A80">
      <w:pPr>
        <w:spacing w:after="0" w:line="240" w:lineRule="auto"/>
      </w:pPr>
      <w:r>
        <w:separator/>
      </w:r>
    </w:p>
  </w:endnote>
  <w:endnote w:type="continuationSeparator" w:id="0">
    <w:p w:rsidR="00B60A80" w:rsidRDefault="00B60A80" w:rsidP="00B60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A1E" w:rsidRPr="00C36A1E" w:rsidRDefault="00C36A1E">
    <w:pPr>
      <w:pStyle w:val="Piedepgina"/>
      <w:jc w:val="center"/>
      <w:rPr>
        <w:sz w:val="18"/>
        <w:szCs w:val="18"/>
      </w:rPr>
    </w:pPr>
    <w:r w:rsidRPr="00C36A1E">
      <w:rPr>
        <w:sz w:val="18"/>
        <w:szCs w:val="18"/>
        <w:lang w:val="es-ES"/>
      </w:rPr>
      <w:t xml:space="preserve">Página </w:t>
    </w:r>
    <w:r w:rsidRPr="00C36A1E">
      <w:rPr>
        <w:sz w:val="18"/>
        <w:szCs w:val="18"/>
      </w:rPr>
      <w:fldChar w:fldCharType="begin"/>
    </w:r>
    <w:r w:rsidRPr="00C36A1E">
      <w:rPr>
        <w:sz w:val="18"/>
        <w:szCs w:val="18"/>
      </w:rPr>
      <w:instrText>PAGE  \* Arabic  \* MERGEFORMAT</w:instrText>
    </w:r>
    <w:r w:rsidRPr="00C36A1E">
      <w:rPr>
        <w:sz w:val="18"/>
        <w:szCs w:val="18"/>
      </w:rPr>
      <w:fldChar w:fldCharType="separate"/>
    </w:r>
    <w:r w:rsidR="00B41986" w:rsidRPr="00B41986">
      <w:rPr>
        <w:noProof/>
        <w:sz w:val="18"/>
        <w:szCs w:val="18"/>
        <w:lang w:val="es-ES"/>
      </w:rPr>
      <w:t>4</w:t>
    </w:r>
    <w:r w:rsidRPr="00C36A1E">
      <w:rPr>
        <w:sz w:val="18"/>
        <w:szCs w:val="18"/>
      </w:rPr>
      <w:fldChar w:fldCharType="end"/>
    </w:r>
    <w:r w:rsidRPr="00C36A1E">
      <w:rPr>
        <w:sz w:val="18"/>
        <w:szCs w:val="18"/>
        <w:lang w:val="es-ES"/>
      </w:rPr>
      <w:t xml:space="preserve"> de </w:t>
    </w:r>
    <w:r w:rsidRPr="00C36A1E">
      <w:rPr>
        <w:sz w:val="18"/>
        <w:szCs w:val="18"/>
      </w:rPr>
      <w:fldChar w:fldCharType="begin"/>
    </w:r>
    <w:r w:rsidRPr="00C36A1E">
      <w:rPr>
        <w:sz w:val="18"/>
        <w:szCs w:val="18"/>
      </w:rPr>
      <w:instrText>NUMPAGES  \* Arabic  \* MERGEFORMAT</w:instrText>
    </w:r>
    <w:r w:rsidRPr="00C36A1E">
      <w:rPr>
        <w:sz w:val="18"/>
        <w:szCs w:val="18"/>
      </w:rPr>
      <w:fldChar w:fldCharType="separate"/>
    </w:r>
    <w:r w:rsidR="00B41986" w:rsidRPr="00B41986">
      <w:rPr>
        <w:noProof/>
        <w:sz w:val="18"/>
        <w:szCs w:val="18"/>
        <w:lang w:val="es-ES"/>
      </w:rPr>
      <w:t>4</w:t>
    </w:r>
    <w:r w:rsidRPr="00C36A1E">
      <w:rPr>
        <w:sz w:val="18"/>
        <w:szCs w:val="18"/>
      </w:rPr>
      <w:fldChar w:fldCharType="end"/>
    </w:r>
  </w:p>
  <w:p w:rsidR="00C36A1E" w:rsidRDefault="00C36A1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A80" w:rsidRDefault="00B60A80" w:rsidP="00B60A80">
      <w:pPr>
        <w:spacing w:after="0" w:line="240" w:lineRule="auto"/>
      </w:pPr>
      <w:r>
        <w:separator/>
      </w:r>
    </w:p>
  </w:footnote>
  <w:footnote w:type="continuationSeparator" w:id="0">
    <w:p w:rsidR="00B60A80" w:rsidRDefault="00B60A80" w:rsidP="00B60A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A80" w:rsidRDefault="00B60A80">
    <w:pPr>
      <w:pStyle w:val="Encabezado"/>
    </w:pPr>
    <w:r>
      <w:rPr>
        <w:noProof/>
        <w:lang w:eastAsia="es-MX"/>
      </w:rPr>
      <w:drawing>
        <wp:anchor distT="0" distB="0" distL="114300" distR="114300" simplePos="0" relativeHeight="251658240" behindDoc="1" locked="0" layoutInCell="1" allowOverlap="1" wp14:anchorId="299C3EC3" wp14:editId="6A20881E">
          <wp:simplePos x="0" y="0"/>
          <wp:positionH relativeFrom="column">
            <wp:posOffset>-480060</wp:posOffset>
          </wp:positionH>
          <wp:positionV relativeFrom="paragraph">
            <wp:posOffset>-161925</wp:posOffset>
          </wp:positionV>
          <wp:extent cx="6496050" cy="1103630"/>
          <wp:effectExtent l="0" t="0" r="0" b="1270"/>
          <wp:wrapTight wrapText="bothSides">
            <wp:wrapPolygon edited="0">
              <wp:start x="0" y="0"/>
              <wp:lineTo x="0" y="21252"/>
              <wp:lineTo x="21537" y="21252"/>
              <wp:lineTo x="21537" y="0"/>
              <wp:lineTo x="0" y="0"/>
            </wp:wrapPolygon>
          </wp:wrapTight>
          <wp:docPr id="2" name="Imagen 2" descr="\\NASINAIP2\ApoyoPlenario\CAPAA2016\LOGOS\logos 30Junio16\LogoINAI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INAIP2\ApoyoPlenario\CAPAA2016\LOGOS\logos 30Junio16\LogoINAIP-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96050" cy="11036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50EF2"/>
    <w:multiLevelType w:val="hybridMultilevel"/>
    <w:tmpl w:val="3B36DC9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2821D07"/>
    <w:multiLevelType w:val="hybridMultilevel"/>
    <w:tmpl w:val="B148C0DA"/>
    <w:lvl w:ilvl="0" w:tplc="F83CC5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362157E"/>
    <w:multiLevelType w:val="hybridMultilevel"/>
    <w:tmpl w:val="486EF40A"/>
    <w:lvl w:ilvl="0" w:tplc="F83CC5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8BE43FF"/>
    <w:multiLevelType w:val="hybridMultilevel"/>
    <w:tmpl w:val="B3E29B8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08D"/>
    <w:rsid w:val="00021C6F"/>
    <w:rsid w:val="000251B3"/>
    <w:rsid w:val="00086EAE"/>
    <w:rsid w:val="000C45EB"/>
    <w:rsid w:val="00152AED"/>
    <w:rsid w:val="00176FF0"/>
    <w:rsid w:val="001779A3"/>
    <w:rsid w:val="001B4A49"/>
    <w:rsid w:val="001C6CE0"/>
    <w:rsid w:val="00215BDE"/>
    <w:rsid w:val="00220CAC"/>
    <w:rsid w:val="0027208D"/>
    <w:rsid w:val="00273A8A"/>
    <w:rsid w:val="0028217F"/>
    <w:rsid w:val="003027A2"/>
    <w:rsid w:val="00317E93"/>
    <w:rsid w:val="003205FE"/>
    <w:rsid w:val="00335EC4"/>
    <w:rsid w:val="00357879"/>
    <w:rsid w:val="00357A26"/>
    <w:rsid w:val="003B66F5"/>
    <w:rsid w:val="003E4690"/>
    <w:rsid w:val="00427A5F"/>
    <w:rsid w:val="00460042"/>
    <w:rsid w:val="004A71A9"/>
    <w:rsid w:val="004B7219"/>
    <w:rsid w:val="004C6298"/>
    <w:rsid w:val="004C7115"/>
    <w:rsid w:val="004D66CA"/>
    <w:rsid w:val="004F7B98"/>
    <w:rsid w:val="00500CB6"/>
    <w:rsid w:val="00505070"/>
    <w:rsid w:val="00523D42"/>
    <w:rsid w:val="005302FE"/>
    <w:rsid w:val="005558A6"/>
    <w:rsid w:val="0059676E"/>
    <w:rsid w:val="005A58A3"/>
    <w:rsid w:val="005C5EB4"/>
    <w:rsid w:val="005D66B3"/>
    <w:rsid w:val="005E0E19"/>
    <w:rsid w:val="00606365"/>
    <w:rsid w:val="00645381"/>
    <w:rsid w:val="00671BBA"/>
    <w:rsid w:val="006728D8"/>
    <w:rsid w:val="00693004"/>
    <w:rsid w:val="006B183C"/>
    <w:rsid w:val="006B7AD3"/>
    <w:rsid w:val="006D1688"/>
    <w:rsid w:val="006E51D2"/>
    <w:rsid w:val="0070462F"/>
    <w:rsid w:val="0072261D"/>
    <w:rsid w:val="007427EF"/>
    <w:rsid w:val="007461CC"/>
    <w:rsid w:val="007615E7"/>
    <w:rsid w:val="00767BB4"/>
    <w:rsid w:val="007840E6"/>
    <w:rsid w:val="00784449"/>
    <w:rsid w:val="00787A13"/>
    <w:rsid w:val="007C7A2C"/>
    <w:rsid w:val="007D019D"/>
    <w:rsid w:val="00814DF1"/>
    <w:rsid w:val="00832B19"/>
    <w:rsid w:val="0085041A"/>
    <w:rsid w:val="00867DE3"/>
    <w:rsid w:val="00873515"/>
    <w:rsid w:val="00874401"/>
    <w:rsid w:val="00877C57"/>
    <w:rsid w:val="00892188"/>
    <w:rsid w:val="008A3E3A"/>
    <w:rsid w:val="008F4A75"/>
    <w:rsid w:val="00942E6A"/>
    <w:rsid w:val="00950FE6"/>
    <w:rsid w:val="00964E80"/>
    <w:rsid w:val="00970AD4"/>
    <w:rsid w:val="00975D47"/>
    <w:rsid w:val="009B361D"/>
    <w:rsid w:val="009C038E"/>
    <w:rsid w:val="009C7632"/>
    <w:rsid w:val="009D47ED"/>
    <w:rsid w:val="009E42EF"/>
    <w:rsid w:val="009E7098"/>
    <w:rsid w:val="00A02741"/>
    <w:rsid w:val="00A07F8E"/>
    <w:rsid w:val="00A155F6"/>
    <w:rsid w:val="00A5615E"/>
    <w:rsid w:val="00A565B2"/>
    <w:rsid w:val="00A61CA9"/>
    <w:rsid w:val="00A62017"/>
    <w:rsid w:val="00A675AB"/>
    <w:rsid w:val="00A67F45"/>
    <w:rsid w:val="00A75841"/>
    <w:rsid w:val="00AB124C"/>
    <w:rsid w:val="00AC22BC"/>
    <w:rsid w:val="00AF0E63"/>
    <w:rsid w:val="00B10791"/>
    <w:rsid w:val="00B11673"/>
    <w:rsid w:val="00B324C9"/>
    <w:rsid w:val="00B332AA"/>
    <w:rsid w:val="00B36E77"/>
    <w:rsid w:val="00B41986"/>
    <w:rsid w:val="00B50FB0"/>
    <w:rsid w:val="00B60A80"/>
    <w:rsid w:val="00B83170"/>
    <w:rsid w:val="00BB57B6"/>
    <w:rsid w:val="00BB6459"/>
    <w:rsid w:val="00BC7DE3"/>
    <w:rsid w:val="00BE00E8"/>
    <w:rsid w:val="00BE2EC6"/>
    <w:rsid w:val="00BE42C9"/>
    <w:rsid w:val="00C115CD"/>
    <w:rsid w:val="00C14E49"/>
    <w:rsid w:val="00C17D42"/>
    <w:rsid w:val="00C21697"/>
    <w:rsid w:val="00C36A1E"/>
    <w:rsid w:val="00C65CB2"/>
    <w:rsid w:val="00CA7826"/>
    <w:rsid w:val="00CB0616"/>
    <w:rsid w:val="00CD5F7B"/>
    <w:rsid w:val="00CE32D2"/>
    <w:rsid w:val="00CE532C"/>
    <w:rsid w:val="00CF26F7"/>
    <w:rsid w:val="00D008C3"/>
    <w:rsid w:val="00D00B26"/>
    <w:rsid w:val="00D010D8"/>
    <w:rsid w:val="00D0143D"/>
    <w:rsid w:val="00D21438"/>
    <w:rsid w:val="00D25823"/>
    <w:rsid w:val="00D52477"/>
    <w:rsid w:val="00D76E0D"/>
    <w:rsid w:val="00DA6533"/>
    <w:rsid w:val="00DB615B"/>
    <w:rsid w:val="00DC11F1"/>
    <w:rsid w:val="00DD5774"/>
    <w:rsid w:val="00E072F7"/>
    <w:rsid w:val="00E409EE"/>
    <w:rsid w:val="00E71764"/>
    <w:rsid w:val="00EA4FA8"/>
    <w:rsid w:val="00EB169F"/>
    <w:rsid w:val="00EB417C"/>
    <w:rsid w:val="00EE0932"/>
    <w:rsid w:val="00F148A8"/>
    <w:rsid w:val="00F16159"/>
    <w:rsid w:val="00F34418"/>
    <w:rsid w:val="00F7496F"/>
    <w:rsid w:val="00F9282A"/>
    <w:rsid w:val="00F95C66"/>
    <w:rsid w:val="00F9694D"/>
    <w:rsid w:val="00FC5BC5"/>
    <w:rsid w:val="00FF00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08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27208D"/>
    <w:pPr>
      <w:ind w:left="720"/>
      <w:contextualSpacing/>
    </w:pPr>
  </w:style>
  <w:style w:type="paragraph" w:styleId="Textodeglobo">
    <w:name w:val="Balloon Text"/>
    <w:basedOn w:val="Normal"/>
    <w:link w:val="TextodegloboCar"/>
    <w:uiPriority w:val="99"/>
    <w:semiHidden/>
    <w:unhideWhenUsed/>
    <w:rsid w:val="00877C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7C57"/>
    <w:rPr>
      <w:rFonts w:ascii="Segoe UI" w:hAnsi="Segoe UI" w:cs="Segoe UI"/>
      <w:sz w:val="18"/>
      <w:szCs w:val="18"/>
    </w:rPr>
  </w:style>
  <w:style w:type="paragraph" w:styleId="Encabezado">
    <w:name w:val="header"/>
    <w:basedOn w:val="Normal"/>
    <w:link w:val="EncabezadoCar"/>
    <w:uiPriority w:val="99"/>
    <w:unhideWhenUsed/>
    <w:rsid w:val="00B60A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60A80"/>
  </w:style>
  <w:style w:type="paragraph" w:styleId="Piedepgina">
    <w:name w:val="footer"/>
    <w:basedOn w:val="Normal"/>
    <w:link w:val="PiedepginaCar"/>
    <w:uiPriority w:val="99"/>
    <w:unhideWhenUsed/>
    <w:rsid w:val="00B60A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0A80"/>
  </w:style>
  <w:style w:type="table" w:styleId="Tablaconcuadrcula">
    <w:name w:val="Table Grid"/>
    <w:basedOn w:val="Tablanormal"/>
    <w:uiPriority w:val="59"/>
    <w:rsid w:val="00784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78444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08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27208D"/>
    <w:pPr>
      <w:ind w:left="720"/>
      <w:contextualSpacing/>
    </w:pPr>
  </w:style>
  <w:style w:type="paragraph" w:styleId="Textodeglobo">
    <w:name w:val="Balloon Text"/>
    <w:basedOn w:val="Normal"/>
    <w:link w:val="TextodegloboCar"/>
    <w:uiPriority w:val="99"/>
    <w:semiHidden/>
    <w:unhideWhenUsed/>
    <w:rsid w:val="00877C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7C57"/>
    <w:rPr>
      <w:rFonts w:ascii="Segoe UI" w:hAnsi="Segoe UI" w:cs="Segoe UI"/>
      <w:sz w:val="18"/>
      <w:szCs w:val="18"/>
    </w:rPr>
  </w:style>
  <w:style w:type="paragraph" w:styleId="Encabezado">
    <w:name w:val="header"/>
    <w:basedOn w:val="Normal"/>
    <w:link w:val="EncabezadoCar"/>
    <w:uiPriority w:val="99"/>
    <w:unhideWhenUsed/>
    <w:rsid w:val="00B60A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60A80"/>
  </w:style>
  <w:style w:type="paragraph" w:styleId="Piedepgina">
    <w:name w:val="footer"/>
    <w:basedOn w:val="Normal"/>
    <w:link w:val="PiedepginaCar"/>
    <w:uiPriority w:val="99"/>
    <w:unhideWhenUsed/>
    <w:rsid w:val="00B60A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0A80"/>
  </w:style>
  <w:style w:type="table" w:styleId="Tablaconcuadrcula">
    <w:name w:val="Table Grid"/>
    <w:basedOn w:val="Tablanormal"/>
    <w:uiPriority w:val="59"/>
    <w:rsid w:val="00784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7844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57922">
      <w:bodyDiv w:val="1"/>
      <w:marLeft w:val="0"/>
      <w:marRight w:val="0"/>
      <w:marTop w:val="0"/>
      <w:marBottom w:val="0"/>
      <w:divBdr>
        <w:top w:val="none" w:sz="0" w:space="0" w:color="auto"/>
        <w:left w:val="none" w:sz="0" w:space="0" w:color="auto"/>
        <w:bottom w:val="none" w:sz="0" w:space="0" w:color="auto"/>
        <w:right w:val="none" w:sz="0" w:space="0" w:color="auto"/>
      </w:divBdr>
    </w:div>
    <w:div w:id="164366432">
      <w:bodyDiv w:val="1"/>
      <w:marLeft w:val="0"/>
      <w:marRight w:val="0"/>
      <w:marTop w:val="0"/>
      <w:marBottom w:val="0"/>
      <w:divBdr>
        <w:top w:val="none" w:sz="0" w:space="0" w:color="auto"/>
        <w:left w:val="none" w:sz="0" w:space="0" w:color="auto"/>
        <w:bottom w:val="none" w:sz="0" w:space="0" w:color="auto"/>
        <w:right w:val="none" w:sz="0" w:space="0" w:color="auto"/>
      </w:divBdr>
    </w:div>
    <w:div w:id="761685412">
      <w:bodyDiv w:val="1"/>
      <w:marLeft w:val="0"/>
      <w:marRight w:val="0"/>
      <w:marTop w:val="0"/>
      <w:marBottom w:val="0"/>
      <w:divBdr>
        <w:top w:val="none" w:sz="0" w:space="0" w:color="auto"/>
        <w:left w:val="none" w:sz="0" w:space="0" w:color="auto"/>
        <w:bottom w:val="none" w:sz="0" w:space="0" w:color="auto"/>
        <w:right w:val="none" w:sz="0" w:space="0" w:color="auto"/>
      </w:divBdr>
    </w:div>
    <w:div w:id="800153497">
      <w:bodyDiv w:val="1"/>
      <w:marLeft w:val="0"/>
      <w:marRight w:val="0"/>
      <w:marTop w:val="0"/>
      <w:marBottom w:val="0"/>
      <w:divBdr>
        <w:top w:val="none" w:sz="0" w:space="0" w:color="auto"/>
        <w:left w:val="none" w:sz="0" w:space="0" w:color="auto"/>
        <w:bottom w:val="none" w:sz="0" w:space="0" w:color="auto"/>
        <w:right w:val="none" w:sz="0" w:space="0" w:color="auto"/>
      </w:divBdr>
    </w:div>
    <w:div w:id="857043269">
      <w:bodyDiv w:val="1"/>
      <w:marLeft w:val="0"/>
      <w:marRight w:val="0"/>
      <w:marTop w:val="0"/>
      <w:marBottom w:val="0"/>
      <w:divBdr>
        <w:top w:val="none" w:sz="0" w:space="0" w:color="auto"/>
        <w:left w:val="none" w:sz="0" w:space="0" w:color="auto"/>
        <w:bottom w:val="none" w:sz="0" w:space="0" w:color="auto"/>
        <w:right w:val="none" w:sz="0" w:space="0" w:color="auto"/>
      </w:divBdr>
    </w:div>
    <w:div w:id="866069311">
      <w:bodyDiv w:val="1"/>
      <w:marLeft w:val="0"/>
      <w:marRight w:val="0"/>
      <w:marTop w:val="0"/>
      <w:marBottom w:val="0"/>
      <w:divBdr>
        <w:top w:val="none" w:sz="0" w:space="0" w:color="auto"/>
        <w:left w:val="none" w:sz="0" w:space="0" w:color="auto"/>
        <w:bottom w:val="none" w:sz="0" w:space="0" w:color="auto"/>
        <w:right w:val="none" w:sz="0" w:space="0" w:color="auto"/>
      </w:divBdr>
    </w:div>
    <w:div w:id="977151667">
      <w:bodyDiv w:val="1"/>
      <w:marLeft w:val="0"/>
      <w:marRight w:val="0"/>
      <w:marTop w:val="0"/>
      <w:marBottom w:val="0"/>
      <w:divBdr>
        <w:top w:val="none" w:sz="0" w:space="0" w:color="auto"/>
        <w:left w:val="none" w:sz="0" w:space="0" w:color="auto"/>
        <w:bottom w:val="none" w:sz="0" w:space="0" w:color="auto"/>
        <w:right w:val="none" w:sz="0" w:space="0" w:color="auto"/>
      </w:divBdr>
    </w:div>
    <w:div w:id="1128862803">
      <w:bodyDiv w:val="1"/>
      <w:marLeft w:val="0"/>
      <w:marRight w:val="0"/>
      <w:marTop w:val="0"/>
      <w:marBottom w:val="0"/>
      <w:divBdr>
        <w:top w:val="none" w:sz="0" w:space="0" w:color="auto"/>
        <w:left w:val="none" w:sz="0" w:space="0" w:color="auto"/>
        <w:bottom w:val="none" w:sz="0" w:space="0" w:color="auto"/>
        <w:right w:val="none" w:sz="0" w:space="0" w:color="auto"/>
      </w:divBdr>
    </w:div>
    <w:div w:id="1307927563">
      <w:bodyDiv w:val="1"/>
      <w:marLeft w:val="0"/>
      <w:marRight w:val="0"/>
      <w:marTop w:val="0"/>
      <w:marBottom w:val="0"/>
      <w:divBdr>
        <w:top w:val="none" w:sz="0" w:space="0" w:color="auto"/>
        <w:left w:val="none" w:sz="0" w:space="0" w:color="auto"/>
        <w:bottom w:val="none" w:sz="0" w:space="0" w:color="auto"/>
        <w:right w:val="none" w:sz="0" w:space="0" w:color="auto"/>
      </w:divBdr>
    </w:div>
    <w:div w:id="1342272810">
      <w:bodyDiv w:val="1"/>
      <w:marLeft w:val="0"/>
      <w:marRight w:val="0"/>
      <w:marTop w:val="0"/>
      <w:marBottom w:val="0"/>
      <w:divBdr>
        <w:top w:val="none" w:sz="0" w:space="0" w:color="auto"/>
        <w:left w:val="none" w:sz="0" w:space="0" w:color="auto"/>
        <w:bottom w:val="none" w:sz="0" w:space="0" w:color="auto"/>
        <w:right w:val="none" w:sz="0" w:space="0" w:color="auto"/>
      </w:divBdr>
    </w:div>
    <w:div w:id="1421176484">
      <w:bodyDiv w:val="1"/>
      <w:marLeft w:val="0"/>
      <w:marRight w:val="0"/>
      <w:marTop w:val="0"/>
      <w:marBottom w:val="0"/>
      <w:divBdr>
        <w:top w:val="none" w:sz="0" w:space="0" w:color="auto"/>
        <w:left w:val="none" w:sz="0" w:space="0" w:color="auto"/>
        <w:bottom w:val="none" w:sz="0" w:space="0" w:color="auto"/>
        <w:right w:val="none" w:sz="0" w:space="0" w:color="auto"/>
      </w:divBdr>
    </w:div>
    <w:div w:id="1458600770">
      <w:bodyDiv w:val="1"/>
      <w:marLeft w:val="0"/>
      <w:marRight w:val="0"/>
      <w:marTop w:val="0"/>
      <w:marBottom w:val="0"/>
      <w:divBdr>
        <w:top w:val="none" w:sz="0" w:space="0" w:color="auto"/>
        <w:left w:val="none" w:sz="0" w:space="0" w:color="auto"/>
        <w:bottom w:val="none" w:sz="0" w:space="0" w:color="auto"/>
        <w:right w:val="none" w:sz="0" w:space="0" w:color="auto"/>
      </w:divBdr>
    </w:div>
    <w:div w:id="1526208396">
      <w:bodyDiv w:val="1"/>
      <w:marLeft w:val="0"/>
      <w:marRight w:val="0"/>
      <w:marTop w:val="0"/>
      <w:marBottom w:val="0"/>
      <w:divBdr>
        <w:top w:val="none" w:sz="0" w:space="0" w:color="auto"/>
        <w:left w:val="none" w:sz="0" w:space="0" w:color="auto"/>
        <w:bottom w:val="none" w:sz="0" w:space="0" w:color="auto"/>
        <w:right w:val="none" w:sz="0" w:space="0" w:color="auto"/>
      </w:divBdr>
    </w:div>
    <w:div w:id="1527058738">
      <w:bodyDiv w:val="1"/>
      <w:marLeft w:val="0"/>
      <w:marRight w:val="0"/>
      <w:marTop w:val="0"/>
      <w:marBottom w:val="0"/>
      <w:divBdr>
        <w:top w:val="none" w:sz="0" w:space="0" w:color="auto"/>
        <w:left w:val="none" w:sz="0" w:space="0" w:color="auto"/>
        <w:bottom w:val="none" w:sz="0" w:space="0" w:color="auto"/>
        <w:right w:val="none" w:sz="0" w:space="0" w:color="auto"/>
      </w:divBdr>
    </w:div>
    <w:div w:id="1816873746">
      <w:bodyDiv w:val="1"/>
      <w:marLeft w:val="0"/>
      <w:marRight w:val="0"/>
      <w:marTop w:val="0"/>
      <w:marBottom w:val="0"/>
      <w:divBdr>
        <w:top w:val="none" w:sz="0" w:space="0" w:color="auto"/>
        <w:left w:val="none" w:sz="0" w:space="0" w:color="auto"/>
        <w:bottom w:val="none" w:sz="0" w:space="0" w:color="auto"/>
        <w:right w:val="none" w:sz="0" w:space="0" w:color="auto"/>
      </w:divBdr>
    </w:div>
    <w:div w:id="1834905608">
      <w:bodyDiv w:val="1"/>
      <w:marLeft w:val="0"/>
      <w:marRight w:val="0"/>
      <w:marTop w:val="0"/>
      <w:marBottom w:val="0"/>
      <w:divBdr>
        <w:top w:val="none" w:sz="0" w:space="0" w:color="auto"/>
        <w:left w:val="none" w:sz="0" w:space="0" w:color="auto"/>
        <w:bottom w:val="none" w:sz="0" w:space="0" w:color="auto"/>
        <w:right w:val="none" w:sz="0" w:space="0" w:color="auto"/>
      </w:divBdr>
    </w:div>
    <w:div w:id="1903521767">
      <w:bodyDiv w:val="1"/>
      <w:marLeft w:val="0"/>
      <w:marRight w:val="0"/>
      <w:marTop w:val="0"/>
      <w:marBottom w:val="0"/>
      <w:divBdr>
        <w:top w:val="none" w:sz="0" w:space="0" w:color="auto"/>
        <w:left w:val="none" w:sz="0" w:space="0" w:color="auto"/>
        <w:bottom w:val="none" w:sz="0" w:space="0" w:color="auto"/>
        <w:right w:val="none" w:sz="0" w:space="0" w:color="auto"/>
      </w:divBdr>
    </w:div>
    <w:div w:id="1922793236">
      <w:bodyDiv w:val="1"/>
      <w:marLeft w:val="0"/>
      <w:marRight w:val="0"/>
      <w:marTop w:val="0"/>
      <w:marBottom w:val="0"/>
      <w:divBdr>
        <w:top w:val="none" w:sz="0" w:space="0" w:color="auto"/>
        <w:left w:val="none" w:sz="0" w:space="0" w:color="auto"/>
        <w:bottom w:val="none" w:sz="0" w:space="0" w:color="auto"/>
        <w:right w:val="none" w:sz="0" w:space="0" w:color="auto"/>
      </w:divBdr>
    </w:div>
    <w:div w:id="2056083789">
      <w:bodyDiv w:val="1"/>
      <w:marLeft w:val="0"/>
      <w:marRight w:val="0"/>
      <w:marTop w:val="0"/>
      <w:marBottom w:val="0"/>
      <w:divBdr>
        <w:top w:val="none" w:sz="0" w:space="0" w:color="auto"/>
        <w:left w:val="none" w:sz="0" w:space="0" w:color="auto"/>
        <w:bottom w:val="none" w:sz="0" w:space="0" w:color="auto"/>
        <w:right w:val="none" w:sz="0" w:space="0" w:color="auto"/>
      </w:divBdr>
    </w:div>
    <w:div w:id="212029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23FE8-F5D9-4750-9A18-4AF24B7B6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1302</Words>
  <Characters>7167</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Apoyo Plenario</dc:creator>
  <cp:keywords/>
  <dc:description/>
  <cp:lastModifiedBy>Apoyo Plenario</cp:lastModifiedBy>
  <cp:revision>6</cp:revision>
  <cp:lastPrinted>2017-05-18T18:47:00Z</cp:lastPrinted>
  <dcterms:created xsi:type="dcterms:W3CDTF">2017-04-07T19:51:00Z</dcterms:created>
  <dcterms:modified xsi:type="dcterms:W3CDTF">2017-06-13T14:03:00Z</dcterms:modified>
</cp:coreProperties>
</file>