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31" w:rsidRPr="00975131" w:rsidRDefault="00975131" w:rsidP="00975131">
      <w:pPr>
        <w:spacing w:after="0" w:line="240" w:lineRule="auto"/>
        <w:jc w:val="both"/>
        <w:rPr>
          <w:rFonts w:asciiTheme="majorHAnsi" w:hAnsiTheme="majorHAnsi" w:cstheme="majorHAnsi"/>
          <w:b/>
        </w:rPr>
      </w:pPr>
    </w:p>
    <w:p w:rsidR="00975131" w:rsidRPr="00975131" w:rsidRDefault="00975131" w:rsidP="00975131">
      <w:pPr>
        <w:spacing w:after="0" w:line="240" w:lineRule="auto"/>
        <w:jc w:val="center"/>
        <w:rPr>
          <w:rFonts w:asciiTheme="majorHAnsi" w:hAnsiTheme="majorHAnsi" w:cstheme="majorHAnsi"/>
          <w:b/>
        </w:rPr>
      </w:pPr>
      <w:r w:rsidRPr="00975131">
        <w:rPr>
          <w:rFonts w:asciiTheme="majorHAnsi" w:hAnsiTheme="majorHAnsi" w:cstheme="majorHAnsi"/>
          <w:b/>
        </w:rPr>
        <w:t>ACUERDO DEL PLENO</w:t>
      </w:r>
    </w:p>
    <w:p w:rsidR="00975131" w:rsidRPr="00975131" w:rsidRDefault="00975131" w:rsidP="00975131">
      <w:pPr>
        <w:spacing w:after="0" w:line="240" w:lineRule="auto"/>
        <w:jc w:val="center"/>
        <w:rPr>
          <w:rFonts w:asciiTheme="majorHAnsi" w:hAnsiTheme="majorHAnsi" w:cstheme="majorHAnsi"/>
          <w:b/>
        </w:rPr>
      </w:pPr>
    </w:p>
    <w:p w:rsidR="00975131" w:rsidRPr="00975131" w:rsidRDefault="00975131" w:rsidP="00975131">
      <w:pPr>
        <w:spacing w:after="0" w:line="240" w:lineRule="auto"/>
        <w:jc w:val="both"/>
        <w:rPr>
          <w:rFonts w:asciiTheme="majorHAnsi" w:hAnsiTheme="majorHAnsi" w:cstheme="majorHAnsi"/>
        </w:rPr>
      </w:pPr>
      <w:r w:rsidRPr="00975131">
        <w:rPr>
          <w:rFonts w:asciiTheme="majorHAnsi" w:hAnsiTheme="majorHAnsi" w:cstheme="majorHAnsi"/>
        </w:rPr>
        <w:t xml:space="preserve">En la ciudad de Mérida, Yucatán, siendo </w:t>
      </w:r>
      <w:r w:rsidRPr="00542E11">
        <w:rPr>
          <w:rFonts w:asciiTheme="majorHAnsi" w:hAnsiTheme="majorHAnsi" w:cstheme="majorHAnsi"/>
        </w:rPr>
        <w:t xml:space="preserve">las </w:t>
      </w:r>
      <w:r w:rsidR="00A06764">
        <w:rPr>
          <w:rFonts w:asciiTheme="majorHAnsi" w:hAnsiTheme="majorHAnsi" w:cstheme="majorHAnsi"/>
        </w:rPr>
        <w:t>13</w:t>
      </w:r>
      <w:r w:rsidRPr="00542E11">
        <w:rPr>
          <w:rFonts w:asciiTheme="majorHAnsi" w:hAnsiTheme="majorHAnsi" w:cstheme="majorHAnsi"/>
        </w:rPr>
        <w:t xml:space="preserve"> horas con </w:t>
      </w:r>
      <w:r w:rsidR="00A06764">
        <w:rPr>
          <w:rFonts w:asciiTheme="majorHAnsi" w:hAnsiTheme="majorHAnsi" w:cstheme="majorHAnsi"/>
        </w:rPr>
        <w:t>1</w:t>
      </w:r>
      <w:r w:rsidR="00542E11" w:rsidRPr="00542E11">
        <w:rPr>
          <w:rFonts w:asciiTheme="majorHAnsi" w:hAnsiTheme="majorHAnsi" w:cstheme="majorHAnsi"/>
        </w:rPr>
        <w:t>7</w:t>
      </w:r>
      <w:r w:rsidRPr="00542E11">
        <w:rPr>
          <w:rFonts w:asciiTheme="majorHAnsi" w:hAnsiTheme="majorHAnsi" w:cstheme="majorHAnsi"/>
        </w:rPr>
        <w:t xml:space="preserve"> minutos,</w:t>
      </w:r>
      <w:r w:rsidRPr="00975131">
        <w:rPr>
          <w:rFonts w:asciiTheme="majorHAnsi" w:hAnsiTheme="majorHAnsi" w:cstheme="majorHAnsi"/>
        </w:rPr>
        <w:t xml:space="preserve"> del día </w:t>
      </w:r>
      <w:r w:rsidR="00542E11" w:rsidRPr="00542E11">
        <w:rPr>
          <w:rFonts w:asciiTheme="majorHAnsi" w:hAnsiTheme="majorHAnsi" w:cstheme="majorHAnsi"/>
        </w:rPr>
        <w:t>12</w:t>
      </w:r>
      <w:r w:rsidRPr="00542E11">
        <w:rPr>
          <w:rFonts w:asciiTheme="majorHAnsi" w:hAnsiTheme="majorHAnsi" w:cstheme="majorHAnsi"/>
        </w:rPr>
        <w:t xml:space="preserve"> de diciembre de 2016, encontrándose reunidos los integrantes del Pleno del Instituto Estatal de Transparencia, Acceso a la Información Pública y Protección de Datos Personales, los Comisionados Licenciada en Derecho </w:t>
      </w:r>
      <w:r w:rsidRPr="00542E11">
        <w:rPr>
          <w:rFonts w:asciiTheme="majorHAnsi" w:eastAsia="Times New Roman" w:hAnsiTheme="majorHAnsi" w:cstheme="majorHAnsi"/>
          <w:lang w:val="es-ES" w:eastAsia="ar-SA"/>
        </w:rPr>
        <w:t>Susana Aguilar Covarrubias,</w:t>
      </w:r>
      <w:r w:rsidRPr="00542E11">
        <w:rPr>
          <w:rFonts w:asciiTheme="majorHAnsi" w:hAnsiTheme="majorHAnsi" w:cstheme="majorHAnsi"/>
        </w:rPr>
        <w:t xml:space="preserve"> el Ingeniero</w:t>
      </w:r>
      <w:r w:rsidRPr="00542E11">
        <w:rPr>
          <w:rFonts w:asciiTheme="majorHAnsi" w:eastAsia="Times New Roman" w:hAnsiTheme="majorHAnsi" w:cstheme="majorHAnsi"/>
          <w:lang w:val="es-ES" w:eastAsia="ar-SA"/>
        </w:rPr>
        <w:t xml:space="preserve"> Civil Víctor Manuel May Vera y la Licenciada</w:t>
      </w:r>
      <w:r w:rsidRPr="00975131">
        <w:rPr>
          <w:rFonts w:asciiTheme="majorHAnsi" w:eastAsia="Times New Roman" w:hAnsiTheme="majorHAnsi" w:cstheme="majorHAnsi"/>
          <w:lang w:val="es-ES" w:eastAsia="ar-SA"/>
        </w:rPr>
        <w:t xml:space="preserve"> en Derecho María Eugenia Sansores Ruz, Comisionada Presidenta y Comisionados, respectivamente, </w:t>
      </w:r>
      <w:r w:rsidRPr="00975131">
        <w:rPr>
          <w:rFonts w:asciiTheme="majorHAnsi" w:hAnsiTheme="majorHAnsi" w:cstheme="majorHAnsi"/>
        </w:rPr>
        <w:t>emiten el presente acuerdo de conformidad con los siguientes antecedentes y considerandos:</w:t>
      </w:r>
    </w:p>
    <w:p w:rsidR="00975131" w:rsidRPr="00975131" w:rsidRDefault="00975131" w:rsidP="00975131">
      <w:pPr>
        <w:spacing w:after="0" w:line="240" w:lineRule="auto"/>
        <w:jc w:val="both"/>
        <w:rPr>
          <w:rFonts w:asciiTheme="majorHAnsi" w:hAnsiTheme="majorHAnsi" w:cstheme="majorHAnsi"/>
        </w:rPr>
      </w:pPr>
    </w:p>
    <w:p w:rsidR="00975131" w:rsidRPr="00975131" w:rsidRDefault="00975131" w:rsidP="00975131">
      <w:pPr>
        <w:spacing w:after="0" w:line="240" w:lineRule="auto"/>
        <w:jc w:val="center"/>
        <w:rPr>
          <w:rFonts w:asciiTheme="majorHAnsi" w:hAnsiTheme="majorHAnsi" w:cstheme="majorHAnsi"/>
          <w:b/>
        </w:rPr>
      </w:pPr>
      <w:r w:rsidRPr="00975131">
        <w:rPr>
          <w:rFonts w:asciiTheme="majorHAnsi" w:hAnsiTheme="majorHAnsi" w:cstheme="majorHAnsi"/>
          <w:b/>
        </w:rPr>
        <w:t>ANTECEDENTES</w:t>
      </w:r>
    </w:p>
    <w:p w:rsidR="00975131" w:rsidRPr="00975131" w:rsidRDefault="00975131" w:rsidP="00975131">
      <w:pPr>
        <w:spacing w:after="0" w:line="240" w:lineRule="auto"/>
        <w:jc w:val="center"/>
        <w:rPr>
          <w:rFonts w:asciiTheme="majorHAnsi" w:hAnsiTheme="majorHAnsi" w:cstheme="majorHAnsi"/>
          <w:b/>
        </w:rPr>
      </w:pPr>
    </w:p>
    <w:p w:rsidR="00975131" w:rsidRPr="00975131" w:rsidRDefault="00975131" w:rsidP="00975131">
      <w:pPr>
        <w:spacing w:after="0" w:line="240" w:lineRule="auto"/>
        <w:jc w:val="both"/>
        <w:rPr>
          <w:rFonts w:asciiTheme="majorHAnsi" w:eastAsia="Arial" w:hAnsiTheme="majorHAnsi" w:cstheme="majorHAnsi"/>
        </w:rPr>
      </w:pPr>
      <w:r w:rsidRPr="00975131">
        <w:rPr>
          <w:rFonts w:asciiTheme="majorHAnsi" w:hAnsiTheme="majorHAnsi" w:cstheme="majorHAnsi"/>
          <w:b/>
        </w:rPr>
        <w:t>PRIMERO.-</w:t>
      </w:r>
      <w:r w:rsidRPr="00975131">
        <w:rPr>
          <w:rFonts w:asciiTheme="majorHAnsi" w:hAnsiTheme="majorHAnsi" w:cstheme="majorHAnsi"/>
        </w:rPr>
        <w:t xml:space="preserve"> </w:t>
      </w:r>
      <w:r w:rsidRPr="00975131">
        <w:rPr>
          <w:rFonts w:asciiTheme="majorHAnsi" w:eastAsia="Arial" w:hAnsiTheme="majorHAnsi" w:cstheme="majorHAnsi"/>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975131" w:rsidRPr="00975131" w:rsidRDefault="00975131" w:rsidP="00975131">
      <w:pPr>
        <w:spacing w:after="0" w:line="240" w:lineRule="auto"/>
        <w:jc w:val="both"/>
        <w:rPr>
          <w:rFonts w:asciiTheme="majorHAnsi" w:hAnsiTheme="majorHAnsi" w:cstheme="majorHAnsi"/>
        </w:rPr>
      </w:pPr>
    </w:p>
    <w:p w:rsidR="00975131" w:rsidRPr="00975131" w:rsidRDefault="00975131" w:rsidP="00975131">
      <w:pPr>
        <w:spacing w:after="0" w:line="240" w:lineRule="auto"/>
        <w:jc w:val="both"/>
        <w:rPr>
          <w:rFonts w:asciiTheme="majorHAnsi" w:eastAsia="Arial" w:hAnsiTheme="majorHAnsi" w:cstheme="majorHAnsi"/>
        </w:rPr>
      </w:pPr>
      <w:r w:rsidRPr="00975131">
        <w:rPr>
          <w:rFonts w:asciiTheme="majorHAnsi" w:eastAsia="Arial" w:hAnsiTheme="majorHAnsi" w:cstheme="majorHAnsi"/>
          <w:b/>
        </w:rPr>
        <w:t xml:space="preserve">SEGUNDO.- </w:t>
      </w:r>
      <w:r w:rsidRPr="00975131">
        <w:rPr>
          <w:rFonts w:asciiTheme="majorHAnsi" w:eastAsia="Arial" w:hAnsiTheme="majorHAnsi" w:cstheme="majorHAnsi"/>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es decir el 5 de mayo de 2015, para armonizar las leyes relativas conforme a lo establecido en la Ley general.</w:t>
      </w:r>
    </w:p>
    <w:p w:rsidR="00975131" w:rsidRPr="00975131" w:rsidRDefault="00975131" w:rsidP="00975131">
      <w:pPr>
        <w:spacing w:after="0" w:line="240" w:lineRule="auto"/>
        <w:jc w:val="both"/>
        <w:rPr>
          <w:rFonts w:asciiTheme="majorHAnsi" w:eastAsia="Arial" w:hAnsiTheme="majorHAnsi" w:cstheme="majorHAnsi"/>
          <w:b/>
        </w:rPr>
      </w:pPr>
    </w:p>
    <w:p w:rsidR="00975131" w:rsidRPr="00975131" w:rsidRDefault="00975131" w:rsidP="00975131">
      <w:pPr>
        <w:spacing w:after="0" w:line="240" w:lineRule="auto"/>
        <w:jc w:val="both"/>
        <w:rPr>
          <w:rFonts w:asciiTheme="majorHAnsi" w:eastAsia="Arial" w:hAnsiTheme="majorHAnsi" w:cstheme="majorHAnsi"/>
        </w:rPr>
      </w:pPr>
      <w:r w:rsidRPr="00975131">
        <w:rPr>
          <w:rFonts w:asciiTheme="majorHAnsi" w:eastAsia="Arial" w:hAnsiTheme="majorHAnsi" w:cstheme="majorHAnsi"/>
          <w:b/>
        </w:rPr>
        <w:t xml:space="preserve">TERCERO.- </w:t>
      </w:r>
      <w:r w:rsidRPr="00975131">
        <w:rPr>
          <w:rFonts w:asciiTheme="majorHAnsi" w:eastAsia="Arial" w:hAnsiTheme="majorHAnsi" w:cstheme="majorHAnsi"/>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para la homologación de la legislación estatal, acorde a lo dispuesto en la Ley General, Ley reglamentaria del artículo 6 constitucional.</w:t>
      </w:r>
    </w:p>
    <w:p w:rsidR="00975131" w:rsidRPr="00975131" w:rsidRDefault="00975131" w:rsidP="00975131">
      <w:pPr>
        <w:spacing w:after="0" w:line="240" w:lineRule="auto"/>
        <w:jc w:val="both"/>
        <w:rPr>
          <w:rFonts w:asciiTheme="majorHAnsi" w:eastAsia="Arial" w:hAnsiTheme="majorHAnsi" w:cstheme="majorHAnsi"/>
        </w:rPr>
      </w:pPr>
    </w:p>
    <w:p w:rsidR="006C0F2D" w:rsidRDefault="00975131" w:rsidP="00975131">
      <w:pPr>
        <w:spacing w:line="240" w:lineRule="auto"/>
        <w:jc w:val="both"/>
        <w:rPr>
          <w:rFonts w:asciiTheme="majorHAnsi" w:eastAsia="Arial" w:hAnsiTheme="majorHAnsi" w:cstheme="majorHAnsi"/>
        </w:rPr>
      </w:pPr>
      <w:r w:rsidRPr="00975131">
        <w:rPr>
          <w:rFonts w:asciiTheme="majorHAnsi" w:eastAsia="Arial" w:hAnsiTheme="majorHAnsi" w:cstheme="majorHAnsi"/>
          <w:b/>
        </w:rPr>
        <w:t>CUARTO.-</w:t>
      </w:r>
      <w:r w:rsidRPr="00975131">
        <w:rPr>
          <w:rFonts w:asciiTheme="majorHAnsi" w:eastAsia="Arial" w:hAnsiTheme="majorHAnsi" w:cstheme="majorHAnsi"/>
        </w:rPr>
        <w:t xml:space="preserve"> El 2 de mayo de 2016, se publicó en el Diario Oficial del Gobierno del Estado, el Decreto 388/2016, por el que se expide la Ley de Transparencia y Acceso a la Información Pública del Estado de Yucatán, a través del cual se dio cumplimiento a lo establecido en el transitorio quinto de la Ley General de Transparencia y Acceso a la Información Pública, la homologación de la Ley estatal conforme a lo dispuesto en la citada Ley general.</w:t>
      </w:r>
    </w:p>
    <w:p w:rsidR="006C0F2D" w:rsidRPr="003205FE" w:rsidRDefault="006C0F2D" w:rsidP="006C0F2D">
      <w:pPr>
        <w:spacing w:line="240" w:lineRule="auto"/>
        <w:jc w:val="both"/>
        <w:rPr>
          <w:rFonts w:ascii="Calibri Light" w:hAnsi="Calibri Light"/>
        </w:rPr>
      </w:pPr>
      <w:r>
        <w:rPr>
          <w:rFonts w:asciiTheme="majorHAnsi" w:eastAsia="Arial" w:hAnsiTheme="majorHAnsi" w:cstheme="majorHAnsi"/>
          <w:b/>
        </w:rPr>
        <w:t>QUINTO.-</w:t>
      </w:r>
      <w:r w:rsidR="004E5471">
        <w:rPr>
          <w:rFonts w:asciiTheme="majorHAnsi" w:eastAsia="Arial" w:hAnsiTheme="majorHAnsi" w:cstheme="majorHAnsi"/>
          <w:b/>
        </w:rPr>
        <w:t xml:space="preserve"> </w:t>
      </w:r>
      <w:r w:rsidRPr="003205FE">
        <w:rPr>
          <w:rFonts w:ascii="Calibri Light" w:hAnsi="Calibri Light"/>
        </w:rPr>
        <w:t xml:space="preserve">El artículo 99 de la Ley de Presupuesto y Contabilidad Gubernamental del Estado de Yucatán, </w:t>
      </w:r>
      <w:r w:rsidR="004E5471">
        <w:rPr>
          <w:rFonts w:ascii="Calibri Light" w:hAnsi="Calibri Light"/>
        </w:rPr>
        <w:t>indica el contenido de las adecuaciones presupuestales</w:t>
      </w:r>
      <w:r w:rsidRPr="003205FE">
        <w:rPr>
          <w:rFonts w:ascii="Calibri Light" w:hAnsi="Calibri Light"/>
        </w:rPr>
        <w:t>:</w:t>
      </w:r>
    </w:p>
    <w:p w:rsidR="006C0F2D" w:rsidRPr="003205FE" w:rsidRDefault="006C0F2D" w:rsidP="006C0F2D">
      <w:pPr>
        <w:spacing w:line="240" w:lineRule="auto"/>
        <w:ind w:left="1134" w:right="900"/>
        <w:jc w:val="both"/>
        <w:rPr>
          <w:rFonts w:ascii="Calibri Light" w:hAnsi="Calibri Light"/>
          <w:b/>
          <w:i/>
        </w:rPr>
      </w:pPr>
      <w:r w:rsidRPr="003205FE">
        <w:rPr>
          <w:rFonts w:ascii="Calibri Light" w:hAnsi="Calibri Light"/>
          <w:b/>
          <w:i/>
        </w:rPr>
        <w:t>“…Artículo 99.- Las adecuaciones presupuestales comprenderán:</w:t>
      </w:r>
    </w:p>
    <w:p w:rsidR="006C0F2D" w:rsidRPr="003205FE" w:rsidRDefault="006C0F2D" w:rsidP="006C0F2D">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6C0F2D" w:rsidRPr="003205FE" w:rsidRDefault="006C0F2D" w:rsidP="006C0F2D">
      <w:pPr>
        <w:spacing w:line="240" w:lineRule="auto"/>
        <w:ind w:left="1134" w:right="900"/>
        <w:jc w:val="both"/>
        <w:rPr>
          <w:rFonts w:ascii="Calibri Light" w:hAnsi="Calibri Light"/>
          <w:b/>
          <w:i/>
        </w:rPr>
      </w:pPr>
      <w:r w:rsidRPr="003205FE">
        <w:rPr>
          <w:rFonts w:ascii="Calibri Light" w:hAnsi="Calibri Light"/>
          <w:b/>
          <w:i/>
        </w:rPr>
        <w:t>II.- Modificaciones a los calendarios de presupuesto, y</w:t>
      </w:r>
    </w:p>
    <w:p w:rsidR="006C0F2D" w:rsidRPr="003205FE" w:rsidRDefault="006C0F2D" w:rsidP="006C0F2D">
      <w:pPr>
        <w:spacing w:line="240" w:lineRule="auto"/>
        <w:ind w:left="1134" w:right="900"/>
        <w:jc w:val="both"/>
        <w:rPr>
          <w:rFonts w:ascii="Calibri Light" w:hAnsi="Calibri Light"/>
          <w:b/>
          <w:i/>
        </w:rPr>
      </w:pPr>
      <w:r w:rsidRPr="003205FE">
        <w:rPr>
          <w:rFonts w:ascii="Calibri Light" w:hAnsi="Calibri Light"/>
          <w:b/>
          <w:i/>
        </w:rPr>
        <w:lastRenderedPageBreak/>
        <w:t>III.- Ampliaciones y reducciones líquidas al Presupuesto de Egresos o a los flujos de efectivo correspondientes…”</w:t>
      </w:r>
    </w:p>
    <w:p w:rsidR="006C0F2D" w:rsidRPr="003205FE" w:rsidRDefault="006C0F2D" w:rsidP="006C0F2D">
      <w:pPr>
        <w:spacing w:line="240" w:lineRule="auto"/>
        <w:jc w:val="both"/>
        <w:rPr>
          <w:rFonts w:ascii="Calibri Light" w:hAnsi="Calibri Light"/>
        </w:rPr>
      </w:pPr>
      <w:r w:rsidRPr="006C0F2D">
        <w:rPr>
          <w:rFonts w:asciiTheme="majorHAnsi" w:eastAsia="Arial" w:hAnsiTheme="majorHAnsi" w:cstheme="majorHAnsi"/>
          <w:b/>
        </w:rPr>
        <w:t>SEXTO.-</w:t>
      </w:r>
      <w:r>
        <w:rPr>
          <w:rFonts w:asciiTheme="majorHAnsi" w:eastAsia="Arial" w:hAnsiTheme="majorHAnsi" w:cstheme="majorHAnsi"/>
        </w:rPr>
        <w:t xml:space="preserve"> </w:t>
      </w:r>
      <w:r w:rsidR="004E5471">
        <w:rPr>
          <w:rFonts w:ascii="Calibri Light" w:hAnsi="Calibri Light"/>
        </w:rPr>
        <w:t>E</w:t>
      </w:r>
      <w:r w:rsidRPr="003205FE">
        <w:rPr>
          <w:rFonts w:ascii="Calibri Light" w:hAnsi="Calibri Light"/>
        </w:rPr>
        <w:t xml:space="preserve">l artículo 103 de la Ley de Presupuesto y Contabilidad Gubernamental del Estado de Yucatán, </w:t>
      </w:r>
      <w:r>
        <w:rPr>
          <w:rFonts w:ascii="Calibri Light" w:hAnsi="Calibri Light"/>
        </w:rPr>
        <w:t xml:space="preserve">establece que </w:t>
      </w:r>
      <w:r w:rsidRPr="003205FE">
        <w:rPr>
          <w:rFonts w:ascii="Calibri Light" w:hAnsi="Calibri Light"/>
        </w:rPr>
        <w:t xml:space="preserve">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6C0F2D" w:rsidRPr="006C0F2D" w:rsidRDefault="006C0F2D" w:rsidP="00975131">
      <w:pPr>
        <w:spacing w:line="240" w:lineRule="auto"/>
        <w:jc w:val="both"/>
        <w:rPr>
          <w:rFonts w:ascii="Calibri Light" w:hAnsi="Calibri Light"/>
        </w:rPr>
      </w:pPr>
      <w:r>
        <w:rPr>
          <w:rFonts w:ascii="Calibri Light" w:hAnsi="Calibri Light"/>
          <w:b/>
        </w:rPr>
        <w:t xml:space="preserve">SÉPTIMO.- </w:t>
      </w:r>
      <w:r w:rsidR="004E5471">
        <w:rPr>
          <w:rFonts w:ascii="Calibri Light" w:hAnsi="Calibri Light"/>
        </w:rPr>
        <w:t>En</w:t>
      </w:r>
      <w:r w:rsidRPr="003205FE">
        <w:rPr>
          <w:rFonts w:ascii="Calibri Light" w:hAnsi="Calibri Light"/>
        </w:rPr>
        <w:t xml:space="preserve"> sesión pública del día siete de enero de dos mil dieciséis,</w:t>
      </w:r>
      <w:r>
        <w:rPr>
          <w:rFonts w:ascii="Calibri Light" w:hAnsi="Calibri Light"/>
        </w:rPr>
        <w:t xml:space="preserve"> </w:t>
      </w:r>
      <w:r w:rsidR="004E5471">
        <w:rPr>
          <w:rFonts w:ascii="Calibri Light" w:hAnsi="Calibri Light"/>
        </w:rPr>
        <w:t xml:space="preserve">se establece que </w:t>
      </w:r>
      <w:r>
        <w:rPr>
          <w:rFonts w:ascii="Calibri Light" w:hAnsi="Calibri Light"/>
        </w:rPr>
        <w:t>el</w:t>
      </w:r>
      <w:r w:rsidRPr="003205FE">
        <w:rPr>
          <w:rFonts w:ascii="Calibri Light" w:hAnsi="Calibri Light"/>
        </w:rPr>
        <w:t xml:space="preserve"> </w:t>
      </w:r>
      <w:r w:rsidRPr="00C65CB2">
        <w:rPr>
          <w:rFonts w:ascii="Calibri Light" w:hAnsi="Calibri Light"/>
        </w:rPr>
        <w:t>Pleno</w:t>
      </w:r>
      <w:r w:rsidRPr="003205FE">
        <w:rPr>
          <w:rFonts w:ascii="Calibri Light" w:hAnsi="Calibri Light"/>
        </w:rPr>
        <w:t xml:space="preserve"> </w:t>
      </w:r>
      <w:r>
        <w:rPr>
          <w:rFonts w:ascii="Calibri Light" w:hAnsi="Calibri Light"/>
        </w:rPr>
        <w:t xml:space="preserve">del INAIP </w:t>
      </w:r>
      <w:r w:rsidRPr="003205FE">
        <w:rPr>
          <w:rFonts w:ascii="Calibri Light" w:hAnsi="Calibri Light"/>
        </w:rPr>
        <w:t xml:space="preserve">es el encargado de autorizar las adecuaciones del calendario de ejecución de gastos </w:t>
      </w:r>
      <w:r w:rsidRPr="003205FE">
        <w:rPr>
          <w:rFonts w:ascii="Calibri Light" w:hAnsi="Calibri Light" w:cs="Arial"/>
        </w:rPr>
        <w:t>del capítulo 1000, relativo a servicios personales.</w:t>
      </w:r>
    </w:p>
    <w:p w:rsidR="00975131" w:rsidRPr="00975131" w:rsidRDefault="00975131" w:rsidP="00975131">
      <w:pPr>
        <w:spacing w:after="0" w:line="240" w:lineRule="auto"/>
        <w:rPr>
          <w:rFonts w:asciiTheme="majorHAnsi" w:eastAsia="Arial" w:hAnsiTheme="majorHAnsi" w:cstheme="majorHAnsi"/>
          <w:b/>
        </w:rPr>
      </w:pPr>
    </w:p>
    <w:p w:rsidR="00975131" w:rsidRPr="00975131" w:rsidRDefault="00975131" w:rsidP="00975131">
      <w:pPr>
        <w:spacing w:after="0" w:line="240" w:lineRule="auto"/>
        <w:jc w:val="center"/>
        <w:rPr>
          <w:rFonts w:asciiTheme="majorHAnsi" w:hAnsiTheme="majorHAnsi" w:cstheme="majorHAnsi"/>
          <w:b/>
        </w:rPr>
      </w:pPr>
      <w:r w:rsidRPr="00975131">
        <w:rPr>
          <w:rFonts w:asciiTheme="majorHAnsi" w:hAnsiTheme="majorHAnsi" w:cstheme="majorHAnsi"/>
          <w:b/>
        </w:rPr>
        <w:t>CONSIDERANDOS</w:t>
      </w:r>
    </w:p>
    <w:p w:rsidR="00975131" w:rsidRPr="00975131" w:rsidRDefault="00975131" w:rsidP="00975131">
      <w:pPr>
        <w:spacing w:after="0" w:line="240" w:lineRule="auto"/>
        <w:jc w:val="center"/>
        <w:rPr>
          <w:rFonts w:asciiTheme="majorHAnsi" w:hAnsiTheme="majorHAnsi" w:cstheme="majorHAnsi"/>
          <w:b/>
        </w:rPr>
      </w:pPr>
    </w:p>
    <w:p w:rsidR="00975131" w:rsidRDefault="00975131" w:rsidP="00975131">
      <w:pPr>
        <w:spacing w:after="0" w:line="240" w:lineRule="auto"/>
        <w:jc w:val="both"/>
        <w:rPr>
          <w:rFonts w:asciiTheme="majorHAnsi" w:hAnsiTheme="majorHAnsi" w:cstheme="majorHAnsi"/>
        </w:rPr>
      </w:pPr>
      <w:r w:rsidRPr="00975131">
        <w:rPr>
          <w:rFonts w:asciiTheme="majorHAnsi" w:hAnsiTheme="majorHAnsi" w:cstheme="majorHAnsi"/>
          <w:b/>
        </w:rPr>
        <w:t>PRIMERO.-</w:t>
      </w:r>
      <w:r w:rsidRPr="00975131">
        <w:rPr>
          <w:rFonts w:asciiTheme="majorHAnsi" w:hAnsiTheme="majorHAnsi" w:cstheme="majorHAnsi"/>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B502F6" w:rsidRDefault="00B502F6" w:rsidP="00975131">
      <w:pPr>
        <w:spacing w:after="0" w:line="240" w:lineRule="auto"/>
        <w:jc w:val="both"/>
        <w:rPr>
          <w:rFonts w:asciiTheme="majorHAnsi" w:hAnsiTheme="majorHAnsi" w:cstheme="majorHAnsi"/>
        </w:rPr>
      </w:pPr>
    </w:p>
    <w:p w:rsidR="00975131" w:rsidRPr="00975131" w:rsidRDefault="00887B1E" w:rsidP="00975131">
      <w:pPr>
        <w:spacing w:after="0" w:line="240" w:lineRule="auto"/>
        <w:jc w:val="both"/>
        <w:rPr>
          <w:rFonts w:asciiTheme="majorHAnsi" w:hAnsiTheme="majorHAnsi" w:cstheme="majorHAnsi"/>
        </w:rPr>
      </w:pPr>
      <w:r>
        <w:rPr>
          <w:rFonts w:asciiTheme="majorHAnsi" w:hAnsiTheme="majorHAnsi" w:cstheme="majorHAnsi"/>
          <w:b/>
        </w:rPr>
        <w:t>SEGUNDO</w:t>
      </w:r>
      <w:r w:rsidR="00975131" w:rsidRPr="00975131">
        <w:rPr>
          <w:rFonts w:asciiTheme="majorHAnsi" w:hAnsiTheme="majorHAnsi" w:cstheme="majorHAnsi"/>
          <w:b/>
        </w:rPr>
        <w:t xml:space="preserve">.- </w:t>
      </w:r>
      <w:r w:rsidR="00975131" w:rsidRPr="00975131">
        <w:rPr>
          <w:rFonts w:asciiTheme="majorHAnsi" w:hAnsiTheme="majorHAnsi" w:cstheme="majorHAnsi"/>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w:t>
      </w:r>
    </w:p>
    <w:p w:rsidR="00975131" w:rsidRPr="00975131" w:rsidRDefault="00975131" w:rsidP="00975131">
      <w:pPr>
        <w:autoSpaceDE w:val="0"/>
        <w:autoSpaceDN w:val="0"/>
        <w:adjustRightInd w:val="0"/>
        <w:spacing w:after="0" w:line="240" w:lineRule="auto"/>
        <w:jc w:val="both"/>
        <w:rPr>
          <w:rFonts w:asciiTheme="majorHAnsi" w:hAnsiTheme="majorHAnsi" w:cstheme="majorHAnsi"/>
        </w:rPr>
      </w:pPr>
    </w:p>
    <w:p w:rsidR="00975131" w:rsidRDefault="00887B1E" w:rsidP="00975131">
      <w:pPr>
        <w:spacing w:after="0" w:line="240" w:lineRule="auto"/>
        <w:jc w:val="both"/>
        <w:rPr>
          <w:rFonts w:asciiTheme="majorHAnsi" w:hAnsiTheme="majorHAnsi" w:cstheme="majorHAnsi"/>
        </w:rPr>
      </w:pPr>
      <w:r>
        <w:rPr>
          <w:rFonts w:asciiTheme="majorHAnsi" w:hAnsiTheme="majorHAnsi" w:cstheme="majorHAnsi"/>
          <w:b/>
        </w:rPr>
        <w:t>TERCERO</w:t>
      </w:r>
      <w:r w:rsidR="00975131" w:rsidRPr="00975131">
        <w:rPr>
          <w:rFonts w:asciiTheme="majorHAnsi" w:hAnsiTheme="majorHAnsi" w:cstheme="majorHAnsi"/>
          <w:b/>
        </w:rPr>
        <w:t xml:space="preserve">.- </w:t>
      </w:r>
      <w:r w:rsidR="00975131" w:rsidRPr="00975131">
        <w:rPr>
          <w:rFonts w:asciiTheme="majorHAnsi" w:hAnsiTheme="majorHAnsi" w:cstheme="majorHAnsi"/>
        </w:rPr>
        <w:t>Que de conformidad con el artículo 8 fracción IX del Reglamento Interior del Instituto Estatal de Acceso a la Información Pública del Estado de Yucatán, vigente, el Pleno es el encargado de aprobar la creación o modificación de las partidas presupuestales cuando así se requiera.</w:t>
      </w:r>
    </w:p>
    <w:p w:rsidR="00A06764" w:rsidRDefault="00A06764" w:rsidP="00975131">
      <w:pPr>
        <w:spacing w:after="0" w:line="240" w:lineRule="auto"/>
        <w:jc w:val="both"/>
        <w:rPr>
          <w:rFonts w:asciiTheme="majorHAnsi" w:hAnsiTheme="majorHAnsi" w:cstheme="majorHAnsi"/>
        </w:rPr>
      </w:pPr>
    </w:p>
    <w:p w:rsidR="006C0F2D" w:rsidRPr="004E5471" w:rsidRDefault="00A06764" w:rsidP="006C0F2D">
      <w:pPr>
        <w:spacing w:line="240" w:lineRule="auto"/>
        <w:jc w:val="both"/>
        <w:rPr>
          <w:rFonts w:asciiTheme="majorHAnsi" w:hAnsiTheme="majorHAnsi" w:cstheme="majorHAnsi"/>
        </w:rPr>
      </w:pPr>
      <w:r w:rsidRPr="004E5471">
        <w:rPr>
          <w:rFonts w:asciiTheme="majorHAnsi" w:hAnsiTheme="majorHAnsi" w:cstheme="majorHAnsi"/>
          <w:b/>
        </w:rPr>
        <w:t xml:space="preserve">CUARTO.- </w:t>
      </w:r>
      <w:r w:rsidR="006C0F2D" w:rsidRPr="004E5471">
        <w:rPr>
          <w:rFonts w:asciiTheme="majorHAnsi" w:hAnsiTheme="majorHAnsi" w:cstheme="majorHAnsi"/>
        </w:rPr>
        <w:t xml:space="preserve">Que el Pleno del Instituto Estatal de Transparencia, Acceso a la Información Pública y Protección de Datos Personales, reconoce el </w:t>
      </w:r>
      <w:r w:rsidR="00782468">
        <w:rPr>
          <w:rFonts w:asciiTheme="majorHAnsi" w:hAnsiTheme="majorHAnsi" w:cstheme="majorHAnsi"/>
        </w:rPr>
        <w:t>esfuerzo,</w:t>
      </w:r>
      <w:r w:rsidR="00782468" w:rsidRPr="00542E11">
        <w:rPr>
          <w:rFonts w:asciiTheme="majorHAnsi" w:hAnsiTheme="majorHAnsi" w:cstheme="majorHAnsi"/>
        </w:rPr>
        <w:t xml:space="preserve"> dedicación </w:t>
      </w:r>
      <w:r w:rsidR="00782468">
        <w:rPr>
          <w:rFonts w:asciiTheme="majorHAnsi" w:hAnsiTheme="majorHAnsi" w:cstheme="majorHAnsi"/>
        </w:rPr>
        <w:t>y responsabilidad en la realización de</w:t>
      </w:r>
      <w:r w:rsidR="00782468" w:rsidRPr="00542E11">
        <w:rPr>
          <w:rFonts w:asciiTheme="majorHAnsi" w:hAnsiTheme="majorHAnsi" w:cstheme="majorHAnsi"/>
        </w:rPr>
        <w:t xml:space="preserve"> las tareas diarias asignadas</w:t>
      </w:r>
      <w:r w:rsidR="00782468">
        <w:rPr>
          <w:rFonts w:asciiTheme="majorHAnsi" w:hAnsiTheme="majorHAnsi" w:cstheme="majorHAnsi"/>
        </w:rPr>
        <w:t xml:space="preserve"> con motivo de su cargo para cumplir satisfactoriamente con las nuevas disposiciones normativas en materia de transparencia</w:t>
      </w:r>
      <w:r w:rsidR="006C0F2D" w:rsidRPr="004E5471">
        <w:rPr>
          <w:rFonts w:asciiTheme="majorHAnsi" w:hAnsiTheme="majorHAnsi" w:cstheme="majorHAnsi"/>
        </w:rPr>
        <w:t>.</w:t>
      </w:r>
    </w:p>
    <w:p w:rsidR="00D57546" w:rsidRDefault="00A06764" w:rsidP="006C0F2D">
      <w:pPr>
        <w:spacing w:line="240" w:lineRule="auto"/>
        <w:jc w:val="both"/>
        <w:rPr>
          <w:rFonts w:asciiTheme="majorHAnsi" w:hAnsiTheme="majorHAnsi" w:cstheme="majorHAnsi"/>
        </w:rPr>
      </w:pPr>
      <w:r w:rsidRPr="00782468">
        <w:rPr>
          <w:rFonts w:asciiTheme="majorHAnsi" w:hAnsiTheme="majorHAnsi" w:cstheme="majorHAnsi"/>
          <w:b/>
        </w:rPr>
        <w:t xml:space="preserve">QUINTO.- </w:t>
      </w:r>
      <w:r w:rsidR="00887B1E" w:rsidRPr="00782468">
        <w:rPr>
          <w:rFonts w:asciiTheme="majorHAnsi" w:hAnsiTheme="majorHAnsi" w:cstheme="majorHAnsi"/>
        </w:rPr>
        <w:t>Que</w:t>
      </w:r>
      <w:r w:rsidR="00782468" w:rsidRPr="00782468">
        <w:rPr>
          <w:rFonts w:asciiTheme="majorHAnsi" w:hAnsiTheme="majorHAnsi" w:cstheme="majorHAnsi"/>
        </w:rPr>
        <w:t xml:space="preserve"> </w:t>
      </w:r>
      <w:r w:rsidR="00887B1E" w:rsidRPr="00782468">
        <w:rPr>
          <w:rFonts w:asciiTheme="majorHAnsi" w:hAnsiTheme="majorHAnsi" w:cstheme="majorHAnsi"/>
        </w:rPr>
        <w:t>de</w:t>
      </w:r>
      <w:r w:rsidR="00782468">
        <w:rPr>
          <w:rFonts w:asciiTheme="majorHAnsi" w:hAnsiTheme="majorHAnsi" w:cstheme="majorHAnsi"/>
        </w:rPr>
        <w:t xml:space="preserve"> conformidad con lo</w:t>
      </w:r>
      <w:r w:rsidR="004E5471">
        <w:rPr>
          <w:rFonts w:asciiTheme="majorHAnsi" w:hAnsiTheme="majorHAnsi" w:cstheme="majorHAnsi"/>
        </w:rPr>
        <w:t xml:space="preserve"> manifestado</w:t>
      </w:r>
      <w:r w:rsidR="00782468">
        <w:rPr>
          <w:rFonts w:asciiTheme="majorHAnsi" w:hAnsiTheme="majorHAnsi" w:cstheme="majorHAnsi"/>
        </w:rPr>
        <w:t xml:space="preserve"> en el considerando CUARTO</w:t>
      </w:r>
      <w:r w:rsidR="00887B1E" w:rsidRPr="004E5471">
        <w:rPr>
          <w:rFonts w:asciiTheme="majorHAnsi" w:hAnsiTheme="majorHAnsi" w:cstheme="majorHAnsi"/>
        </w:rPr>
        <w:t xml:space="preserve">, </w:t>
      </w:r>
      <w:r w:rsidR="009D5184" w:rsidRPr="004E5471">
        <w:rPr>
          <w:rFonts w:asciiTheme="majorHAnsi" w:hAnsiTheme="majorHAnsi" w:cstheme="majorHAnsi"/>
        </w:rPr>
        <w:t xml:space="preserve">mediante el cual se reconoce el </w:t>
      </w:r>
      <w:r w:rsidR="00754A78">
        <w:rPr>
          <w:rFonts w:asciiTheme="majorHAnsi" w:hAnsiTheme="majorHAnsi" w:cstheme="majorHAnsi"/>
        </w:rPr>
        <w:t>desempeño</w:t>
      </w:r>
      <w:r w:rsidR="00782468">
        <w:rPr>
          <w:rFonts w:asciiTheme="majorHAnsi" w:hAnsiTheme="majorHAnsi" w:cstheme="majorHAnsi"/>
        </w:rPr>
        <w:t xml:space="preserve"> del personal </w:t>
      </w:r>
      <w:r w:rsidR="00754A78">
        <w:rPr>
          <w:rFonts w:asciiTheme="majorHAnsi" w:hAnsiTheme="majorHAnsi" w:cstheme="majorHAnsi"/>
        </w:rPr>
        <w:t xml:space="preserve">y la constante capacitación para cumplir adecuadamente con las nuevas disposiciones normativas en materia de transparencia, en razón de todas las transiciones </w:t>
      </w:r>
      <w:r w:rsidR="00754A78">
        <w:rPr>
          <w:rFonts w:asciiTheme="majorHAnsi" w:hAnsiTheme="majorHAnsi" w:cstheme="majorHAnsi"/>
        </w:rPr>
        <w:lastRenderedPageBreak/>
        <w:t>manifestadas en los antecedentes SEGUNDO, TERCERO y CUARTO;</w:t>
      </w:r>
      <w:r w:rsidR="009D5184" w:rsidRPr="004E5471">
        <w:rPr>
          <w:rFonts w:asciiTheme="majorHAnsi" w:hAnsiTheme="majorHAnsi" w:cstheme="majorHAnsi"/>
        </w:rPr>
        <w:t xml:space="preserve"> </w:t>
      </w:r>
      <w:r w:rsidR="00887B1E" w:rsidRPr="004E5471">
        <w:rPr>
          <w:rFonts w:asciiTheme="majorHAnsi" w:hAnsiTheme="majorHAnsi" w:cstheme="majorHAnsi"/>
        </w:rPr>
        <w:t xml:space="preserve">se </w:t>
      </w:r>
      <w:r w:rsidR="00754A78">
        <w:rPr>
          <w:rFonts w:asciiTheme="majorHAnsi" w:hAnsiTheme="majorHAnsi" w:cstheme="majorHAnsi"/>
        </w:rPr>
        <w:t>solicitó</w:t>
      </w:r>
      <w:r w:rsidR="00D57546">
        <w:rPr>
          <w:rFonts w:asciiTheme="majorHAnsi" w:hAnsiTheme="majorHAnsi" w:cstheme="majorHAnsi"/>
        </w:rPr>
        <w:t xml:space="preserve"> a la Dirección de Administración y Finanzas remita los datos correspondientes para proceder a otorgar al personal del Instituto </w:t>
      </w:r>
      <w:r w:rsidR="00D57546" w:rsidRPr="00542E11">
        <w:rPr>
          <w:rFonts w:asciiTheme="majorHAnsi" w:hAnsiTheme="majorHAnsi" w:cstheme="majorHAnsi"/>
        </w:rPr>
        <w:t>un apoyo económico extraordinario</w:t>
      </w:r>
      <w:r w:rsidR="00752E40">
        <w:rPr>
          <w:rFonts w:asciiTheme="majorHAnsi" w:hAnsiTheme="majorHAnsi" w:cstheme="majorHAnsi"/>
        </w:rPr>
        <w:t xml:space="preserve"> de $ 1, 500.00 (un mil quinientos pesos),</w:t>
      </w:r>
      <w:r w:rsidR="00D57546" w:rsidRPr="00542E11">
        <w:rPr>
          <w:rFonts w:asciiTheme="majorHAnsi" w:hAnsiTheme="majorHAnsi" w:cstheme="majorHAnsi"/>
        </w:rPr>
        <w:t xml:space="preserve"> en vales de despensa electrónicos,</w:t>
      </w:r>
      <w:r w:rsidR="00D57546" w:rsidRPr="00D57546">
        <w:rPr>
          <w:rFonts w:asciiTheme="majorHAnsi" w:hAnsiTheme="majorHAnsi" w:cstheme="majorHAnsi"/>
        </w:rPr>
        <w:t xml:space="preserve"> </w:t>
      </w:r>
      <w:r w:rsidR="00D57546" w:rsidRPr="00542E11">
        <w:rPr>
          <w:rFonts w:asciiTheme="majorHAnsi" w:hAnsiTheme="majorHAnsi" w:cstheme="majorHAnsi"/>
        </w:rPr>
        <w:t>mismo que será otorgado de manera proporcional al número de días laborado</w:t>
      </w:r>
      <w:r w:rsidR="00D57546">
        <w:rPr>
          <w:rFonts w:asciiTheme="majorHAnsi" w:hAnsiTheme="majorHAnsi" w:cstheme="majorHAnsi"/>
        </w:rPr>
        <w:t>s en el Instituto</w:t>
      </w:r>
      <w:r w:rsidR="00D57546" w:rsidRPr="00542E11">
        <w:rPr>
          <w:rFonts w:asciiTheme="majorHAnsi" w:hAnsiTheme="majorHAnsi" w:cstheme="majorHAnsi"/>
        </w:rPr>
        <w:t>,</w:t>
      </w:r>
      <w:r w:rsidR="00D57546">
        <w:rPr>
          <w:rFonts w:asciiTheme="majorHAnsi" w:hAnsiTheme="majorHAnsi" w:cstheme="majorHAnsi"/>
        </w:rPr>
        <w:t xml:space="preserve"> durante el ejercicio 2016.</w:t>
      </w:r>
    </w:p>
    <w:p w:rsidR="00887B1E" w:rsidRPr="004E5471" w:rsidRDefault="003A5069" w:rsidP="00D57546">
      <w:pPr>
        <w:spacing w:line="240" w:lineRule="auto"/>
        <w:jc w:val="both"/>
        <w:rPr>
          <w:rFonts w:asciiTheme="majorHAnsi" w:hAnsiTheme="majorHAnsi" w:cstheme="majorHAnsi"/>
        </w:rPr>
      </w:pPr>
      <w:r>
        <w:rPr>
          <w:rFonts w:asciiTheme="majorHAnsi" w:hAnsiTheme="majorHAnsi" w:cstheme="majorHAnsi"/>
        </w:rPr>
        <w:t xml:space="preserve">En </w:t>
      </w:r>
      <w:r w:rsidR="005B4445">
        <w:rPr>
          <w:rFonts w:asciiTheme="majorHAnsi" w:hAnsiTheme="majorHAnsi" w:cstheme="majorHAnsi"/>
        </w:rPr>
        <w:t>consecuencia,</w:t>
      </w:r>
      <w:r w:rsidR="00D57546">
        <w:rPr>
          <w:rFonts w:asciiTheme="majorHAnsi" w:hAnsiTheme="majorHAnsi" w:cstheme="majorHAnsi"/>
        </w:rPr>
        <w:t xml:space="preserve"> de lo anterior</w:t>
      </w:r>
      <w:r>
        <w:rPr>
          <w:rFonts w:asciiTheme="majorHAnsi" w:hAnsiTheme="majorHAnsi" w:cstheme="majorHAnsi"/>
        </w:rPr>
        <w:t>,</w:t>
      </w:r>
      <w:r w:rsidR="00D57546">
        <w:rPr>
          <w:rFonts w:asciiTheme="majorHAnsi" w:hAnsiTheme="majorHAnsi" w:cstheme="majorHAnsi"/>
        </w:rPr>
        <w:t xml:space="preserve"> el día </w:t>
      </w:r>
      <w:r w:rsidR="00D57546" w:rsidRPr="004E5471">
        <w:rPr>
          <w:rFonts w:asciiTheme="majorHAnsi" w:hAnsiTheme="majorHAnsi" w:cstheme="majorHAnsi"/>
        </w:rPr>
        <w:t>08 de diciembre del año en curso</w:t>
      </w:r>
      <w:r w:rsidR="00D57546">
        <w:rPr>
          <w:rFonts w:asciiTheme="majorHAnsi" w:hAnsiTheme="majorHAnsi" w:cstheme="majorHAnsi"/>
        </w:rPr>
        <w:t>,</w:t>
      </w:r>
      <w:r w:rsidR="00D57546" w:rsidRPr="00D57546">
        <w:rPr>
          <w:rFonts w:asciiTheme="majorHAnsi" w:hAnsiTheme="majorHAnsi" w:cstheme="majorHAnsi"/>
        </w:rPr>
        <w:t xml:space="preserve"> </w:t>
      </w:r>
      <w:r w:rsidRPr="004E5471">
        <w:rPr>
          <w:rFonts w:asciiTheme="majorHAnsi" w:hAnsiTheme="majorHAnsi" w:cstheme="majorHAnsi"/>
        </w:rPr>
        <w:t xml:space="preserve">mediante correo electrónico, </w:t>
      </w:r>
      <w:r w:rsidR="00D57546" w:rsidRPr="004E5471">
        <w:rPr>
          <w:rFonts w:asciiTheme="majorHAnsi" w:hAnsiTheme="majorHAnsi" w:cstheme="majorHAnsi"/>
        </w:rPr>
        <w:t>la Directora de Administración y Finanzas, Contadora Publica, Virginia Rosalía Angulo Vázquez</w:t>
      </w:r>
      <w:r w:rsidR="00F2739B">
        <w:rPr>
          <w:rFonts w:asciiTheme="majorHAnsi" w:hAnsiTheme="majorHAnsi" w:cstheme="majorHAnsi"/>
        </w:rPr>
        <w:t>,</w:t>
      </w:r>
      <w:r w:rsidR="00D57546" w:rsidRPr="004E5471">
        <w:rPr>
          <w:rFonts w:asciiTheme="majorHAnsi" w:hAnsiTheme="majorHAnsi" w:cstheme="majorHAnsi"/>
        </w:rPr>
        <w:t xml:space="preserve"> </w:t>
      </w:r>
      <w:r w:rsidR="009C6C7C">
        <w:rPr>
          <w:rFonts w:asciiTheme="majorHAnsi" w:hAnsiTheme="majorHAnsi" w:cstheme="majorHAnsi"/>
        </w:rPr>
        <w:t>informa la necesidad de realizar las adecuaciones siguientes</w:t>
      </w:r>
      <w:r w:rsidR="00D57546">
        <w:rPr>
          <w:rFonts w:asciiTheme="majorHAnsi" w:hAnsiTheme="majorHAnsi" w:cstheme="majorHAnsi"/>
        </w:rPr>
        <w:t>:</w:t>
      </w:r>
    </w:p>
    <w:tbl>
      <w:tblPr>
        <w:tblW w:w="9220" w:type="dxa"/>
        <w:tblInd w:w="55" w:type="dxa"/>
        <w:tblCellMar>
          <w:left w:w="70" w:type="dxa"/>
          <w:right w:w="70" w:type="dxa"/>
        </w:tblCellMar>
        <w:tblLook w:val="04A0" w:firstRow="1" w:lastRow="0" w:firstColumn="1" w:lastColumn="0" w:noHBand="0" w:noVBand="1"/>
      </w:tblPr>
      <w:tblGrid>
        <w:gridCol w:w="1920"/>
        <w:gridCol w:w="5980"/>
        <w:gridCol w:w="1320"/>
      </w:tblGrid>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AUMENTA</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9220" w:type="dxa"/>
            <w:gridSpan w:val="3"/>
            <w:tcBorders>
              <w:top w:val="nil"/>
              <w:left w:val="nil"/>
              <w:bottom w:val="nil"/>
              <w:right w:val="nil"/>
            </w:tcBorders>
            <w:shd w:val="clear" w:color="000000" w:fill="FFFFFF"/>
            <w:vAlign w:val="center"/>
            <w:hideMark/>
          </w:tcPr>
          <w:p w:rsidR="00887B1E" w:rsidRPr="00542E11" w:rsidRDefault="00887B1E" w:rsidP="002D2299">
            <w:pPr>
              <w:spacing w:after="240" w:line="240" w:lineRule="auto"/>
              <w:rPr>
                <w:rFonts w:eastAsia="Times New Roman"/>
                <w:b/>
                <w:bCs/>
                <w:color w:val="000000"/>
                <w:lang w:eastAsia="es-MX"/>
              </w:rPr>
            </w:pPr>
            <w:r w:rsidRPr="00542E11">
              <w:rPr>
                <w:rFonts w:eastAsia="Times New Roman"/>
                <w:b/>
                <w:bCs/>
                <w:color w:val="000000"/>
                <w:lang w:eastAsia="es-MX"/>
              </w:rPr>
              <w:t xml:space="preserve">CENTRO DE FORMACIÓN, TRANSPARENCIA, ACCESO A LA INFORMACIÓN Y ARCHIVOS PÚBLICOS DEL INSTITUTO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PROGRAMA 14982</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45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1000-1500-154-1541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PRESTACIONES ESTABLECIDAS POR CONDICIONES GENERALES DE TRABAJO O CONTRATOS COLECTIVOS DE TRABAJO</w:t>
            </w:r>
          </w:p>
        </w:tc>
        <w:tc>
          <w:tcPr>
            <w:tcW w:w="1320" w:type="dxa"/>
            <w:tcBorders>
              <w:top w:val="nil"/>
              <w:left w:val="nil"/>
              <w:bottom w:val="single" w:sz="4" w:space="0" w:color="auto"/>
              <w:right w:val="single" w:sz="4" w:space="0" w:color="auto"/>
            </w:tcBorders>
            <w:shd w:val="clear" w:color="auto" w:fill="auto"/>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            350.00 </w:t>
            </w:r>
          </w:p>
        </w:tc>
      </w:tr>
      <w:tr w:rsidR="00887B1E" w:rsidRPr="00542E11" w:rsidTr="002D2299">
        <w:trPr>
          <w:trHeight w:val="300"/>
        </w:trPr>
        <w:tc>
          <w:tcPr>
            <w:tcW w:w="7900" w:type="dxa"/>
            <w:gridSpan w:val="2"/>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TOTAL</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DISMINUYE</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xml:space="preserve">PROGRAMA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 </w:t>
            </w:r>
          </w:p>
        </w:tc>
      </w:tr>
      <w:tr w:rsidR="00887B1E" w:rsidRPr="00542E11" w:rsidTr="002D2299">
        <w:trPr>
          <w:trHeight w:val="30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1000-1400-141-1411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CUOTAS DE SEGURIDAD SOCIAL</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350.00 </w:t>
            </w:r>
          </w:p>
        </w:tc>
      </w:tr>
      <w:tr w:rsidR="00887B1E" w:rsidRPr="00542E11" w:rsidTr="002D2299">
        <w:trPr>
          <w:trHeight w:val="300"/>
        </w:trPr>
        <w:tc>
          <w:tcPr>
            <w:tcW w:w="7900" w:type="dxa"/>
            <w:gridSpan w:val="2"/>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TOTAL</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AUMENTA</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9220" w:type="dxa"/>
            <w:gridSpan w:val="3"/>
            <w:tcBorders>
              <w:top w:val="nil"/>
              <w:left w:val="nil"/>
              <w:bottom w:val="nil"/>
              <w:right w:val="nil"/>
            </w:tcBorders>
            <w:shd w:val="clear" w:color="000000" w:fill="FFFFFF"/>
            <w:vAlign w:val="center"/>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DIRECCIÓN DE ADMINISTRACIÓN Y FINANZAS</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PROGRAMA 01833</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45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1000-1500-154-1541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PRESTACIONES ESTABLECIDAS POR CONDICIONES GENERALES DE TRABAJO O CONTRATOS COLECTIVOS DE TRABAJO</w:t>
            </w:r>
          </w:p>
        </w:tc>
        <w:tc>
          <w:tcPr>
            <w:tcW w:w="1320" w:type="dxa"/>
            <w:tcBorders>
              <w:top w:val="nil"/>
              <w:left w:val="nil"/>
              <w:bottom w:val="single" w:sz="4" w:space="0" w:color="auto"/>
              <w:right w:val="single" w:sz="4" w:space="0" w:color="auto"/>
            </w:tcBorders>
            <w:shd w:val="clear" w:color="auto" w:fill="auto"/>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            350.00 </w:t>
            </w:r>
          </w:p>
        </w:tc>
      </w:tr>
      <w:tr w:rsidR="00887B1E" w:rsidRPr="00542E11" w:rsidTr="002D2299">
        <w:trPr>
          <w:trHeight w:val="300"/>
        </w:trPr>
        <w:tc>
          <w:tcPr>
            <w:tcW w:w="7900" w:type="dxa"/>
            <w:gridSpan w:val="2"/>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DISMINUYE</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xml:space="preserve">PROGRAMA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 </w:t>
            </w:r>
          </w:p>
        </w:tc>
      </w:tr>
      <w:tr w:rsidR="00887B1E" w:rsidRPr="00542E11" w:rsidTr="002D2299">
        <w:trPr>
          <w:trHeight w:val="30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1000-1400-141-1411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CUOTAS DE SEGURIDAD SOCIAL</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350.00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p w:rsidR="00CC5318" w:rsidRPr="00542E11" w:rsidRDefault="00CC5318" w:rsidP="002D2299">
            <w:pPr>
              <w:spacing w:after="0" w:line="240" w:lineRule="auto"/>
              <w:rPr>
                <w:rFonts w:eastAsia="Times New Roman"/>
                <w:color w:val="000000"/>
                <w:lang w:eastAsia="es-MX"/>
              </w:rPr>
            </w:pP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lastRenderedPageBreak/>
              <w:t>AUMENTA</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9220" w:type="dxa"/>
            <w:gridSpan w:val="3"/>
            <w:tcBorders>
              <w:top w:val="nil"/>
              <w:left w:val="nil"/>
              <w:bottom w:val="nil"/>
              <w:right w:val="nil"/>
            </w:tcBorders>
            <w:shd w:val="clear" w:color="000000" w:fill="FFFFFF"/>
            <w:vAlign w:val="center"/>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DIRECCIÓN DE TECNOLOGÍAS DE LA INFORMACIÓN</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PROGRAMA 01833</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135"/>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45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1000-1500-154-1541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PRESTACIONES ESTABLECIDAS POR CONDICIONES GENERALES DE TRABAJO O CONTRATOS COLECTIVOS DE TRABAJO</w:t>
            </w:r>
          </w:p>
        </w:tc>
        <w:tc>
          <w:tcPr>
            <w:tcW w:w="1320" w:type="dxa"/>
            <w:tcBorders>
              <w:top w:val="nil"/>
              <w:left w:val="nil"/>
              <w:bottom w:val="single" w:sz="4" w:space="0" w:color="auto"/>
              <w:right w:val="single" w:sz="4" w:space="0" w:color="auto"/>
            </w:tcBorders>
            <w:shd w:val="clear" w:color="auto" w:fill="auto"/>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         2,000.00 </w:t>
            </w:r>
          </w:p>
        </w:tc>
      </w:tr>
      <w:tr w:rsidR="00887B1E" w:rsidRPr="00542E11" w:rsidTr="002D2299">
        <w:trPr>
          <w:trHeight w:val="300"/>
        </w:trPr>
        <w:tc>
          <w:tcPr>
            <w:tcW w:w="7900" w:type="dxa"/>
            <w:gridSpan w:val="2"/>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12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DISMINUYE</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xml:space="preserve">PROGRAMA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 </w:t>
            </w:r>
          </w:p>
        </w:tc>
      </w:tr>
      <w:tr w:rsidR="00887B1E" w:rsidRPr="00542E11" w:rsidTr="002D2299">
        <w:trPr>
          <w:trHeight w:val="30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1000-1400-141-1411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CUOTAS DE SEGURIDAD SOCIAL</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2,000.00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AUMENTA</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9220" w:type="dxa"/>
            <w:gridSpan w:val="3"/>
            <w:tcBorders>
              <w:top w:val="nil"/>
              <w:left w:val="nil"/>
              <w:bottom w:val="nil"/>
              <w:right w:val="nil"/>
            </w:tcBorders>
            <w:shd w:val="clear" w:color="000000" w:fill="FFFFFF"/>
            <w:vAlign w:val="center"/>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SECRETARÍA EJECUTIVA</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PROGRAMA 01833</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45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1000-1500-154-1541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PRESTACIONES ESTABLECIDAS POR CONDICIONES GENERALES DE TRABAJO O CONTRATOS COLECTIVOS DE TRABAJO</w:t>
            </w:r>
          </w:p>
        </w:tc>
        <w:tc>
          <w:tcPr>
            <w:tcW w:w="1320" w:type="dxa"/>
            <w:tcBorders>
              <w:top w:val="nil"/>
              <w:left w:val="nil"/>
              <w:bottom w:val="single" w:sz="4" w:space="0" w:color="auto"/>
              <w:right w:val="single" w:sz="4" w:space="0" w:color="auto"/>
            </w:tcBorders>
            <w:shd w:val="clear" w:color="auto" w:fill="auto"/>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         2,188.00 </w:t>
            </w:r>
          </w:p>
        </w:tc>
      </w:tr>
      <w:tr w:rsidR="00887B1E" w:rsidRPr="00542E11" w:rsidTr="002D2299">
        <w:trPr>
          <w:trHeight w:val="300"/>
        </w:trPr>
        <w:tc>
          <w:tcPr>
            <w:tcW w:w="7900" w:type="dxa"/>
            <w:gridSpan w:val="2"/>
            <w:tcBorders>
              <w:top w:val="nil"/>
              <w:left w:val="nil"/>
              <w:bottom w:val="nil"/>
              <w:right w:val="nil"/>
            </w:tcBorders>
            <w:shd w:val="clear" w:color="000000" w:fill="FFFFFF"/>
            <w:noWrap/>
            <w:vAlign w:val="bottom"/>
            <w:hideMark/>
          </w:tcPr>
          <w:p w:rsidR="00793553"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p w:rsidR="00793553" w:rsidRPr="00542E11" w:rsidRDefault="00793553" w:rsidP="002D2299">
            <w:pPr>
              <w:spacing w:after="0" w:line="240" w:lineRule="auto"/>
              <w:rPr>
                <w:rFonts w:eastAsia="Times New Roman"/>
                <w:b/>
                <w:bCs/>
                <w:color w:val="000000"/>
                <w:lang w:eastAsia="es-MX"/>
              </w:rPr>
            </w:pP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8"/>
                <w:szCs w:val="18"/>
                <w:lang w:eastAsia="es-MX"/>
              </w:rPr>
            </w:pPr>
            <w:r w:rsidRPr="00542E11">
              <w:rPr>
                <w:rFonts w:ascii="Arial" w:eastAsia="Times New Roman" w:hAnsi="Arial" w:cs="Arial"/>
                <w:b/>
                <w:bCs/>
                <w:sz w:val="18"/>
                <w:szCs w:val="18"/>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DISMINUYE</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w:t>
            </w:r>
          </w:p>
        </w:tc>
        <w:tc>
          <w:tcPr>
            <w:tcW w:w="13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r>
      <w:tr w:rsidR="00887B1E" w:rsidRPr="00542E11" w:rsidTr="002D2299">
        <w:trPr>
          <w:trHeight w:val="300"/>
        </w:trPr>
        <w:tc>
          <w:tcPr>
            <w:tcW w:w="192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b/>
                <w:bCs/>
                <w:color w:val="000000"/>
                <w:lang w:eastAsia="es-MX"/>
              </w:rPr>
            </w:pPr>
            <w:r w:rsidRPr="00542E11">
              <w:rPr>
                <w:rFonts w:eastAsia="Times New Roman"/>
                <w:b/>
                <w:bCs/>
                <w:color w:val="000000"/>
                <w:lang w:eastAsia="es-MX"/>
              </w:rPr>
              <w:t xml:space="preserve">PROGRAMA </w:t>
            </w:r>
          </w:p>
        </w:tc>
        <w:tc>
          <w:tcPr>
            <w:tcW w:w="5980" w:type="dxa"/>
            <w:tcBorders>
              <w:top w:val="nil"/>
              <w:left w:val="nil"/>
              <w:bottom w:val="nil"/>
              <w:right w:val="nil"/>
            </w:tcBorders>
            <w:shd w:val="clear" w:color="000000" w:fill="FFFFFF"/>
            <w:noWrap/>
            <w:vAlign w:val="bottom"/>
            <w:hideMark/>
          </w:tcPr>
          <w:p w:rsidR="00887B1E" w:rsidRPr="00542E11" w:rsidRDefault="00887B1E" w:rsidP="002D2299">
            <w:pPr>
              <w:spacing w:after="0" w:line="240" w:lineRule="auto"/>
              <w:rPr>
                <w:rFonts w:eastAsia="Times New Roman"/>
                <w:color w:val="000000"/>
                <w:lang w:eastAsia="es-MX"/>
              </w:rPr>
            </w:pPr>
            <w:r w:rsidRPr="00542E11">
              <w:rPr>
                <w:rFonts w:eastAsia="Times New Roman"/>
                <w:color w:val="000000"/>
                <w:lang w:eastAsia="es-MX"/>
              </w:rPr>
              <w:t> </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IMPORTE</w:t>
            </w:r>
          </w:p>
        </w:tc>
      </w:tr>
      <w:tr w:rsidR="00887B1E" w:rsidRPr="00542E11" w:rsidTr="002D2299">
        <w:trPr>
          <w:trHeight w:val="300"/>
        </w:trPr>
        <w:tc>
          <w:tcPr>
            <w:tcW w:w="1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CUENTA</w:t>
            </w:r>
          </w:p>
        </w:tc>
        <w:tc>
          <w:tcPr>
            <w:tcW w:w="5980" w:type="dxa"/>
            <w:tcBorders>
              <w:top w:val="single" w:sz="4" w:space="0" w:color="auto"/>
              <w:left w:val="nil"/>
              <w:bottom w:val="single" w:sz="4" w:space="0" w:color="auto"/>
              <w:right w:val="single" w:sz="4" w:space="0" w:color="auto"/>
            </w:tcBorders>
            <w:shd w:val="clear" w:color="000000" w:fill="FFFFFF"/>
            <w:noWrap/>
            <w:vAlign w:val="bottom"/>
            <w:hideMark/>
          </w:tcPr>
          <w:p w:rsidR="00887B1E" w:rsidRPr="00542E11" w:rsidRDefault="00887B1E" w:rsidP="002D2299">
            <w:pPr>
              <w:spacing w:after="0" w:line="240" w:lineRule="auto"/>
              <w:jc w:val="center"/>
              <w:rPr>
                <w:rFonts w:eastAsia="Times New Roman"/>
                <w:b/>
                <w:bCs/>
                <w:color w:val="000000"/>
                <w:lang w:eastAsia="es-MX"/>
              </w:rPr>
            </w:pPr>
            <w:r w:rsidRPr="00542E11">
              <w:rPr>
                <w:rFonts w:eastAsia="Times New Roman"/>
                <w:b/>
                <w:bCs/>
                <w:color w:val="000000"/>
                <w:lang w:eastAsia="es-MX"/>
              </w:rPr>
              <w:t xml:space="preserve">DESCRIPCIÓN </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 </w:t>
            </w:r>
          </w:p>
        </w:tc>
      </w:tr>
      <w:tr w:rsidR="00887B1E" w:rsidRPr="00542E11" w:rsidTr="002D2299">
        <w:trPr>
          <w:trHeight w:val="300"/>
        </w:trPr>
        <w:tc>
          <w:tcPr>
            <w:tcW w:w="1920" w:type="dxa"/>
            <w:tcBorders>
              <w:top w:val="nil"/>
              <w:left w:val="single" w:sz="4" w:space="0" w:color="auto"/>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1000-1400-141-1411</w:t>
            </w:r>
          </w:p>
        </w:tc>
        <w:tc>
          <w:tcPr>
            <w:tcW w:w="5980" w:type="dxa"/>
            <w:tcBorders>
              <w:top w:val="nil"/>
              <w:left w:val="nil"/>
              <w:bottom w:val="single" w:sz="4" w:space="0" w:color="auto"/>
              <w:right w:val="single" w:sz="4" w:space="0" w:color="auto"/>
            </w:tcBorders>
            <w:shd w:val="clear" w:color="000000" w:fill="FFFFFF"/>
            <w:vAlign w:val="center"/>
            <w:hideMark/>
          </w:tcPr>
          <w:p w:rsidR="00887B1E" w:rsidRPr="00542E11" w:rsidRDefault="00887B1E" w:rsidP="002D2299">
            <w:pPr>
              <w:spacing w:after="0" w:line="240" w:lineRule="auto"/>
              <w:rPr>
                <w:rFonts w:ascii="Arial" w:eastAsia="Times New Roman" w:hAnsi="Arial" w:cs="Arial"/>
                <w:sz w:val="16"/>
                <w:szCs w:val="16"/>
                <w:lang w:eastAsia="es-MX"/>
              </w:rPr>
            </w:pPr>
            <w:r w:rsidRPr="00542E11">
              <w:rPr>
                <w:rFonts w:ascii="Arial" w:eastAsia="Times New Roman" w:hAnsi="Arial" w:cs="Arial"/>
                <w:sz w:val="16"/>
                <w:szCs w:val="16"/>
                <w:lang w:eastAsia="es-MX"/>
              </w:rPr>
              <w:t>CUOTAS DE SEGURIDAD SOCIAL</w:t>
            </w:r>
          </w:p>
        </w:tc>
        <w:tc>
          <w:tcPr>
            <w:tcW w:w="1320" w:type="dxa"/>
            <w:tcBorders>
              <w:top w:val="nil"/>
              <w:left w:val="nil"/>
              <w:bottom w:val="single" w:sz="4" w:space="0" w:color="auto"/>
              <w:right w:val="single" w:sz="4" w:space="0" w:color="auto"/>
            </w:tcBorders>
            <w:shd w:val="clear" w:color="000000" w:fill="FFFFFF"/>
            <w:noWrap/>
            <w:vAlign w:val="center"/>
            <w:hideMark/>
          </w:tcPr>
          <w:p w:rsidR="00887B1E" w:rsidRPr="00542E11" w:rsidRDefault="00887B1E" w:rsidP="002D2299">
            <w:pPr>
              <w:spacing w:after="0" w:line="240" w:lineRule="auto"/>
              <w:rPr>
                <w:rFonts w:ascii="Arial" w:eastAsia="Times New Roman" w:hAnsi="Arial" w:cs="Arial"/>
                <w:b/>
                <w:bCs/>
                <w:sz w:val="16"/>
                <w:szCs w:val="16"/>
                <w:lang w:eastAsia="es-MX"/>
              </w:rPr>
            </w:pPr>
            <w:r w:rsidRPr="00542E11">
              <w:rPr>
                <w:rFonts w:ascii="Arial" w:eastAsia="Times New Roman" w:hAnsi="Arial" w:cs="Arial"/>
                <w:b/>
                <w:bCs/>
                <w:sz w:val="16"/>
                <w:szCs w:val="16"/>
                <w:lang w:eastAsia="es-MX"/>
              </w:rPr>
              <w:t xml:space="preserve">-$         2,188.00 </w:t>
            </w:r>
          </w:p>
        </w:tc>
      </w:tr>
    </w:tbl>
    <w:p w:rsidR="003A1624" w:rsidRPr="00542E11" w:rsidRDefault="003A1624" w:rsidP="00975131">
      <w:pPr>
        <w:spacing w:after="0" w:line="240" w:lineRule="auto"/>
        <w:jc w:val="both"/>
        <w:rPr>
          <w:rFonts w:asciiTheme="majorHAnsi" w:hAnsiTheme="majorHAnsi" w:cstheme="majorHAnsi"/>
        </w:rPr>
      </w:pPr>
    </w:p>
    <w:p w:rsidR="00975131" w:rsidRPr="00542E11" w:rsidRDefault="00975131" w:rsidP="00975131">
      <w:pPr>
        <w:spacing w:after="0" w:line="240" w:lineRule="auto"/>
        <w:jc w:val="both"/>
        <w:rPr>
          <w:rFonts w:asciiTheme="majorHAnsi" w:hAnsiTheme="majorHAnsi" w:cstheme="majorHAnsi"/>
        </w:rPr>
      </w:pPr>
      <w:r w:rsidRPr="00542E11">
        <w:rPr>
          <w:rFonts w:asciiTheme="majorHAnsi" w:hAnsiTheme="majorHAnsi" w:cstheme="majorHAnsi"/>
        </w:rPr>
        <w:t>Por lo anteriormente expuesto y fundado, el Pleno del Instituto Estatal de Transparencia, Acceso a la Información Pública y Protección de Datos Personales, emite el siguiente:</w:t>
      </w:r>
    </w:p>
    <w:p w:rsidR="00975131" w:rsidRPr="00542E11" w:rsidRDefault="00975131" w:rsidP="00975131">
      <w:pPr>
        <w:spacing w:after="0" w:line="240" w:lineRule="auto"/>
        <w:jc w:val="both"/>
        <w:rPr>
          <w:rFonts w:asciiTheme="majorHAnsi" w:hAnsiTheme="majorHAnsi" w:cstheme="majorHAnsi"/>
        </w:rPr>
      </w:pPr>
    </w:p>
    <w:p w:rsidR="00975131" w:rsidRPr="00542E11" w:rsidRDefault="00975131" w:rsidP="00975131">
      <w:pPr>
        <w:spacing w:after="0" w:line="240" w:lineRule="auto"/>
        <w:jc w:val="center"/>
        <w:rPr>
          <w:rFonts w:asciiTheme="majorHAnsi" w:hAnsiTheme="majorHAnsi" w:cstheme="majorHAnsi"/>
          <w:b/>
        </w:rPr>
      </w:pPr>
      <w:r w:rsidRPr="00542E11">
        <w:rPr>
          <w:rFonts w:asciiTheme="majorHAnsi" w:hAnsiTheme="majorHAnsi" w:cstheme="majorHAnsi"/>
          <w:b/>
        </w:rPr>
        <w:t>ACUERDO</w:t>
      </w:r>
    </w:p>
    <w:p w:rsidR="00975131" w:rsidRPr="00542E11" w:rsidRDefault="00975131" w:rsidP="00975131">
      <w:pPr>
        <w:spacing w:after="0" w:line="240" w:lineRule="auto"/>
        <w:jc w:val="both"/>
        <w:rPr>
          <w:rFonts w:asciiTheme="majorHAnsi" w:hAnsiTheme="majorHAnsi" w:cstheme="majorHAnsi"/>
          <w:b/>
        </w:rPr>
      </w:pPr>
    </w:p>
    <w:p w:rsidR="009D5184" w:rsidRPr="00683600" w:rsidRDefault="00975131" w:rsidP="00975131">
      <w:pPr>
        <w:spacing w:after="0" w:line="240" w:lineRule="auto"/>
        <w:jc w:val="both"/>
        <w:rPr>
          <w:rFonts w:asciiTheme="majorHAnsi" w:hAnsiTheme="majorHAnsi" w:cstheme="majorHAnsi"/>
        </w:rPr>
      </w:pPr>
      <w:r w:rsidRPr="00683600">
        <w:rPr>
          <w:rFonts w:asciiTheme="majorHAnsi" w:hAnsiTheme="majorHAnsi" w:cstheme="majorHAnsi"/>
          <w:b/>
        </w:rPr>
        <w:t>PRIMERO.-</w:t>
      </w:r>
      <w:r w:rsidRPr="00683600">
        <w:rPr>
          <w:rFonts w:asciiTheme="majorHAnsi" w:hAnsiTheme="majorHAnsi" w:cstheme="majorHAnsi"/>
        </w:rPr>
        <w:t xml:space="preserve"> </w:t>
      </w:r>
      <w:r w:rsidR="003A1624" w:rsidRPr="00683600">
        <w:rPr>
          <w:rFonts w:asciiTheme="majorHAnsi" w:hAnsiTheme="majorHAnsi" w:cstheme="majorHAnsi"/>
        </w:rPr>
        <w:t xml:space="preserve">Se aprueba otorgar al personal del Instituto, un apoyo económico extraordinario, en vales de despensa electrónicos, </w:t>
      </w:r>
      <w:r w:rsidR="00B01838" w:rsidRPr="00683600">
        <w:rPr>
          <w:rFonts w:asciiTheme="majorHAnsi" w:hAnsiTheme="majorHAnsi" w:cstheme="majorHAnsi"/>
        </w:rPr>
        <w:t xml:space="preserve">mismo que </w:t>
      </w:r>
      <w:r w:rsidR="003A1624" w:rsidRPr="00683600">
        <w:rPr>
          <w:rFonts w:asciiTheme="majorHAnsi" w:hAnsiTheme="majorHAnsi" w:cstheme="majorHAnsi"/>
        </w:rPr>
        <w:t>ser</w:t>
      </w:r>
      <w:r w:rsidR="00B01838" w:rsidRPr="00683600">
        <w:rPr>
          <w:rFonts w:asciiTheme="majorHAnsi" w:hAnsiTheme="majorHAnsi" w:cstheme="majorHAnsi"/>
        </w:rPr>
        <w:t xml:space="preserve">á otorgado de manera </w:t>
      </w:r>
      <w:r w:rsidR="003A1624" w:rsidRPr="00683600">
        <w:rPr>
          <w:rFonts w:asciiTheme="majorHAnsi" w:hAnsiTheme="majorHAnsi" w:cstheme="majorHAnsi"/>
        </w:rPr>
        <w:t>proporcional al número d</w:t>
      </w:r>
      <w:r w:rsidR="00887B1E" w:rsidRPr="00683600">
        <w:rPr>
          <w:rFonts w:asciiTheme="majorHAnsi" w:hAnsiTheme="majorHAnsi" w:cstheme="majorHAnsi"/>
        </w:rPr>
        <w:t>e días laborado</w:t>
      </w:r>
      <w:r w:rsidR="00782468" w:rsidRPr="00683600">
        <w:rPr>
          <w:rFonts w:asciiTheme="majorHAnsi" w:hAnsiTheme="majorHAnsi" w:cstheme="majorHAnsi"/>
        </w:rPr>
        <w:t>s en el Instituto</w:t>
      </w:r>
      <w:r w:rsidR="00887B1E" w:rsidRPr="00683600">
        <w:rPr>
          <w:rFonts w:asciiTheme="majorHAnsi" w:hAnsiTheme="majorHAnsi" w:cstheme="majorHAnsi"/>
        </w:rPr>
        <w:t>,</w:t>
      </w:r>
      <w:r w:rsidR="00D57546" w:rsidRPr="00683600">
        <w:rPr>
          <w:rFonts w:asciiTheme="majorHAnsi" w:hAnsiTheme="majorHAnsi" w:cstheme="majorHAnsi"/>
        </w:rPr>
        <w:t xml:space="preserve"> durante el ejercicio 2016,</w:t>
      </w:r>
      <w:r w:rsidR="00887B1E" w:rsidRPr="00683600">
        <w:rPr>
          <w:rFonts w:asciiTheme="majorHAnsi" w:hAnsiTheme="majorHAnsi" w:cstheme="majorHAnsi"/>
        </w:rPr>
        <w:t xml:space="preserve"> </w:t>
      </w:r>
      <w:r w:rsidR="009D5184" w:rsidRPr="00683600">
        <w:rPr>
          <w:rFonts w:asciiTheme="majorHAnsi" w:hAnsiTheme="majorHAnsi" w:cstheme="majorHAnsi"/>
        </w:rPr>
        <w:t>en vi</w:t>
      </w:r>
      <w:r w:rsidR="00782468" w:rsidRPr="00683600">
        <w:rPr>
          <w:rFonts w:asciiTheme="majorHAnsi" w:hAnsiTheme="majorHAnsi" w:cstheme="majorHAnsi"/>
        </w:rPr>
        <w:t>rtud de reconocer su esfuerzo,</w:t>
      </w:r>
      <w:r w:rsidR="0008549E" w:rsidRPr="00683600">
        <w:rPr>
          <w:rFonts w:asciiTheme="majorHAnsi" w:hAnsiTheme="majorHAnsi" w:cstheme="majorHAnsi"/>
        </w:rPr>
        <w:t xml:space="preserve"> </w:t>
      </w:r>
      <w:r w:rsidR="009D5184" w:rsidRPr="00683600">
        <w:rPr>
          <w:rFonts w:asciiTheme="majorHAnsi" w:hAnsiTheme="majorHAnsi" w:cstheme="majorHAnsi"/>
        </w:rPr>
        <w:t xml:space="preserve">dedicación </w:t>
      </w:r>
      <w:r w:rsidR="00782468" w:rsidRPr="00683600">
        <w:rPr>
          <w:rFonts w:asciiTheme="majorHAnsi" w:hAnsiTheme="majorHAnsi" w:cstheme="majorHAnsi"/>
        </w:rPr>
        <w:t>y responsabilidad en la realización de</w:t>
      </w:r>
      <w:r w:rsidR="00623A93" w:rsidRPr="00683600">
        <w:rPr>
          <w:rFonts w:asciiTheme="majorHAnsi" w:hAnsiTheme="majorHAnsi" w:cstheme="majorHAnsi"/>
        </w:rPr>
        <w:t xml:space="preserve"> las tareas diarias</w:t>
      </w:r>
      <w:r w:rsidR="00AE21C0" w:rsidRPr="00683600">
        <w:rPr>
          <w:rFonts w:asciiTheme="majorHAnsi" w:hAnsiTheme="majorHAnsi" w:cstheme="majorHAnsi"/>
        </w:rPr>
        <w:t xml:space="preserve"> asignadas</w:t>
      </w:r>
      <w:r w:rsidR="00782468" w:rsidRPr="00683600">
        <w:rPr>
          <w:rFonts w:asciiTheme="majorHAnsi" w:hAnsiTheme="majorHAnsi" w:cstheme="majorHAnsi"/>
        </w:rPr>
        <w:t xml:space="preserve"> con motivo de su cargo para cumplir satisfactoriamente con las nuevas disposiciones normativas en materia de transparencia.</w:t>
      </w:r>
    </w:p>
    <w:p w:rsidR="00D57546" w:rsidRPr="00683600" w:rsidRDefault="00D57546" w:rsidP="00975131">
      <w:pPr>
        <w:spacing w:after="0" w:line="240" w:lineRule="auto"/>
        <w:jc w:val="both"/>
        <w:rPr>
          <w:rFonts w:asciiTheme="majorHAnsi" w:hAnsiTheme="majorHAnsi" w:cstheme="majorHAnsi"/>
        </w:rPr>
      </w:pPr>
    </w:p>
    <w:p w:rsidR="00D57546" w:rsidRPr="00683600" w:rsidRDefault="00D57546" w:rsidP="00CC5318">
      <w:pPr>
        <w:spacing w:line="240" w:lineRule="auto"/>
        <w:jc w:val="both"/>
        <w:rPr>
          <w:rFonts w:asciiTheme="majorHAnsi" w:hAnsiTheme="majorHAnsi" w:cstheme="majorHAnsi"/>
        </w:rPr>
      </w:pPr>
      <w:r w:rsidRPr="00683600">
        <w:rPr>
          <w:rFonts w:asciiTheme="majorHAnsi" w:hAnsiTheme="majorHAnsi" w:cstheme="majorHAnsi"/>
          <w:b/>
        </w:rPr>
        <w:lastRenderedPageBreak/>
        <w:t>SEGUNDO.-</w:t>
      </w:r>
      <w:r w:rsidRPr="00683600">
        <w:rPr>
          <w:rFonts w:asciiTheme="majorHAnsi" w:hAnsiTheme="majorHAnsi" w:cstheme="majorHAnsi"/>
        </w:rPr>
        <w:t xml:space="preserve"> Se procede a adecuar el calendario de ejecución del gasto de los programas y/o proyectos antes referidos, así como de las diversas partidas que integran el presupuesto de egresos autorizado para el ejercicio 2016, en los términos propuestos a través de la Unidad Administrativa responsable del gasto institucional a petición del Pleno, </w:t>
      </w:r>
      <w:r w:rsidR="007A2BD6">
        <w:rPr>
          <w:rFonts w:asciiTheme="majorHAnsi" w:hAnsiTheme="majorHAnsi" w:cstheme="majorHAnsi"/>
        </w:rPr>
        <w:t>de conformidad con lo manifestado en el antecedente SÉPTIMO y en</w:t>
      </w:r>
      <w:r w:rsidRPr="00683600">
        <w:rPr>
          <w:rFonts w:asciiTheme="majorHAnsi" w:hAnsiTheme="majorHAnsi" w:cstheme="majorHAnsi"/>
        </w:rPr>
        <w:t xml:space="preserve"> </w:t>
      </w:r>
      <w:r w:rsidR="00325804">
        <w:rPr>
          <w:rFonts w:asciiTheme="majorHAnsi" w:hAnsiTheme="majorHAnsi" w:cstheme="majorHAnsi"/>
        </w:rPr>
        <w:t>términos d</w:t>
      </w:r>
      <w:r w:rsidRPr="00683600">
        <w:rPr>
          <w:rFonts w:asciiTheme="majorHAnsi" w:hAnsiTheme="majorHAnsi" w:cstheme="majorHAnsi"/>
        </w:rPr>
        <w:t>e</w:t>
      </w:r>
      <w:r w:rsidR="00325804">
        <w:rPr>
          <w:rFonts w:asciiTheme="majorHAnsi" w:hAnsiTheme="majorHAnsi" w:cstheme="majorHAnsi"/>
        </w:rPr>
        <w:t xml:space="preserve"> </w:t>
      </w:r>
      <w:r w:rsidRPr="00683600">
        <w:rPr>
          <w:rFonts w:asciiTheme="majorHAnsi" w:hAnsiTheme="majorHAnsi" w:cstheme="majorHAnsi"/>
        </w:rPr>
        <w:t>l</w:t>
      </w:r>
      <w:r w:rsidR="00325804">
        <w:rPr>
          <w:rFonts w:asciiTheme="majorHAnsi" w:hAnsiTheme="majorHAnsi" w:cstheme="majorHAnsi"/>
        </w:rPr>
        <w:t>o indicado en el</w:t>
      </w:r>
      <w:r w:rsidRPr="00683600">
        <w:rPr>
          <w:rFonts w:asciiTheme="majorHAnsi" w:hAnsiTheme="majorHAnsi" w:cstheme="majorHAnsi"/>
        </w:rPr>
        <w:t xml:space="preserve"> considerando QUINTO.</w:t>
      </w:r>
    </w:p>
    <w:p w:rsidR="005573D4" w:rsidRDefault="00683600" w:rsidP="005573D4">
      <w:pPr>
        <w:spacing w:line="240" w:lineRule="auto"/>
        <w:jc w:val="both"/>
        <w:rPr>
          <w:rFonts w:asciiTheme="majorHAnsi" w:hAnsiTheme="majorHAnsi" w:cstheme="majorHAnsi"/>
        </w:rPr>
      </w:pPr>
      <w:r w:rsidRPr="00683600">
        <w:rPr>
          <w:rFonts w:asciiTheme="majorHAnsi" w:hAnsiTheme="majorHAnsi" w:cstheme="majorHAnsi"/>
          <w:b/>
        </w:rPr>
        <w:t>TERCERO</w:t>
      </w:r>
      <w:r w:rsidR="005573D4" w:rsidRPr="00683600">
        <w:rPr>
          <w:rFonts w:asciiTheme="majorHAnsi" w:hAnsiTheme="majorHAnsi" w:cstheme="majorHAnsi"/>
          <w:b/>
        </w:rPr>
        <w:t xml:space="preserve">.- </w:t>
      </w:r>
      <w:r w:rsidR="001D1D00">
        <w:rPr>
          <w:rFonts w:asciiTheme="majorHAnsi" w:hAnsiTheme="majorHAnsi" w:cstheme="majorHAnsi"/>
        </w:rPr>
        <w:t>El presente acuerdo se firma</w:t>
      </w:r>
      <w:r w:rsidRPr="00683600">
        <w:rPr>
          <w:rFonts w:asciiTheme="majorHAnsi" w:hAnsiTheme="majorHAnsi" w:cstheme="majorHAnsi"/>
        </w:rPr>
        <w:t xml:space="preserve"> por </w:t>
      </w:r>
      <w:r w:rsidR="001D1D00">
        <w:rPr>
          <w:rFonts w:asciiTheme="majorHAnsi" w:hAnsiTheme="majorHAnsi" w:cstheme="majorHAnsi"/>
        </w:rPr>
        <w:t>d</w:t>
      </w:r>
      <w:r w:rsidRPr="00683600">
        <w:rPr>
          <w:rFonts w:asciiTheme="majorHAnsi" w:hAnsiTheme="majorHAnsi" w:cstheme="majorHAnsi"/>
        </w:rPr>
        <w:t>uplicado</w:t>
      </w:r>
      <w:r w:rsidR="001D1D00">
        <w:rPr>
          <w:rFonts w:asciiTheme="majorHAnsi" w:hAnsiTheme="majorHAnsi" w:cstheme="majorHAnsi"/>
        </w:rPr>
        <w:t>, correspondiendo uno de los ejemplares a la Coordinación de Apoyo Plenario</w:t>
      </w:r>
      <w:r w:rsidR="00CC5318">
        <w:rPr>
          <w:rFonts w:asciiTheme="majorHAnsi" w:hAnsiTheme="majorHAnsi" w:cstheme="majorHAnsi"/>
        </w:rPr>
        <w:t xml:space="preserve"> y Archivo Administrativo</w:t>
      </w:r>
      <w:r w:rsidRPr="00683600">
        <w:rPr>
          <w:rFonts w:asciiTheme="majorHAnsi" w:hAnsiTheme="majorHAnsi" w:cstheme="majorHAnsi"/>
          <w:b/>
        </w:rPr>
        <w:t xml:space="preserve"> </w:t>
      </w:r>
      <w:r w:rsidR="00CC5318">
        <w:rPr>
          <w:rFonts w:asciiTheme="majorHAnsi" w:hAnsiTheme="majorHAnsi" w:cstheme="majorHAnsi"/>
        </w:rPr>
        <w:t>y el otro,</w:t>
      </w:r>
      <w:r w:rsidRPr="00683600">
        <w:rPr>
          <w:rFonts w:asciiTheme="majorHAnsi" w:hAnsiTheme="majorHAnsi" w:cstheme="majorHAnsi"/>
        </w:rPr>
        <w:t xml:space="preserve"> </w:t>
      </w:r>
      <w:r w:rsidR="001D1D00">
        <w:rPr>
          <w:rFonts w:asciiTheme="majorHAnsi" w:hAnsiTheme="majorHAnsi" w:cstheme="majorHAnsi"/>
        </w:rPr>
        <w:t>re</w:t>
      </w:r>
      <w:r w:rsidR="005573D4" w:rsidRPr="00683600">
        <w:rPr>
          <w:rFonts w:asciiTheme="majorHAnsi" w:hAnsiTheme="majorHAnsi" w:cstheme="majorHAnsi"/>
        </w:rPr>
        <w:t>mítase a la C.P. Virginia Rosalía Angulo Vázquez, Directora de Administración y Finanzas</w:t>
      </w:r>
      <w:r w:rsidR="00CC5318">
        <w:rPr>
          <w:rFonts w:asciiTheme="majorHAnsi" w:hAnsiTheme="majorHAnsi" w:cstheme="majorHAnsi"/>
        </w:rPr>
        <w:t>,</w:t>
      </w:r>
      <w:r w:rsidR="005573D4" w:rsidRPr="00683600">
        <w:rPr>
          <w:rFonts w:asciiTheme="majorHAnsi" w:hAnsiTheme="majorHAnsi" w:cstheme="majorHAnsi"/>
        </w:rPr>
        <w:t xml:space="preserve"> d</w:t>
      </w:r>
      <w:r w:rsidR="001D1D00">
        <w:rPr>
          <w:rFonts w:asciiTheme="majorHAnsi" w:hAnsiTheme="majorHAnsi" w:cstheme="majorHAnsi"/>
        </w:rPr>
        <w:t>el Instituto Estatal de Transparencia, Acc</w:t>
      </w:r>
      <w:r w:rsidR="00CC5318">
        <w:rPr>
          <w:rFonts w:asciiTheme="majorHAnsi" w:hAnsiTheme="majorHAnsi" w:cstheme="majorHAnsi"/>
        </w:rPr>
        <w:t>eso a la Información Pública y P</w:t>
      </w:r>
      <w:r w:rsidR="001D1D00">
        <w:rPr>
          <w:rFonts w:asciiTheme="majorHAnsi" w:hAnsiTheme="majorHAnsi" w:cstheme="majorHAnsi"/>
        </w:rPr>
        <w:t>rotección de Datos Personales,</w:t>
      </w:r>
      <w:r w:rsidR="00CC5318">
        <w:rPr>
          <w:rFonts w:asciiTheme="majorHAnsi" w:hAnsiTheme="majorHAnsi" w:cstheme="majorHAnsi"/>
        </w:rPr>
        <w:t xml:space="preserve"> respectivamente,</w:t>
      </w:r>
      <w:r w:rsidR="005573D4" w:rsidRPr="00683600">
        <w:rPr>
          <w:rFonts w:asciiTheme="majorHAnsi" w:hAnsiTheme="majorHAnsi" w:cstheme="majorHAnsi"/>
        </w:rPr>
        <w:t xml:space="preserve"> para que en el ejercicio de sus funciones se sirva en dar trámite oportuno al presente</w:t>
      </w:r>
      <w:r w:rsidR="00D40E45" w:rsidRPr="00683600">
        <w:rPr>
          <w:rFonts w:asciiTheme="majorHAnsi" w:hAnsiTheme="majorHAnsi" w:cstheme="majorHAnsi"/>
        </w:rPr>
        <w:t>.</w:t>
      </w:r>
    </w:p>
    <w:p w:rsidR="001D1D00" w:rsidRDefault="001D1D00" w:rsidP="001D1D00">
      <w:pPr>
        <w:spacing w:after="0" w:line="240" w:lineRule="auto"/>
        <w:jc w:val="both"/>
        <w:rPr>
          <w:rFonts w:asciiTheme="majorHAnsi" w:hAnsiTheme="majorHAnsi" w:cstheme="majorHAnsi"/>
        </w:rPr>
      </w:pPr>
      <w:r w:rsidRPr="001D1D00">
        <w:rPr>
          <w:rFonts w:asciiTheme="majorHAnsi" w:hAnsiTheme="majorHAnsi" w:cstheme="majorHAnsi"/>
          <w:b/>
        </w:rPr>
        <w:t xml:space="preserve">CUARTO.- </w:t>
      </w:r>
      <w:r w:rsidRPr="001D1D00">
        <w:rPr>
          <w:rFonts w:asciiTheme="majorHAnsi" w:hAnsiTheme="majorHAnsi" w:cstheme="majorHAnsi"/>
        </w:rPr>
        <w:t>Publíquese el presente acuerdo en la Página de Internet Oficial del Instituto Estatal de Transparencia, Acceso a la Información Pública y Protección de Datos Personales.</w:t>
      </w:r>
    </w:p>
    <w:p w:rsidR="001D1D00" w:rsidRPr="001D1D00" w:rsidRDefault="001D1D00" w:rsidP="001D1D00">
      <w:pPr>
        <w:spacing w:after="0" w:line="240" w:lineRule="auto"/>
        <w:jc w:val="both"/>
        <w:rPr>
          <w:rFonts w:asciiTheme="majorHAnsi" w:hAnsiTheme="majorHAnsi" w:cstheme="majorHAnsi"/>
        </w:rPr>
      </w:pPr>
    </w:p>
    <w:p w:rsidR="00975131" w:rsidRPr="001D1D00" w:rsidRDefault="001D1D00" w:rsidP="001D1D00">
      <w:pPr>
        <w:spacing w:after="0" w:line="240" w:lineRule="auto"/>
        <w:jc w:val="both"/>
        <w:rPr>
          <w:rFonts w:asciiTheme="majorHAnsi" w:hAnsiTheme="majorHAnsi" w:cstheme="majorHAnsi"/>
        </w:rPr>
      </w:pPr>
      <w:r>
        <w:rPr>
          <w:rFonts w:asciiTheme="majorHAnsi" w:hAnsiTheme="majorHAnsi" w:cstheme="majorHAnsi"/>
          <w:b/>
        </w:rPr>
        <w:t>QUINTO</w:t>
      </w:r>
      <w:r w:rsidR="00975131" w:rsidRPr="001D1D00">
        <w:rPr>
          <w:rFonts w:asciiTheme="majorHAnsi" w:hAnsiTheme="majorHAnsi" w:cstheme="majorHAnsi"/>
          <w:b/>
        </w:rPr>
        <w:t xml:space="preserve">.- </w:t>
      </w:r>
      <w:r w:rsidR="00975131" w:rsidRPr="001D1D00">
        <w:rPr>
          <w:rFonts w:asciiTheme="majorHAnsi" w:hAnsiTheme="majorHAnsi" w:cstheme="majorHAnsi"/>
        </w:rPr>
        <w:t>Cúmplase</w:t>
      </w:r>
      <w:r w:rsidR="00E9627D">
        <w:rPr>
          <w:rFonts w:asciiTheme="majorHAnsi" w:hAnsiTheme="majorHAnsi" w:cstheme="majorHAnsi"/>
        </w:rPr>
        <w:t>.</w:t>
      </w:r>
      <w:r w:rsidR="00975131" w:rsidRPr="001D1D00">
        <w:rPr>
          <w:rFonts w:asciiTheme="majorHAnsi" w:hAnsiTheme="majorHAnsi" w:cstheme="majorHAnsi"/>
        </w:rPr>
        <w:t xml:space="preserve"> </w:t>
      </w:r>
    </w:p>
    <w:p w:rsidR="00975131" w:rsidRPr="00CC5318" w:rsidRDefault="00975131" w:rsidP="00CC5318">
      <w:pPr>
        <w:spacing w:after="0" w:line="240" w:lineRule="auto"/>
        <w:rPr>
          <w:rFonts w:asciiTheme="majorHAnsi" w:hAnsiTheme="majorHAnsi" w:cstheme="majorHAnsi"/>
        </w:rPr>
      </w:pPr>
      <w:r w:rsidRPr="00683600">
        <w:rPr>
          <w:rFonts w:asciiTheme="majorHAnsi" w:hAnsiTheme="majorHAnsi" w:cstheme="majorHAnsi"/>
        </w:rPr>
        <w:t xml:space="preserve"> </w:t>
      </w:r>
    </w:p>
    <w:p w:rsidR="00975131" w:rsidRPr="00CC5318" w:rsidRDefault="001D1D00" w:rsidP="00CC5318">
      <w:pPr>
        <w:spacing w:after="0" w:line="240" w:lineRule="auto"/>
        <w:jc w:val="both"/>
        <w:rPr>
          <w:rFonts w:asciiTheme="majorHAnsi" w:hAnsiTheme="majorHAnsi" w:cstheme="majorHAnsi"/>
        </w:rPr>
      </w:pPr>
      <w:r w:rsidRPr="00CC5318">
        <w:rPr>
          <w:rFonts w:asciiTheme="majorHAnsi" w:hAnsiTheme="majorHAnsi" w:cstheme="majorHAnsi"/>
        </w:rPr>
        <w:t>Así lo acordó y firma para debida constancia, el Pleno del Instituto Estatal de Transparencia, Acceso a la Información Pública y Protección de Datos Personales:</w:t>
      </w:r>
    </w:p>
    <w:p w:rsidR="001D1D00" w:rsidRDefault="001D1D00" w:rsidP="001D1D00">
      <w:pPr>
        <w:spacing w:after="0" w:line="360" w:lineRule="auto"/>
        <w:jc w:val="both"/>
        <w:rPr>
          <w:rFonts w:ascii="Arial" w:hAnsi="Arial" w:cs="Arial"/>
          <w:sz w:val="20"/>
          <w:szCs w:val="20"/>
        </w:rPr>
      </w:pPr>
    </w:p>
    <w:p w:rsidR="00D7579C" w:rsidRPr="001D1D00" w:rsidRDefault="00D7579C" w:rsidP="001D1D00">
      <w:pPr>
        <w:spacing w:after="0" w:line="360" w:lineRule="auto"/>
        <w:jc w:val="both"/>
        <w:rPr>
          <w:rFonts w:ascii="Arial" w:hAnsi="Arial" w:cs="Arial"/>
          <w:sz w:val="20"/>
          <w:szCs w:val="20"/>
        </w:rPr>
      </w:pPr>
      <w:bookmarkStart w:id="0" w:name="_GoBack"/>
      <w:bookmarkEnd w:id="0"/>
    </w:p>
    <w:p w:rsidR="00975131" w:rsidRPr="00975131" w:rsidRDefault="00975131" w:rsidP="00975131">
      <w:pPr>
        <w:spacing w:after="0" w:line="240" w:lineRule="auto"/>
        <w:jc w:val="both"/>
        <w:rPr>
          <w:rFonts w:asciiTheme="majorHAnsi" w:hAnsiTheme="majorHAnsi" w:cstheme="majorHAnsi"/>
        </w:rPr>
      </w:pPr>
    </w:p>
    <w:tbl>
      <w:tblPr>
        <w:tblW w:w="0" w:type="auto"/>
        <w:tblLook w:val="04A0" w:firstRow="1" w:lastRow="0" w:firstColumn="1" w:lastColumn="0" w:noHBand="0" w:noVBand="1"/>
      </w:tblPr>
      <w:tblGrid>
        <w:gridCol w:w="4414"/>
        <w:gridCol w:w="4414"/>
      </w:tblGrid>
      <w:tr w:rsidR="00D7579C" w:rsidTr="00C23CA6">
        <w:tc>
          <w:tcPr>
            <w:tcW w:w="8828" w:type="dxa"/>
            <w:gridSpan w:val="2"/>
          </w:tcPr>
          <w:p w:rsidR="00D7579C" w:rsidRDefault="00D7579C" w:rsidP="00C23CA6">
            <w:pPr>
              <w:jc w:val="center"/>
              <w:rPr>
                <w:rFonts w:cs="Arial"/>
                <w:b/>
                <w:sz w:val="24"/>
                <w:szCs w:val="24"/>
              </w:rPr>
            </w:pPr>
            <w:r>
              <w:rPr>
                <w:rFonts w:cs="Arial"/>
                <w:b/>
                <w:sz w:val="24"/>
                <w:szCs w:val="24"/>
              </w:rPr>
              <w:t>(RÚBRICA)</w:t>
            </w:r>
          </w:p>
          <w:p w:rsidR="00D7579C" w:rsidRDefault="00D7579C" w:rsidP="00C23CA6">
            <w:pPr>
              <w:spacing w:after="0" w:line="240" w:lineRule="auto"/>
              <w:jc w:val="center"/>
              <w:rPr>
                <w:rFonts w:cs="Arial"/>
                <w:b/>
                <w:sz w:val="24"/>
                <w:szCs w:val="24"/>
              </w:rPr>
            </w:pPr>
            <w:r>
              <w:rPr>
                <w:rFonts w:cs="Arial"/>
                <w:b/>
                <w:bCs/>
                <w:sz w:val="24"/>
                <w:szCs w:val="24"/>
              </w:rPr>
              <w:t>LICDA. SUSANA AGUILAR COVARRUBIAS</w:t>
            </w:r>
          </w:p>
          <w:p w:rsidR="00D7579C" w:rsidRDefault="00D7579C" w:rsidP="00C23CA6">
            <w:pPr>
              <w:spacing w:after="0" w:line="240" w:lineRule="auto"/>
              <w:jc w:val="center"/>
              <w:rPr>
                <w:rFonts w:cs="Arial"/>
                <w:b/>
                <w:sz w:val="24"/>
                <w:szCs w:val="24"/>
                <w:lang w:val="es-ES"/>
              </w:rPr>
            </w:pPr>
            <w:r>
              <w:rPr>
                <w:rFonts w:cs="Arial"/>
                <w:b/>
                <w:sz w:val="24"/>
                <w:szCs w:val="24"/>
              </w:rPr>
              <w:t>COMISIONADA PRESIDENTA</w:t>
            </w:r>
          </w:p>
        </w:tc>
      </w:tr>
      <w:tr w:rsidR="00D7579C" w:rsidTr="00C23CA6">
        <w:tc>
          <w:tcPr>
            <w:tcW w:w="4414" w:type="dxa"/>
          </w:tcPr>
          <w:p w:rsidR="00D7579C" w:rsidRDefault="00D7579C" w:rsidP="00C23CA6">
            <w:pPr>
              <w:spacing w:after="0" w:line="240" w:lineRule="auto"/>
              <w:jc w:val="center"/>
              <w:rPr>
                <w:rFonts w:cs="Arial"/>
                <w:b/>
                <w:bCs/>
                <w:sz w:val="24"/>
                <w:szCs w:val="24"/>
                <w:lang w:val="es-ES"/>
              </w:rPr>
            </w:pPr>
          </w:p>
          <w:p w:rsidR="00D7579C" w:rsidRDefault="00D7579C" w:rsidP="00C23CA6">
            <w:pPr>
              <w:spacing w:after="0" w:line="240" w:lineRule="auto"/>
              <w:jc w:val="center"/>
              <w:rPr>
                <w:rFonts w:cs="Arial"/>
                <w:b/>
                <w:bCs/>
                <w:sz w:val="24"/>
                <w:szCs w:val="24"/>
                <w:lang w:val="es-ES"/>
              </w:rPr>
            </w:pPr>
          </w:p>
          <w:p w:rsidR="00D7579C" w:rsidRDefault="00D7579C" w:rsidP="00C23CA6">
            <w:pPr>
              <w:spacing w:after="0" w:line="240" w:lineRule="auto"/>
              <w:jc w:val="center"/>
              <w:rPr>
                <w:rFonts w:cs="Arial"/>
                <w:b/>
                <w:bCs/>
                <w:sz w:val="24"/>
                <w:szCs w:val="24"/>
              </w:rPr>
            </w:pPr>
          </w:p>
          <w:p w:rsidR="00D7579C" w:rsidRDefault="00D7579C" w:rsidP="00C23CA6">
            <w:pPr>
              <w:jc w:val="center"/>
              <w:rPr>
                <w:rFonts w:cs="Arial"/>
                <w:b/>
                <w:sz w:val="24"/>
                <w:szCs w:val="24"/>
              </w:rPr>
            </w:pPr>
            <w:r>
              <w:rPr>
                <w:rFonts w:cs="Arial"/>
                <w:b/>
                <w:sz w:val="24"/>
                <w:szCs w:val="24"/>
              </w:rPr>
              <w:t>(RÚBRICA)</w:t>
            </w:r>
          </w:p>
          <w:p w:rsidR="00D7579C" w:rsidRDefault="00D7579C" w:rsidP="00C23CA6">
            <w:pPr>
              <w:spacing w:after="0" w:line="240" w:lineRule="auto"/>
              <w:jc w:val="center"/>
              <w:rPr>
                <w:rFonts w:cs="Arial"/>
                <w:b/>
                <w:sz w:val="24"/>
                <w:szCs w:val="24"/>
              </w:rPr>
            </w:pPr>
            <w:r>
              <w:rPr>
                <w:rFonts w:cs="Arial"/>
                <w:b/>
                <w:sz w:val="24"/>
                <w:szCs w:val="24"/>
              </w:rPr>
              <w:t>ING. VICTOR MANUEL MAY VERA</w:t>
            </w:r>
          </w:p>
          <w:p w:rsidR="00D7579C" w:rsidRDefault="00D7579C" w:rsidP="00C23CA6">
            <w:pPr>
              <w:spacing w:after="0" w:line="240" w:lineRule="auto"/>
              <w:jc w:val="center"/>
              <w:rPr>
                <w:rFonts w:cs="Arial"/>
                <w:b/>
                <w:sz w:val="24"/>
                <w:szCs w:val="24"/>
                <w:lang w:val="es-ES"/>
              </w:rPr>
            </w:pPr>
            <w:r>
              <w:rPr>
                <w:rFonts w:cs="Arial"/>
                <w:b/>
                <w:bCs/>
                <w:sz w:val="24"/>
                <w:szCs w:val="24"/>
              </w:rPr>
              <w:t>COMISIONADO</w:t>
            </w:r>
          </w:p>
        </w:tc>
        <w:tc>
          <w:tcPr>
            <w:tcW w:w="4414" w:type="dxa"/>
          </w:tcPr>
          <w:p w:rsidR="00D7579C" w:rsidRDefault="00D7579C" w:rsidP="00C23CA6">
            <w:pPr>
              <w:spacing w:after="0" w:line="240" w:lineRule="auto"/>
              <w:jc w:val="center"/>
              <w:rPr>
                <w:rFonts w:cs="Arial"/>
                <w:b/>
                <w:bCs/>
                <w:sz w:val="24"/>
                <w:szCs w:val="24"/>
                <w:lang w:val="es-ES"/>
              </w:rPr>
            </w:pPr>
          </w:p>
          <w:p w:rsidR="00D7579C" w:rsidRDefault="00D7579C" w:rsidP="00C23CA6">
            <w:pPr>
              <w:spacing w:after="0" w:line="240" w:lineRule="auto"/>
              <w:jc w:val="center"/>
              <w:rPr>
                <w:rFonts w:cs="Arial"/>
                <w:b/>
                <w:bCs/>
                <w:sz w:val="24"/>
                <w:szCs w:val="24"/>
              </w:rPr>
            </w:pPr>
          </w:p>
          <w:p w:rsidR="00D7579C" w:rsidRDefault="00D7579C" w:rsidP="00C23CA6">
            <w:pPr>
              <w:spacing w:after="0" w:line="240" w:lineRule="auto"/>
              <w:jc w:val="center"/>
              <w:rPr>
                <w:rFonts w:cs="Arial"/>
                <w:b/>
                <w:bCs/>
                <w:sz w:val="24"/>
                <w:szCs w:val="24"/>
              </w:rPr>
            </w:pPr>
          </w:p>
          <w:p w:rsidR="00D7579C" w:rsidRDefault="00D7579C" w:rsidP="00C23CA6">
            <w:pPr>
              <w:jc w:val="center"/>
              <w:rPr>
                <w:rFonts w:cs="Arial"/>
                <w:b/>
                <w:sz w:val="24"/>
                <w:szCs w:val="24"/>
              </w:rPr>
            </w:pPr>
            <w:r>
              <w:rPr>
                <w:rFonts w:cs="Arial"/>
                <w:b/>
                <w:sz w:val="24"/>
                <w:szCs w:val="24"/>
              </w:rPr>
              <w:t>(RÚBRICA)</w:t>
            </w:r>
          </w:p>
          <w:p w:rsidR="00D7579C" w:rsidRDefault="00D7579C" w:rsidP="00C23CA6">
            <w:pPr>
              <w:spacing w:after="0" w:line="240" w:lineRule="auto"/>
              <w:jc w:val="center"/>
              <w:rPr>
                <w:rFonts w:cs="Arial"/>
                <w:b/>
                <w:bCs/>
                <w:sz w:val="24"/>
                <w:szCs w:val="24"/>
              </w:rPr>
            </w:pPr>
            <w:r>
              <w:rPr>
                <w:rFonts w:cs="Arial"/>
                <w:b/>
                <w:bCs/>
                <w:sz w:val="24"/>
                <w:szCs w:val="24"/>
              </w:rPr>
              <w:t>LICDA. MARÍA EUGENIA SANSORES RUZ</w:t>
            </w:r>
          </w:p>
          <w:p w:rsidR="00D7579C" w:rsidRDefault="00D7579C" w:rsidP="00C23CA6">
            <w:pPr>
              <w:spacing w:after="0" w:line="240" w:lineRule="auto"/>
              <w:jc w:val="center"/>
              <w:rPr>
                <w:rFonts w:cs="Arial"/>
                <w:b/>
                <w:sz w:val="24"/>
                <w:szCs w:val="24"/>
                <w:lang w:val="es-ES"/>
              </w:rPr>
            </w:pPr>
            <w:r>
              <w:rPr>
                <w:rFonts w:cs="Arial"/>
                <w:b/>
                <w:bCs/>
                <w:sz w:val="24"/>
                <w:szCs w:val="24"/>
              </w:rPr>
              <w:t>COMISIONADA</w:t>
            </w:r>
          </w:p>
        </w:tc>
      </w:tr>
    </w:tbl>
    <w:p w:rsidR="00975131" w:rsidRPr="00975131" w:rsidRDefault="00975131" w:rsidP="00975131">
      <w:pPr>
        <w:spacing w:after="0" w:line="240" w:lineRule="auto"/>
        <w:jc w:val="both"/>
        <w:rPr>
          <w:rFonts w:asciiTheme="majorHAnsi" w:hAnsiTheme="majorHAnsi" w:cstheme="majorHAnsi"/>
        </w:rPr>
      </w:pPr>
    </w:p>
    <w:sectPr w:rsidR="00975131" w:rsidRPr="00975131" w:rsidSect="00586B5A">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775" w:rsidRDefault="00B234E5">
      <w:pPr>
        <w:spacing w:after="0" w:line="240" w:lineRule="auto"/>
      </w:pPr>
      <w:r>
        <w:separator/>
      </w:r>
    </w:p>
  </w:endnote>
  <w:endnote w:type="continuationSeparator" w:id="0">
    <w:p w:rsidR="00F77775" w:rsidRDefault="00B2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8912337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rsidR="0069663A" w:rsidRPr="0069663A" w:rsidRDefault="0069663A">
            <w:pPr>
              <w:pStyle w:val="Piedepgina"/>
              <w:jc w:val="center"/>
              <w:rPr>
                <w:sz w:val="18"/>
                <w:szCs w:val="18"/>
              </w:rPr>
            </w:pPr>
            <w:r w:rsidRPr="0069663A">
              <w:rPr>
                <w:sz w:val="18"/>
                <w:szCs w:val="18"/>
                <w:lang w:val="es-ES"/>
              </w:rPr>
              <w:t xml:space="preserve">Página </w:t>
            </w:r>
            <w:r w:rsidRPr="0069663A">
              <w:rPr>
                <w:b/>
                <w:bCs/>
                <w:sz w:val="18"/>
                <w:szCs w:val="18"/>
              </w:rPr>
              <w:fldChar w:fldCharType="begin"/>
            </w:r>
            <w:r w:rsidRPr="0069663A">
              <w:rPr>
                <w:b/>
                <w:bCs/>
                <w:sz w:val="18"/>
                <w:szCs w:val="18"/>
              </w:rPr>
              <w:instrText>PAGE</w:instrText>
            </w:r>
            <w:r w:rsidRPr="0069663A">
              <w:rPr>
                <w:b/>
                <w:bCs/>
                <w:sz w:val="18"/>
                <w:szCs w:val="18"/>
              </w:rPr>
              <w:fldChar w:fldCharType="separate"/>
            </w:r>
            <w:r w:rsidR="00D7579C">
              <w:rPr>
                <w:b/>
                <w:bCs/>
                <w:noProof/>
                <w:sz w:val="18"/>
                <w:szCs w:val="18"/>
              </w:rPr>
              <w:t>5</w:t>
            </w:r>
            <w:r w:rsidRPr="0069663A">
              <w:rPr>
                <w:b/>
                <w:bCs/>
                <w:sz w:val="18"/>
                <w:szCs w:val="18"/>
              </w:rPr>
              <w:fldChar w:fldCharType="end"/>
            </w:r>
            <w:r w:rsidRPr="0069663A">
              <w:rPr>
                <w:sz w:val="18"/>
                <w:szCs w:val="18"/>
                <w:lang w:val="es-ES"/>
              </w:rPr>
              <w:t xml:space="preserve"> de </w:t>
            </w:r>
            <w:r w:rsidRPr="0069663A">
              <w:rPr>
                <w:b/>
                <w:bCs/>
                <w:sz w:val="18"/>
                <w:szCs w:val="18"/>
              </w:rPr>
              <w:fldChar w:fldCharType="begin"/>
            </w:r>
            <w:r w:rsidRPr="0069663A">
              <w:rPr>
                <w:b/>
                <w:bCs/>
                <w:sz w:val="18"/>
                <w:szCs w:val="18"/>
              </w:rPr>
              <w:instrText>NUMPAGES</w:instrText>
            </w:r>
            <w:r w:rsidRPr="0069663A">
              <w:rPr>
                <w:b/>
                <w:bCs/>
                <w:sz w:val="18"/>
                <w:szCs w:val="18"/>
              </w:rPr>
              <w:fldChar w:fldCharType="separate"/>
            </w:r>
            <w:r w:rsidR="00D7579C">
              <w:rPr>
                <w:b/>
                <w:bCs/>
                <w:noProof/>
                <w:sz w:val="18"/>
                <w:szCs w:val="18"/>
              </w:rPr>
              <w:t>5</w:t>
            </w:r>
            <w:r w:rsidRPr="0069663A">
              <w:rPr>
                <w:b/>
                <w:bCs/>
                <w:sz w:val="18"/>
                <w:szCs w:val="18"/>
              </w:rPr>
              <w:fldChar w:fldCharType="end"/>
            </w:r>
          </w:p>
        </w:sdtContent>
      </w:sdt>
    </w:sdtContent>
  </w:sdt>
  <w:p w:rsidR="009519D1" w:rsidRPr="009519D1" w:rsidRDefault="00D7579C" w:rsidP="009519D1">
    <w:pPr>
      <w:pStyle w:val="Piedepgina"/>
      <w:tabs>
        <w:tab w:val="clear" w:pos="4252"/>
        <w:tab w:val="clear" w:pos="8504"/>
        <w:tab w:val="left" w:pos="5655"/>
      </w:tabs>
      <w:jc w:val="right"/>
      <w:rPr>
        <w:sz w:val="20"/>
        <w:szCs w:val="20"/>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775" w:rsidRDefault="00B234E5">
      <w:pPr>
        <w:spacing w:after="0" w:line="240" w:lineRule="auto"/>
      </w:pPr>
      <w:r>
        <w:separator/>
      </w:r>
    </w:p>
  </w:footnote>
  <w:footnote w:type="continuationSeparator" w:id="0">
    <w:p w:rsidR="00F77775" w:rsidRDefault="00B23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8A" w:rsidRDefault="00975131">
    <w:pPr>
      <w:pStyle w:val="Encabezado"/>
    </w:pPr>
    <w:r>
      <w:rPr>
        <w:noProof/>
        <w:lang w:eastAsia="es-MX"/>
      </w:rPr>
      <w:drawing>
        <wp:anchor distT="0" distB="0" distL="114300" distR="114300" simplePos="0" relativeHeight="251659264" behindDoc="1" locked="0" layoutInCell="1" allowOverlap="1" wp14:anchorId="571C336A" wp14:editId="6FED552D">
          <wp:simplePos x="0" y="0"/>
          <wp:positionH relativeFrom="column">
            <wp:posOffset>-744280</wp:posOffset>
          </wp:positionH>
          <wp:positionV relativeFrom="paragraph">
            <wp:posOffset>-250298</wp:posOffset>
          </wp:positionV>
          <wp:extent cx="7162800" cy="1202690"/>
          <wp:effectExtent l="0" t="0" r="0" b="0"/>
          <wp:wrapTight wrapText="bothSides">
            <wp:wrapPolygon edited="0">
              <wp:start x="0" y="0"/>
              <wp:lineTo x="0" y="21212"/>
              <wp:lineTo x="21543" y="21212"/>
              <wp:lineTo x="21543" y="0"/>
              <wp:lineTo x="0" y="0"/>
            </wp:wrapPolygon>
          </wp:wrapTight>
          <wp:docPr id="2" name="Imagen 2" descr="LogoINAIP-Ley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AIP-Ley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60"/>
    <w:rsid w:val="00065C90"/>
    <w:rsid w:val="0008549E"/>
    <w:rsid w:val="000E6E46"/>
    <w:rsid w:val="00164A5F"/>
    <w:rsid w:val="001D1D00"/>
    <w:rsid w:val="001E6BDE"/>
    <w:rsid w:val="00275913"/>
    <w:rsid w:val="0029294E"/>
    <w:rsid w:val="002F42D6"/>
    <w:rsid w:val="002F6742"/>
    <w:rsid w:val="00313A7A"/>
    <w:rsid w:val="0031783A"/>
    <w:rsid w:val="00325804"/>
    <w:rsid w:val="00332017"/>
    <w:rsid w:val="0036734B"/>
    <w:rsid w:val="003A1624"/>
    <w:rsid w:val="003A5069"/>
    <w:rsid w:val="004B4804"/>
    <w:rsid w:val="004C661C"/>
    <w:rsid w:val="004E5471"/>
    <w:rsid w:val="00511D60"/>
    <w:rsid w:val="00516750"/>
    <w:rsid w:val="00541B81"/>
    <w:rsid w:val="00542E11"/>
    <w:rsid w:val="005573D4"/>
    <w:rsid w:val="00575970"/>
    <w:rsid w:val="00586B5A"/>
    <w:rsid w:val="005B4445"/>
    <w:rsid w:val="00600467"/>
    <w:rsid w:val="00623A93"/>
    <w:rsid w:val="00683600"/>
    <w:rsid w:val="0069663A"/>
    <w:rsid w:val="006C0F2D"/>
    <w:rsid w:val="007021DA"/>
    <w:rsid w:val="0074165F"/>
    <w:rsid w:val="00752E40"/>
    <w:rsid w:val="00754A78"/>
    <w:rsid w:val="00782468"/>
    <w:rsid w:val="00793553"/>
    <w:rsid w:val="007A2BD6"/>
    <w:rsid w:val="007B0F8D"/>
    <w:rsid w:val="007B4076"/>
    <w:rsid w:val="008007DB"/>
    <w:rsid w:val="008136CA"/>
    <w:rsid w:val="00850313"/>
    <w:rsid w:val="00887B1E"/>
    <w:rsid w:val="008D5E52"/>
    <w:rsid w:val="00931A3D"/>
    <w:rsid w:val="00956645"/>
    <w:rsid w:val="00975131"/>
    <w:rsid w:val="009A61E0"/>
    <w:rsid w:val="009C6C7C"/>
    <w:rsid w:val="009D5184"/>
    <w:rsid w:val="00A06764"/>
    <w:rsid w:val="00A67F45"/>
    <w:rsid w:val="00A93427"/>
    <w:rsid w:val="00AB0C9B"/>
    <w:rsid w:val="00AD10B2"/>
    <w:rsid w:val="00AE21C0"/>
    <w:rsid w:val="00AF4FD8"/>
    <w:rsid w:val="00B01838"/>
    <w:rsid w:val="00B234E5"/>
    <w:rsid w:val="00B502F6"/>
    <w:rsid w:val="00CA18ED"/>
    <w:rsid w:val="00CC5318"/>
    <w:rsid w:val="00D40E45"/>
    <w:rsid w:val="00D57546"/>
    <w:rsid w:val="00D7579C"/>
    <w:rsid w:val="00E31F58"/>
    <w:rsid w:val="00E85A0C"/>
    <w:rsid w:val="00E9004F"/>
    <w:rsid w:val="00E9627D"/>
    <w:rsid w:val="00F2739B"/>
    <w:rsid w:val="00F6522D"/>
    <w:rsid w:val="00F77775"/>
    <w:rsid w:val="00FB1EF9"/>
    <w:rsid w:val="00FE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31"/>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1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131"/>
    <w:rPr>
      <w:rFonts w:ascii="Calibri" w:eastAsia="Calibri" w:hAnsi="Calibri" w:cs="Times New Roman"/>
      <w:lang w:val="es-MX"/>
    </w:rPr>
  </w:style>
  <w:style w:type="paragraph" w:styleId="Piedepgina">
    <w:name w:val="footer"/>
    <w:basedOn w:val="Normal"/>
    <w:link w:val="PiedepginaCar"/>
    <w:uiPriority w:val="99"/>
    <w:unhideWhenUsed/>
    <w:rsid w:val="00975131"/>
    <w:pPr>
      <w:tabs>
        <w:tab w:val="center" w:pos="4252"/>
        <w:tab w:val="right" w:pos="8504"/>
      </w:tabs>
    </w:pPr>
  </w:style>
  <w:style w:type="character" w:customStyle="1" w:styleId="PiedepginaCar">
    <w:name w:val="Pie de página Car"/>
    <w:basedOn w:val="Fuentedeprrafopredeter"/>
    <w:link w:val="Piedepgina"/>
    <w:uiPriority w:val="99"/>
    <w:rsid w:val="00975131"/>
    <w:rPr>
      <w:rFonts w:ascii="Calibri" w:eastAsia="Calibri" w:hAnsi="Calibri" w:cs="Times New Roman"/>
      <w:lang w:val="es-MX"/>
    </w:rPr>
  </w:style>
  <w:style w:type="table" w:styleId="Tablaconcuadrcula">
    <w:name w:val="Table Grid"/>
    <w:basedOn w:val="Tablanormal"/>
    <w:uiPriority w:val="59"/>
    <w:rsid w:val="009751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5131"/>
    <w:pPr>
      <w:spacing w:after="0" w:line="240" w:lineRule="auto"/>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7B4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076"/>
    <w:rPr>
      <w:rFonts w:ascii="Tahoma" w:eastAsia="Calibri"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31"/>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51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5131"/>
    <w:rPr>
      <w:rFonts w:ascii="Calibri" w:eastAsia="Calibri" w:hAnsi="Calibri" w:cs="Times New Roman"/>
      <w:lang w:val="es-MX"/>
    </w:rPr>
  </w:style>
  <w:style w:type="paragraph" w:styleId="Piedepgina">
    <w:name w:val="footer"/>
    <w:basedOn w:val="Normal"/>
    <w:link w:val="PiedepginaCar"/>
    <w:uiPriority w:val="99"/>
    <w:unhideWhenUsed/>
    <w:rsid w:val="00975131"/>
    <w:pPr>
      <w:tabs>
        <w:tab w:val="center" w:pos="4252"/>
        <w:tab w:val="right" w:pos="8504"/>
      </w:tabs>
    </w:pPr>
  </w:style>
  <w:style w:type="character" w:customStyle="1" w:styleId="PiedepginaCar">
    <w:name w:val="Pie de página Car"/>
    <w:basedOn w:val="Fuentedeprrafopredeter"/>
    <w:link w:val="Piedepgina"/>
    <w:uiPriority w:val="99"/>
    <w:rsid w:val="00975131"/>
    <w:rPr>
      <w:rFonts w:ascii="Calibri" w:eastAsia="Calibri" w:hAnsi="Calibri" w:cs="Times New Roman"/>
      <w:lang w:val="es-MX"/>
    </w:rPr>
  </w:style>
  <w:style w:type="table" w:styleId="Tablaconcuadrcula">
    <w:name w:val="Table Grid"/>
    <w:basedOn w:val="Tablanormal"/>
    <w:uiPriority w:val="59"/>
    <w:rsid w:val="009751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75131"/>
    <w:pPr>
      <w:spacing w:after="0" w:line="240" w:lineRule="auto"/>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7B4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076"/>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2302">
      <w:bodyDiv w:val="1"/>
      <w:marLeft w:val="0"/>
      <w:marRight w:val="0"/>
      <w:marTop w:val="0"/>
      <w:marBottom w:val="0"/>
      <w:divBdr>
        <w:top w:val="none" w:sz="0" w:space="0" w:color="auto"/>
        <w:left w:val="none" w:sz="0" w:space="0" w:color="auto"/>
        <w:bottom w:val="none" w:sz="0" w:space="0" w:color="auto"/>
        <w:right w:val="none" w:sz="0" w:space="0" w:color="auto"/>
      </w:divBdr>
    </w:div>
    <w:div w:id="2004501115">
      <w:bodyDiv w:val="1"/>
      <w:marLeft w:val="0"/>
      <w:marRight w:val="0"/>
      <w:marTop w:val="0"/>
      <w:marBottom w:val="0"/>
      <w:divBdr>
        <w:top w:val="none" w:sz="0" w:space="0" w:color="auto"/>
        <w:left w:val="none" w:sz="0" w:space="0" w:color="auto"/>
        <w:bottom w:val="none" w:sz="0" w:space="0" w:color="auto"/>
        <w:right w:val="none" w:sz="0" w:space="0" w:color="auto"/>
      </w:divBdr>
    </w:div>
    <w:div w:id="201595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CB35-1C35-4C9D-B4D7-88DC0425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3</cp:revision>
  <cp:lastPrinted>2016-12-15T21:33:00Z</cp:lastPrinted>
  <dcterms:created xsi:type="dcterms:W3CDTF">2017-02-01T19:48:00Z</dcterms:created>
  <dcterms:modified xsi:type="dcterms:W3CDTF">2017-02-01T19:52:00Z</dcterms:modified>
</cp:coreProperties>
</file>