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4A" w:rsidRPr="00061B46" w:rsidRDefault="003F074A" w:rsidP="003F074A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061B46">
        <w:rPr>
          <w:rFonts w:ascii="Arial" w:eastAsia="Calibri" w:hAnsi="Arial" w:cs="Arial"/>
          <w:b/>
        </w:rPr>
        <w:t>ACUERDO DEL PLENO</w:t>
      </w:r>
    </w:p>
    <w:p w:rsidR="003F074A" w:rsidRPr="00061B46" w:rsidRDefault="003F074A" w:rsidP="003F074A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Calibri" w:hAnsi="Arial" w:cs="Arial"/>
        </w:rPr>
        <w:t xml:space="preserve">En la ciudad de Mérida, Yucatán, siendo las </w:t>
      </w:r>
      <w:r w:rsidR="006E0D72">
        <w:rPr>
          <w:rFonts w:ascii="Arial" w:eastAsia="Calibri" w:hAnsi="Arial" w:cs="Arial"/>
        </w:rPr>
        <w:t>catorce</w:t>
      </w:r>
      <w:r w:rsidRPr="00061B46">
        <w:rPr>
          <w:rFonts w:ascii="Arial" w:eastAsia="Calibri" w:hAnsi="Arial" w:cs="Arial"/>
        </w:rPr>
        <w:t xml:space="preserve"> horas con </w:t>
      </w:r>
      <w:r w:rsidR="006E0D72">
        <w:rPr>
          <w:rFonts w:ascii="Arial" w:eastAsia="Calibri" w:hAnsi="Arial" w:cs="Arial"/>
        </w:rPr>
        <w:t>quince</w:t>
      </w:r>
      <w:r w:rsidR="00AE61E9" w:rsidRPr="00061B46">
        <w:rPr>
          <w:rFonts w:ascii="Arial" w:eastAsia="Calibri" w:hAnsi="Arial" w:cs="Arial"/>
        </w:rPr>
        <w:t xml:space="preserve"> minutos, </w:t>
      </w:r>
      <w:r w:rsidRPr="00061B46">
        <w:rPr>
          <w:rFonts w:ascii="Arial" w:eastAsia="Calibri" w:hAnsi="Arial" w:cs="Arial"/>
        </w:rPr>
        <w:t xml:space="preserve">del día </w:t>
      </w:r>
      <w:r w:rsidR="006E0D72">
        <w:rPr>
          <w:rFonts w:ascii="Arial" w:eastAsia="Calibri" w:hAnsi="Arial" w:cs="Arial"/>
        </w:rPr>
        <w:t>veinte</w:t>
      </w:r>
      <w:r w:rsidR="00AE61E9" w:rsidRPr="00061B46">
        <w:rPr>
          <w:rFonts w:ascii="Arial" w:eastAsia="Calibri" w:hAnsi="Arial" w:cs="Arial"/>
        </w:rPr>
        <w:t xml:space="preserve"> de junio </w:t>
      </w:r>
      <w:r w:rsidRPr="00061B46">
        <w:rPr>
          <w:rFonts w:ascii="Arial" w:eastAsia="Calibri" w:hAnsi="Arial" w:cs="Arial"/>
        </w:rPr>
        <w:t>de 2017, encontrándose reunidos los integrantes del Pleno del Instituto Estatal de Transparencia, Acceso a la Información Pública y Protección de Datos</w:t>
      </w:r>
      <w:r w:rsidR="008C339E" w:rsidRPr="00061B46">
        <w:rPr>
          <w:rFonts w:ascii="Arial" w:eastAsia="Calibri" w:hAnsi="Arial" w:cs="Arial"/>
        </w:rPr>
        <w:t xml:space="preserve"> Personales, los Comisionados, </w:t>
      </w:r>
      <w:r w:rsidRPr="00061B46">
        <w:rPr>
          <w:rFonts w:ascii="Arial" w:eastAsia="Calibri" w:hAnsi="Arial" w:cs="Arial"/>
        </w:rPr>
        <w:t>Licenciada en Derecho</w:t>
      </w:r>
      <w:r w:rsidR="0056493B" w:rsidRPr="00061B46">
        <w:rPr>
          <w:rFonts w:ascii="Arial" w:eastAsia="Calibri" w:hAnsi="Arial" w:cs="Arial"/>
        </w:rPr>
        <w:t>,</w:t>
      </w:r>
      <w:r w:rsidRPr="00061B46">
        <w:rPr>
          <w:rFonts w:ascii="Arial" w:eastAsia="Calibri" w:hAnsi="Arial" w:cs="Arial"/>
        </w:rPr>
        <w:t xml:space="preserve"> </w:t>
      </w:r>
      <w:r w:rsidRPr="00061B46">
        <w:rPr>
          <w:rFonts w:ascii="Arial" w:eastAsia="Times New Roman" w:hAnsi="Arial" w:cs="Arial"/>
          <w:lang w:val="es-ES" w:eastAsia="ar-SA"/>
        </w:rPr>
        <w:t>Susana Aguilar Covarrubias,</w:t>
      </w:r>
      <w:r w:rsidRPr="00061B46">
        <w:rPr>
          <w:rFonts w:ascii="Arial" w:eastAsia="Calibri" w:hAnsi="Arial" w:cs="Arial"/>
        </w:rPr>
        <w:t xml:space="preserve"> </w:t>
      </w:r>
      <w:r w:rsidRPr="00061B46">
        <w:rPr>
          <w:rFonts w:ascii="Arial" w:eastAsia="Times New Roman" w:hAnsi="Arial" w:cs="Arial"/>
          <w:lang w:val="es-ES" w:eastAsia="ar-SA"/>
        </w:rPr>
        <w:t>Licenciada en Derecho</w:t>
      </w:r>
      <w:r w:rsidR="008C1F83" w:rsidRPr="00061B46">
        <w:rPr>
          <w:rFonts w:ascii="Arial" w:eastAsia="Times New Roman" w:hAnsi="Arial" w:cs="Arial"/>
          <w:lang w:val="es-ES" w:eastAsia="ar-SA"/>
        </w:rPr>
        <w:t>, María Eugenia Sansores Ruz y</w:t>
      </w:r>
      <w:r w:rsidRPr="00061B46">
        <w:rPr>
          <w:rFonts w:ascii="Arial" w:eastAsia="Times New Roman" w:hAnsi="Arial" w:cs="Arial"/>
          <w:lang w:val="es-ES" w:eastAsia="ar-SA"/>
        </w:rPr>
        <w:t xml:space="preserve"> Licenciado en Derecho</w:t>
      </w:r>
      <w:r w:rsidR="008C1F83" w:rsidRPr="00061B46">
        <w:rPr>
          <w:rFonts w:ascii="Arial" w:eastAsia="Times New Roman" w:hAnsi="Arial" w:cs="Arial"/>
          <w:lang w:val="es-ES" w:eastAsia="ar-SA"/>
        </w:rPr>
        <w:t>,</w:t>
      </w:r>
      <w:r w:rsidRPr="00061B46">
        <w:rPr>
          <w:rFonts w:ascii="Arial" w:eastAsia="Times New Roman" w:hAnsi="Arial" w:cs="Arial"/>
          <w:lang w:val="es-ES" w:eastAsia="ar-SA"/>
        </w:rPr>
        <w:t xml:space="preserve"> Aldrin Martín Briceño Conrado,</w:t>
      </w:r>
      <w:r w:rsidR="008C1F83" w:rsidRPr="00061B46">
        <w:rPr>
          <w:rFonts w:ascii="Arial" w:eastAsia="Times New Roman" w:hAnsi="Arial" w:cs="Arial"/>
          <w:lang w:val="es-ES" w:eastAsia="ar-SA"/>
        </w:rPr>
        <w:t xml:space="preserve"> la primera en su calidad de</w:t>
      </w:r>
      <w:r w:rsidRPr="00061B46">
        <w:rPr>
          <w:rFonts w:ascii="Arial" w:eastAsia="Times New Roman" w:hAnsi="Arial" w:cs="Arial"/>
          <w:lang w:val="es-ES" w:eastAsia="ar-SA"/>
        </w:rPr>
        <w:t xml:space="preserve"> Comisionada Presidenta y </w:t>
      </w:r>
      <w:r w:rsidR="008C1F83" w:rsidRPr="00061B46">
        <w:rPr>
          <w:rFonts w:ascii="Arial" w:eastAsia="Times New Roman" w:hAnsi="Arial" w:cs="Arial"/>
          <w:lang w:val="es-ES" w:eastAsia="ar-SA"/>
        </w:rPr>
        <w:t>los restantes como Comisionados,</w:t>
      </w:r>
      <w:r w:rsidRPr="00061B46">
        <w:rPr>
          <w:rFonts w:ascii="Arial" w:eastAsia="Times New Roman" w:hAnsi="Arial" w:cs="Arial"/>
          <w:lang w:val="es-ES" w:eastAsia="ar-SA"/>
        </w:rPr>
        <w:t xml:space="preserve"> </w:t>
      </w:r>
      <w:r w:rsidRPr="00061B46">
        <w:rPr>
          <w:rFonts w:ascii="Arial" w:eastAsia="Calibri" w:hAnsi="Arial" w:cs="Arial"/>
        </w:rPr>
        <w:t>emiten el presente acuerdo de conformidad con los siguientes antecedentes y considerandos:</w:t>
      </w: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061B46">
        <w:rPr>
          <w:rFonts w:ascii="Arial" w:eastAsia="Calibri" w:hAnsi="Arial" w:cs="Arial"/>
          <w:b/>
        </w:rPr>
        <w:t>ANTECEDENTES</w:t>
      </w:r>
    </w:p>
    <w:p w:rsidR="009611B4" w:rsidRPr="00061B46" w:rsidRDefault="009611B4" w:rsidP="003F074A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</w:rPr>
      </w:pPr>
      <w:r w:rsidRPr="00061B46">
        <w:rPr>
          <w:rFonts w:ascii="Arial" w:eastAsia="Calibri" w:hAnsi="Arial" w:cs="Arial"/>
          <w:b/>
        </w:rPr>
        <w:t>PRIMERO.-</w:t>
      </w:r>
      <w:r w:rsidRPr="00061B46">
        <w:rPr>
          <w:rFonts w:ascii="Arial" w:eastAsia="Calibri" w:hAnsi="Arial" w:cs="Arial"/>
        </w:rPr>
        <w:t xml:space="preserve"> </w:t>
      </w:r>
      <w:r w:rsidRPr="00061B46">
        <w:rPr>
          <w:rFonts w:ascii="Arial" w:eastAsia="Arial" w:hAnsi="Arial" w:cs="Arial"/>
        </w:rPr>
        <w:t>El 7 de febrero de 2014, se publicó en el Diario Oficial de la Federación el Decreto por el que se reforman y adicionan diversas disposiciones de la Constitución Política de los Estados Unidos Mexicanos, en materia de Transpar</w:t>
      </w:r>
      <w:r w:rsidR="004269E3" w:rsidRPr="00061B46">
        <w:rPr>
          <w:rFonts w:ascii="Arial" w:eastAsia="Arial" w:hAnsi="Arial" w:cs="Arial"/>
        </w:rPr>
        <w:t>encia. En dicho decreto, en su Transitorio S</w:t>
      </w:r>
      <w:r w:rsidRPr="00061B46">
        <w:rPr>
          <w:rFonts w:ascii="Arial" w:eastAsia="Arial" w:hAnsi="Arial" w:cs="Arial"/>
        </w:rPr>
        <w:t>egundo, se constriñe al Congreso de la Unión a expedir la Le</w:t>
      </w:r>
      <w:r w:rsidR="00144BFE" w:rsidRPr="00061B46">
        <w:rPr>
          <w:rFonts w:ascii="Arial" w:eastAsia="Arial" w:hAnsi="Arial" w:cs="Arial"/>
        </w:rPr>
        <w:t>y reglamentaria del artículo 6 C</w:t>
      </w:r>
      <w:r w:rsidRPr="00061B46">
        <w:rPr>
          <w:rFonts w:ascii="Arial" w:eastAsia="Arial" w:hAnsi="Arial" w:cs="Arial"/>
        </w:rPr>
        <w:t>onstitucional, en el plazo de un año contado a partir de la fecha de publicación de dicho Decreto.</w:t>
      </w: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Calibri" w:hAnsi="Arial" w:cs="Arial"/>
        </w:rPr>
      </w:pP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061B46">
        <w:rPr>
          <w:rFonts w:ascii="Arial" w:eastAsia="Arial" w:hAnsi="Arial" w:cs="Arial"/>
          <w:b/>
        </w:rPr>
        <w:t xml:space="preserve">SEGUNDO.- </w:t>
      </w:r>
      <w:r w:rsidRPr="00061B46">
        <w:rPr>
          <w:rFonts w:ascii="Arial" w:eastAsia="Arial" w:hAnsi="Arial" w:cs="Arial"/>
        </w:rPr>
        <w:t>El 4 de mayo de 2015, se publicó en el Diario Oficial de la Federación el Decreto por el que se expide la Ley General de Transparencia y Acceso</w:t>
      </w:r>
      <w:r w:rsidR="004269E3" w:rsidRPr="00061B46">
        <w:rPr>
          <w:rFonts w:ascii="Arial" w:eastAsia="Arial" w:hAnsi="Arial" w:cs="Arial"/>
        </w:rPr>
        <w:t xml:space="preserve"> a la Información Pública, Ley R</w:t>
      </w:r>
      <w:r w:rsidRPr="00061B46">
        <w:rPr>
          <w:rFonts w:ascii="Arial" w:eastAsia="Arial" w:hAnsi="Arial" w:cs="Arial"/>
        </w:rPr>
        <w:t>eglamentaria del artículo 6 co</w:t>
      </w:r>
      <w:r w:rsidR="00EF51E7" w:rsidRPr="00061B46">
        <w:rPr>
          <w:rFonts w:ascii="Arial" w:eastAsia="Arial" w:hAnsi="Arial" w:cs="Arial"/>
        </w:rPr>
        <w:t>nstitucional. Dicha Ley, en su Transitorio Q</w:t>
      </w:r>
      <w:r w:rsidRPr="00061B46">
        <w:rPr>
          <w:rFonts w:ascii="Arial" w:eastAsia="Arial" w:hAnsi="Arial" w:cs="Arial"/>
        </w:rPr>
        <w:t>uinto, concede a las Legislaturas de los Estados, el plazo de un año, contado a partir de la entrada en vigor de dicho Decreto, para armonizar las leyes relativas conforme a lo establecido en la</w:t>
      </w:r>
      <w:r w:rsidR="00EF51E7" w:rsidRPr="00061B46">
        <w:rPr>
          <w:rFonts w:ascii="Arial" w:eastAsia="Arial" w:hAnsi="Arial" w:cs="Arial"/>
        </w:rPr>
        <w:t xml:space="preserve"> Ley G</w:t>
      </w:r>
      <w:r w:rsidRPr="00061B46">
        <w:rPr>
          <w:rFonts w:ascii="Arial" w:eastAsia="Arial" w:hAnsi="Arial" w:cs="Arial"/>
        </w:rPr>
        <w:t>eneral.</w:t>
      </w: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</w:rPr>
      </w:pPr>
      <w:r w:rsidRPr="00061B46">
        <w:rPr>
          <w:rFonts w:ascii="Arial" w:eastAsia="Arial" w:hAnsi="Arial" w:cs="Arial"/>
          <w:b/>
        </w:rPr>
        <w:t xml:space="preserve">TERCERO.- </w:t>
      </w:r>
      <w:r w:rsidRPr="00061B46">
        <w:rPr>
          <w:rFonts w:ascii="Arial" w:eastAsia="Arial" w:hAnsi="Arial" w:cs="Arial"/>
        </w:rPr>
        <w:t>El 20 de abril de 2016, se publicó en el Diario Oficial del Gobierno del Estado de Yucatán el Decreto 380/2016, por el que se modifica la Constitución Política del Estado de Yucatán, en materia de anticorrupción y transparencia. A través de dicha modificación, se sientan las bases de la homologación de la legislación estatal, a</w:t>
      </w:r>
      <w:r w:rsidR="00F3121B" w:rsidRPr="00061B46">
        <w:rPr>
          <w:rFonts w:ascii="Arial" w:eastAsia="Arial" w:hAnsi="Arial" w:cs="Arial"/>
        </w:rPr>
        <w:t>corde a lo dispuesto en la Ley General, Ley Reglamentaria del artículo 6 C</w:t>
      </w:r>
      <w:r w:rsidRPr="00061B46">
        <w:rPr>
          <w:rFonts w:ascii="Arial" w:eastAsia="Arial" w:hAnsi="Arial" w:cs="Arial"/>
        </w:rPr>
        <w:t>onstitucional.</w:t>
      </w: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</w:rPr>
      </w:pPr>
      <w:r w:rsidRPr="00061B46">
        <w:rPr>
          <w:rFonts w:ascii="Arial" w:eastAsia="Arial" w:hAnsi="Arial" w:cs="Arial"/>
          <w:b/>
        </w:rPr>
        <w:t>CUARTO.-</w:t>
      </w:r>
      <w:r w:rsidRPr="00061B46">
        <w:rPr>
          <w:rFonts w:ascii="Arial" w:eastAsia="Arial" w:hAnsi="Arial" w:cs="Arial"/>
        </w:rPr>
        <w:t xml:space="preserve"> El 2 de mayo de 2016, se publicó en el Diario Oficial del Gobierno del Estado</w:t>
      </w:r>
      <w:r w:rsidR="00402FCA" w:rsidRPr="00061B46">
        <w:rPr>
          <w:rFonts w:ascii="Arial" w:eastAsia="Arial" w:hAnsi="Arial" w:cs="Arial"/>
        </w:rPr>
        <w:t xml:space="preserve"> de Yucatán</w:t>
      </w:r>
      <w:r w:rsidRPr="00061B46">
        <w:rPr>
          <w:rFonts w:ascii="Arial" w:eastAsia="Arial" w:hAnsi="Arial" w:cs="Arial"/>
        </w:rPr>
        <w:t xml:space="preserve">, el Decreto 388/2016, por el que se expide la Ley de Transparencia y Acceso a la Información Pública del Estado de Yucatán, a través de dicha publicación se dio cumplimiento a lo establecido en el </w:t>
      </w:r>
      <w:r w:rsidR="00402FCA" w:rsidRPr="00061B46">
        <w:rPr>
          <w:rFonts w:ascii="Arial" w:eastAsia="Arial" w:hAnsi="Arial" w:cs="Arial"/>
        </w:rPr>
        <w:t>T</w:t>
      </w:r>
      <w:r w:rsidRPr="00061B46">
        <w:rPr>
          <w:rFonts w:ascii="Arial" w:eastAsia="Arial" w:hAnsi="Arial" w:cs="Arial"/>
        </w:rPr>
        <w:t xml:space="preserve">ransitorio </w:t>
      </w:r>
      <w:r w:rsidR="00402FCA" w:rsidRPr="00061B46">
        <w:rPr>
          <w:rFonts w:ascii="Arial" w:eastAsia="Arial" w:hAnsi="Arial" w:cs="Arial"/>
        </w:rPr>
        <w:t>Q</w:t>
      </w:r>
      <w:r w:rsidRPr="00061B46">
        <w:rPr>
          <w:rFonts w:ascii="Arial" w:eastAsia="Arial" w:hAnsi="Arial" w:cs="Arial"/>
        </w:rPr>
        <w:t>uinto de la Ley General de Transparencia y Acceso a la Información Pública, la homologación de la Ley estatal conforme a</w:t>
      </w:r>
      <w:r w:rsidR="00D077A2" w:rsidRPr="00061B46">
        <w:rPr>
          <w:rFonts w:ascii="Arial" w:eastAsia="Arial" w:hAnsi="Arial" w:cs="Arial"/>
        </w:rPr>
        <w:t xml:space="preserve"> lo dispuesto en la citada Ley G</w:t>
      </w:r>
      <w:r w:rsidRPr="00061B46">
        <w:rPr>
          <w:rFonts w:ascii="Arial" w:eastAsia="Arial" w:hAnsi="Arial" w:cs="Arial"/>
        </w:rPr>
        <w:t>eneral.</w:t>
      </w:r>
    </w:p>
    <w:p w:rsidR="00034E25" w:rsidRPr="00061B46" w:rsidRDefault="00034E25" w:rsidP="003F074A">
      <w:pPr>
        <w:spacing w:after="0" w:line="360" w:lineRule="auto"/>
        <w:jc w:val="both"/>
        <w:rPr>
          <w:rFonts w:ascii="Arial" w:eastAsia="Arial" w:hAnsi="Arial" w:cs="Arial"/>
        </w:rPr>
      </w:pPr>
    </w:p>
    <w:p w:rsidR="00034E25" w:rsidRPr="00061B46" w:rsidRDefault="00034E25" w:rsidP="00FE4F29">
      <w:pPr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Arial" w:hAnsi="Arial" w:cs="Arial"/>
          <w:b/>
        </w:rPr>
        <w:t xml:space="preserve">QUINTO.- </w:t>
      </w:r>
      <w:r w:rsidRPr="00061B46">
        <w:rPr>
          <w:rFonts w:ascii="Arial" w:eastAsia="Arial" w:hAnsi="Arial" w:cs="Arial"/>
        </w:rPr>
        <w:t xml:space="preserve">El </w:t>
      </w:r>
      <w:r w:rsidR="002E34CD" w:rsidRPr="00061B46">
        <w:rPr>
          <w:rFonts w:ascii="Arial" w:eastAsia="Arial" w:hAnsi="Arial" w:cs="Arial"/>
        </w:rPr>
        <w:t>1°</w:t>
      </w:r>
      <w:r w:rsidRPr="00061B46">
        <w:rPr>
          <w:rFonts w:ascii="Arial" w:eastAsia="Calibri" w:hAnsi="Arial" w:cs="Arial"/>
        </w:rPr>
        <w:t xml:space="preserve"> de junio de 2016, se publicó el Decreto 395/2016 por el que se modifica la Ley de Transparencia y Acceso a la Información Pública del Estado de Yucatán; en su párrafo primero del artículo 25; el artículo 59; el párrafo segundo del artículo 102; los párrafos primero y tercero del artículo 103; el artículo 104 y los párrafos primero y segundo del artículo 105, y se adiciona: un cuarto párrafo al artículo 83, todos de la Ley de Transparencia y Acceso a la Información Pública del Estado de Yucatán.</w:t>
      </w: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061B46">
        <w:rPr>
          <w:rFonts w:ascii="Arial" w:eastAsia="Calibri" w:hAnsi="Arial" w:cs="Arial"/>
          <w:b/>
        </w:rPr>
        <w:t>CONSIDERANDOS</w:t>
      </w:r>
    </w:p>
    <w:p w:rsidR="003F074A" w:rsidRPr="00061B46" w:rsidRDefault="003F074A" w:rsidP="003F074A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Calibri" w:hAnsi="Arial" w:cs="Arial"/>
          <w:b/>
        </w:rPr>
        <w:t>PRIMERO.-</w:t>
      </w:r>
      <w:r w:rsidRPr="00061B46">
        <w:rPr>
          <w:rFonts w:ascii="Arial" w:eastAsia="Calibri" w:hAnsi="Arial" w:cs="Arial"/>
        </w:rPr>
        <w:t xml:space="preserve"> Que de </w:t>
      </w:r>
      <w:bookmarkStart w:id="0" w:name="_Hlk483989949"/>
      <w:r w:rsidRPr="00061B46">
        <w:rPr>
          <w:rFonts w:ascii="Arial" w:eastAsia="Calibri" w:hAnsi="Arial" w:cs="Arial"/>
        </w:rPr>
        <w:t xml:space="preserve">conformidad con </w:t>
      </w:r>
      <w:r w:rsidR="001728BD" w:rsidRPr="00061B46">
        <w:rPr>
          <w:rFonts w:ascii="Arial" w:eastAsia="Calibri" w:hAnsi="Arial" w:cs="Arial"/>
        </w:rPr>
        <w:t>los</w:t>
      </w:r>
      <w:r w:rsidRPr="00061B46">
        <w:rPr>
          <w:rFonts w:ascii="Arial" w:eastAsia="Calibri" w:hAnsi="Arial" w:cs="Arial"/>
        </w:rPr>
        <w:t xml:space="preserve"> artículo 10 y 14 de la Ley de Transparencia y Acceso a la Información Pública del Estado de Yucatán, el Instituto Estatal de Transparencia, Acceso a la Información Pública y Protección de Datos Personales </w:t>
      </w:r>
      <w:bookmarkEnd w:id="0"/>
      <w:r w:rsidRPr="00061B46">
        <w:rPr>
          <w:rFonts w:ascii="Arial" w:eastAsia="Calibri" w:hAnsi="Arial" w:cs="Arial"/>
        </w:rPr>
        <w:t>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</w:t>
      </w:r>
      <w:r w:rsidR="006A5A62" w:rsidRPr="00061B46">
        <w:rPr>
          <w:rFonts w:ascii="Arial" w:eastAsia="Calibri" w:hAnsi="Arial" w:cs="Arial"/>
        </w:rPr>
        <w:t xml:space="preserve"> del Estado de Yucatán, la Ley G</w:t>
      </w:r>
      <w:r w:rsidRPr="00061B46">
        <w:rPr>
          <w:rFonts w:ascii="Arial" w:eastAsia="Calibri" w:hAnsi="Arial" w:cs="Arial"/>
        </w:rPr>
        <w:t>eneral, esta ley y demás disposiciones normativas aplicables, mismo que se encuentra integrado por el pleno y las unidades ad</w:t>
      </w:r>
      <w:r w:rsidR="006A5A62" w:rsidRPr="00061B46">
        <w:rPr>
          <w:rFonts w:ascii="Arial" w:eastAsia="Calibri" w:hAnsi="Arial" w:cs="Arial"/>
        </w:rPr>
        <w:t>ministrativas que determine el Reglamento I</w:t>
      </w:r>
      <w:r w:rsidRPr="00061B46">
        <w:rPr>
          <w:rFonts w:ascii="Arial" w:eastAsia="Calibri" w:hAnsi="Arial" w:cs="Arial"/>
        </w:rPr>
        <w:t>nterior de conformidad con la disponibilidad presupuestal.</w:t>
      </w:r>
    </w:p>
    <w:p w:rsidR="003F074A" w:rsidRPr="00061B46" w:rsidRDefault="003F074A" w:rsidP="003F074A">
      <w:pPr>
        <w:spacing w:after="0" w:line="360" w:lineRule="auto"/>
        <w:jc w:val="both"/>
        <w:rPr>
          <w:rFonts w:ascii="Arial" w:eastAsia="Calibri" w:hAnsi="Arial" w:cs="Arial"/>
        </w:rPr>
      </w:pPr>
    </w:p>
    <w:p w:rsidR="003F074A" w:rsidRPr="00061B46" w:rsidRDefault="003F074A" w:rsidP="00737C28">
      <w:pPr>
        <w:spacing w:after="0" w:line="360" w:lineRule="auto"/>
        <w:jc w:val="both"/>
        <w:rPr>
          <w:rFonts w:ascii="Arial" w:eastAsia="Arial" w:hAnsi="Arial" w:cs="Arial"/>
        </w:rPr>
      </w:pPr>
      <w:r w:rsidRPr="00061B46">
        <w:rPr>
          <w:rFonts w:ascii="Arial" w:eastAsia="Calibri" w:hAnsi="Arial" w:cs="Arial"/>
          <w:b/>
        </w:rPr>
        <w:lastRenderedPageBreak/>
        <w:t xml:space="preserve">SEGUNDO.- </w:t>
      </w:r>
      <w:r w:rsidRPr="00061B46">
        <w:rPr>
          <w:rFonts w:ascii="Arial" w:eastAsia="Arial" w:hAnsi="Arial" w:cs="Arial"/>
        </w:rPr>
        <w:t xml:space="preserve">El 4 de mayo de 2016, se publicaron en el Diario Oficial de la Federación, los Lineamientos para la Implementación y Operación de la Plataforma Nacional de Transparencia, emitidos por el Sistema Nacional de Transparencia, Acceso a la Información Pública y Protección de Datos Personales, que tienen por objeto establecer las reglas de operación de la Plataforma Nacional de Transparencia, que garanticen su estabilidad y seguridad, promoviendo la homologación de procesos y la simplicidad del uso de los sistemas que conforman dicha Plataforma para los usuarios, garantizando en todo momento los derechos de acceso a la información y protección de datos personales en posesión de los sujetos obligados; por lo que para estar en condiciones de dar cumplimiento a dichas disposiciones normativas, este órgano garante </w:t>
      </w:r>
      <w:r w:rsidR="003732EF" w:rsidRPr="00061B46">
        <w:rPr>
          <w:rFonts w:ascii="Arial" w:eastAsia="Arial" w:hAnsi="Arial" w:cs="Arial"/>
        </w:rPr>
        <w:t xml:space="preserve">una vez </w:t>
      </w:r>
      <w:r w:rsidRPr="00061B46">
        <w:rPr>
          <w:rFonts w:ascii="Arial" w:eastAsia="Arial" w:hAnsi="Arial" w:cs="Arial"/>
        </w:rPr>
        <w:t>adopta</w:t>
      </w:r>
      <w:r w:rsidR="003732EF" w:rsidRPr="00061B46">
        <w:rPr>
          <w:rFonts w:ascii="Arial" w:eastAsia="Arial" w:hAnsi="Arial" w:cs="Arial"/>
        </w:rPr>
        <w:t>do</w:t>
      </w:r>
      <w:r w:rsidRPr="00061B46">
        <w:rPr>
          <w:rFonts w:ascii="Arial" w:eastAsia="Arial" w:hAnsi="Arial" w:cs="Arial"/>
        </w:rPr>
        <w:t xml:space="preserve"> el Sistema Infomex para la recepción y sustanciación de las solicitudes de acceso </w:t>
      </w:r>
      <w:r w:rsidR="000565B9" w:rsidRPr="00061B46">
        <w:rPr>
          <w:rFonts w:ascii="Arial" w:eastAsia="Arial" w:hAnsi="Arial" w:cs="Arial"/>
        </w:rPr>
        <w:t xml:space="preserve">y de los medios de impugnación </w:t>
      </w:r>
      <w:r w:rsidRPr="00061B46">
        <w:rPr>
          <w:rFonts w:ascii="Arial" w:eastAsia="Arial" w:hAnsi="Arial" w:cs="Arial"/>
        </w:rPr>
        <w:t>y la protección de datos personales.</w:t>
      </w:r>
    </w:p>
    <w:p w:rsidR="003F074A" w:rsidRPr="00061B46" w:rsidRDefault="003F074A" w:rsidP="00737C28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0565B9" w:rsidRPr="00061B46" w:rsidRDefault="003F074A" w:rsidP="00737C28">
      <w:pPr>
        <w:spacing w:after="0" w:line="360" w:lineRule="auto"/>
        <w:jc w:val="both"/>
        <w:rPr>
          <w:rFonts w:ascii="Arial" w:eastAsia="Arial" w:hAnsi="Arial" w:cs="Arial"/>
        </w:rPr>
      </w:pPr>
      <w:r w:rsidRPr="00061B46">
        <w:rPr>
          <w:rFonts w:ascii="Arial" w:eastAsia="Calibri" w:hAnsi="Arial" w:cs="Arial"/>
          <w:b/>
        </w:rPr>
        <w:t>TERCERO</w:t>
      </w:r>
      <w:r w:rsidRPr="00061B46">
        <w:rPr>
          <w:rFonts w:ascii="Arial" w:eastAsia="Calibri" w:hAnsi="Arial" w:cs="Arial"/>
        </w:rPr>
        <w:t xml:space="preserve">.- </w:t>
      </w:r>
      <w:r w:rsidR="000565B9" w:rsidRPr="00061B46">
        <w:rPr>
          <w:rFonts w:ascii="Arial" w:eastAsia="Arial" w:hAnsi="Arial" w:cs="Arial"/>
        </w:rPr>
        <w:t>La Plataforma Nacional de Transparencia es el instrumento informático a través del cual se ejercerán los derechos de acceso a la información y de protección de datos personales en posesión de los sujetos obligados, así como su tutela, en medios electrónicos, de manera que garantice su uniformidad respecto de cualquier sujeto obligado, y sea el repositorio de información obligatoria de transparencia nacional; que estará conformada por el Sistema de Solicitudes de Acceso a la Información (SISAI); el Sistema de Gestión de Medios de Impugnación (SIGEMI); el Sistema de Portales de Obligaciones de Transparencia (SIPOT), y el Sistema de Comunicación entre Organismos Garantes y Sujetos Obligados (SICOM).</w:t>
      </w:r>
    </w:p>
    <w:p w:rsidR="003F074A" w:rsidRPr="00061B46" w:rsidRDefault="003F074A" w:rsidP="00737C2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0565B9" w:rsidRPr="00061B46" w:rsidRDefault="000565B9" w:rsidP="00737C28">
      <w:pPr>
        <w:spacing w:after="0" w:line="360" w:lineRule="auto"/>
        <w:jc w:val="both"/>
        <w:rPr>
          <w:rFonts w:ascii="Arial" w:eastAsia="Arial" w:hAnsi="Arial" w:cs="Arial"/>
        </w:rPr>
      </w:pPr>
      <w:r w:rsidRPr="00061B46">
        <w:rPr>
          <w:rFonts w:ascii="Arial" w:eastAsia="Calibri" w:hAnsi="Arial" w:cs="Arial"/>
          <w:b/>
        </w:rPr>
        <w:t>CUARTO</w:t>
      </w:r>
      <w:r w:rsidRPr="00061B46">
        <w:rPr>
          <w:rFonts w:ascii="Arial" w:eastAsia="Calibri" w:hAnsi="Arial" w:cs="Arial"/>
        </w:rPr>
        <w:t xml:space="preserve">.- </w:t>
      </w:r>
      <w:r w:rsidRPr="00061B46">
        <w:rPr>
          <w:rFonts w:ascii="Arial" w:eastAsia="Arial" w:hAnsi="Arial" w:cs="Arial"/>
        </w:rPr>
        <w:t>El 23 de mayo de 2016, se recibió del Secretario Ejecutivo del Sistema Nacional de Transparencia, Licenciado en Derecho</w:t>
      </w:r>
      <w:r w:rsidR="004269E3" w:rsidRPr="00061B46">
        <w:rPr>
          <w:rFonts w:ascii="Arial" w:eastAsia="Arial" w:hAnsi="Arial" w:cs="Arial"/>
        </w:rPr>
        <w:t>,</w:t>
      </w:r>
      <w:r w:rsidRPr="00061B46">
        <w:rPr>
          <w:rFonts w:ascii="Arial" w:eastAsia="Arial" w:hAnsi="Arial" w:cs="Arial"/>
        </w:rPr>
        <w:t xml:space="preserve"> Federico Guzmán Tamayo, el oficio sin número, ni fecha, a través del cual manifestó entre otros temas, que la operación de la </w:t>
      </w:r>
      <w:r w:rsidR="004E3253" w:rsidRPr="00061B46">
        <w:rPr>
          <w:rFonts w:ascii="Arial" w:eastAsia="Arial" w:hAnsi="Arial" w:cs="Arial"/>
        </w:rPr>
        <w:t>Plataforma Nacional de Transparencia (</w:t>
      </w:r>
      <w:r w:rsidRPr="00061B46">
        <w:rPr>
          <w:rFonts w:ascii="Arial" w:eastAsia="Arial" w:hAnsi="Arial" w:cs="Arial"/>
        </w:rPr>
        <w:t>PNT</w:t>
      </w:r>
      <w:r w:rsidR="004E3253" w:rsidRPr="00061B46">
        <w:rPr>
          <w:rFonts w:ascii="Arial" w:eastAsia="Arial" w:hAnsi="Arial" w:cs="Arial"/>
        </w:rPr>
        <w:t>)</w:t>
      </w:r>
      <w:r w:rsidRPr="00061B46">
        <w:rPr>
          <w:rFonts w:ascii="Arial" w:eastAsia="Arial" w:hAnsi="Arial" w:cs="Arial"/>
        </w:rPr>
        <w:t xml:space="preserve"> se han registrado incidencias, las cuales varias de ellas se han venido corrigiendo; sin embargo, a la fecha, </w:t>
      </w:r>
      <w:r w:rsidR="00613734" w:rsidRPr="00061B46">
        <w:rPr>
          <w:rFonts w:ascii="Arial" w:eastAsia="Arial" w:hAnsi="Arial" w:cs="Arial"/>
        </w:rPr>
        <w:t xml:space="preserve">persisten y </w:t>
      </w:r>
      <w:r w:rsidRPr="00061B46">
        <w:rPr>
          <w:rFonts w:ascii="Arial" w:eastAsia="Arial" w:hAnsi="Arial" w:cs="Arial"/>
        </w:rPr>
        <w:t xml:space="preserve">se reportan conforme avanza el ciclo de la presentación y atención de solicitudes de información, así como de medios de impugnación. </w:t>
      </w:r>
    </w:p>
    <w:p w:rsidR="000565B9" w:rsidRPr="00061B46" w:rsidRDefault="000565B9" w:rsidP="00737C28">
      <w:pPr>
        <w:autoSpaceDE w:val="0"/>
        <w:autoSpaceDN w:val="0"/>
        <w:adjustRightInd w:val="0"/>
        <w:spacing w:after="0" w:line="360" w:lineRule="auto"/>
        <w:ind w:left="851" w:right="616"/>
        <w:jc w:val="both"/>
        <w:rPr>
          <w:rFonts w:ascii="Arial" w:eastAsia="Arial" w:hAnsi="Arial" w:cs="Arial"/>
          <w:i/>
        </w:rPr>
      </w:pPr>
    </w:p>
    <w:p w:rsidR="001C0E27" w:rsidRPr="00061B46" w:rsidRDefault="00613734" w:rsidP="006137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Calibri" w:hAnsi="Arial" w:cs="Arial"/>
          <w:b/>
        </w:rPr>
        <w:lastRenderedPageBreak/>
        <w:t>QUINTO</w:t>
      </w:r>
      <w:r w:rsidRPr="00061B46">
        <w:rPr>
          <w:rFonts w:ascii="Arial" w:eastAsia="Calibri" w:hAnsi="Arial" w:cs="Arial"/>
        </w:rPr>
        <w:t xml:space="preserve">.- </w:t>
      </w:r>
      <w:r w:rsidR="00C51E75" w:rsidRPr="00061B46">
        <w:rPr>
          <w:rFonts w:ascii="Arial" w:eastAsia="Calibri" w:hAnsi="Arial" w:cs="Arial"/>
        </w:rPr>
        <w:t>Como resultado</w:t>
      </w:r>
      <w:r w:rsidR="00A657BA" w:rsidRPr="00061B46">
        <w:rPr>
          <w:rFonts w:ascii="Arial" w:eastAsia="Calibri" w:hAnsi="Arial" w:cs="Arial"/>
        </w:rPr>
        <w:t xml:space="preserve"> de la sustanciación y resolución de los procedimientos de recurso de revisión previsto en</w:t>
      </w:r>
      <w:r w:rsidR="00C51E75" w:rsidRPr="00061B46">
        <w:rPr>
          <w:rFonts w:ascii="Arial" w:eastAsia="Calibri" w:hAnsi="Arial" w:cs="Arial"/>
        </w:rPr>
        <w:t xml:space="preserve"> el</w:t>
      </w:r>
      <w:r w:rsidR="00A657BA" w:rsidRPr="00061B46">
        <w:rPr>
          <w:rFonts w:ascii="Arial" w:eastAsia="Calibri" w:hAnsi="Arial" w:cs="Arial"/>
        </w:rPr>
        <w:t xml:space="preserve"> Título Octavo de la Ley General de Transparencia, </w:t>
      </w:r>
      <w:r w:rsidR="00C51E75" w:rsidRPr="00061B46">
        <w:rPr>
          <w:rFonts w:ascii="Arial" w:eastAsia="Calibri" w:hAnsi="Arial" w:cs="Arial"/>
        </w:rPr>
        <w:t xml:space="preserve">se detectó </w:t>
      </w:r>
      <w:r w:rsidR="0073293E" w:rsidRPr="00061B46">
        <w:rPr>
          <w:rFonts w:ascii="Arial" w:eastAsia="Calibri" w:hAnsi="Arial" w:cs="Arial"/>
        </w:rPr>
        <w:t>sobre</w:t>
      </w:r>
      <w:r w:rsidR="0061794B" w:rsidRPr="00061B46">
        <w:rPr>
          <w:rFonts w:ascii="Arial" w:eastAsia="Calibri" w:hAnsi="Arial" w:cs="Arial"/>
        </w:rPr>
        <w:t xml:space="preserve"> </w:t>
      </w:r>
      <w:r w:rsidR="0036155B" w:rsidRPr="00061B46">
        <w:rPr>
          <w:rFonts w:ascii="Arial" w:eastAsia="Calibri" w:hAnsi="Arial" w:cs="Arial"/>
        </w:rPr>
        <w:t xml:space="preserve">la posibilidad </w:t>
      </w:r>
      <w:r w:rsidR="00C51E75" w:rsidRPr="00061B46">
        <w:rPr>
          <w:rFonts w:ascii="Arial" w:eastAsia="Calibri" w:hAnsi="Arial" w:cs="Arial"/>
        </w:rPr>
        <w:t>que las respuestas otorgadas por los sujeto</w:t>
      </w:r>
      <w:r w:rsidR="0061794B" w:rsidRPr="00061B46">
        <w:rPr>
          <w:rFonts w:ascii="Arial" w:eastAsia="Calibri" w:hAnsi="Arial" w:cs="Arial"/>
        </w:rPr>
        <w:t>s</w:t>
      </w:r>
      <w:r w:rsidR="00C51E75" w:rsidRPr="00061B46">
        <w:rPr>
          <w:rFonts w:ascii="Arial" w:eastAsia="Calibri" w:hAnsi="Arial" w:cs="Arial"/>
        </w:rPr>
        <w:t xml:space="preserve"> obligado</w:t>
      </w:r>
      <w:r w:rsidR="0061794B" w:rsidRPr="00061B46">
        <w:rPr>
          <w:rFonts w:ascii="Arial" w:eastAsia="Calibri" w:hAnsi="Arial" w:cs="Arial"/>
        </w:rPr>
        <w:t>s a través de la Plataforma Nacional de Transparencia, no puedan</w:t>
      </w:r>
      <w:r w:rsidR="0036155B" w:rsidRPr="00061B46">
        <w:rPr>
          <w:rFonts w:ascii="Arial" w:eastAsia="Calibri" w:hAnsi="Arial" w:cs="Arial"/>
        </w:rPr>
        <w:t xml:space="preserve"> ser visualizada</w:t>
      </w:r>
      <w:r w:rsidR="0061794B" w:rsidRPr="00061B46">
        <w:rPr>
          <w:rFonts w:ascii="Arial" w:eastAsia="Calibri" w:hAnsi="Arial" w:cs="Arial"/>
        </w:rPr>
        <w:t>s</w:t>
      </w:r>
      <w:r w:rsidR="0036155B" w:rsidRPr="00061B46">
        <w:rPr>
          <w:rFonts w:ascii="Arial" w:eastAsia="Calibri" w:hAnsi="Arial" w:cs="Arial"/>
        </w:rPr>
        <w:t xml:space="preserve"> o descargada</w:t>
      </w:r>
      <w:r w:rsidR="0061794B" w:rsidRPr="00061B46">
        <w:rPr>
          <w:rFonts w:ascii="Arial" w:eastAsia="Calibri" w:hAnsi="Arial" w:cs="Arial"/>
        </w:rPr>
        <w:t>s por el o la solicit</w:t>
      </w:r>
      <w:r w:rsidR="00953CB2" w:rsidRPr="00061B46">
        <w:rPr>
          <w:rFonts w:ascii="Arial" w:eastAsia="Calibri" w:hAnsi="Arial" w:cs="Arial"/>
        </w:rPr>
        <w:t>ante</w:t>
      </w:r>
      <w:r w:rsidR="0036155B" w:rsidRPr="00061B46">
        <w:rPr>
          <w:rFonts w:ascii="Arial" w:eastAsia="Calibri" w:hAnsi="Arial" w:cs="Arial"/>
        </w:rPr>
        <w:t xml:space="preserve"> a trav</w:t>
      </w:r>
      <w:r w:rsidR="0061794B" w:rsidRPr="00061B46">
        <w:rPr>
          <w:rFonts w:ascii="Arial" w:eastAsia="Calibri" w:hAnsi="Arial" w:cs="Arial"/>
        </w:rPr>
        <w:t>és de la cuenta</w:t>
      </w:r>
      <w:r w:rsidR="0036155B" w:rsidRPr="00061B46">
        <w:rPr>
          <w:rFonts w:ascii="Arial" w:eastAsia="Calibri" w:hAnsi="Arial" w:cs="Arial"/>
        </w:rPr>
        <w:t xml:space="preserve"> </w:t>
      </w:r>
      <w:r w:rsidR="0061794B" w:rsidRPr="00061B46">
        <w:rPr>
          <w:rFonts w:ascii="Arial" w:eastAsia="Calibri" w:hAnsi="Arial" w:cs="Arial"/>
        </w:rPr>
        <w:t xml:space="preserve">creada para tales fines; </w:t>
      </w:r>
      <w:r w:rsidR="0036155B" w:rsidRPr="00061B46">
        <w:rPr>
          <w:rFonts w:ascii="Arial" w:eastAsia="Calibri" w:hAnsi="Arial" w:cs="Arial"/>
        </w:rPr>
        <w:t xml:space="preserve">se </w:t>
      </w:r>
      <w:r w:rsidR="0061794B" w:rsidRPr="00061B46">
        <w:rPr>
          <w:rFonts w:ascii="Arial" w:eastAsia="Calibri" w:hAnsi="Arial" w:cs="Arial"/>
        </w:rPr>
        <w:t xml:space="preserve">dice </w:t>
      </w:r>
      <w:r w:rsidR="003732EF" w:rsidRPr="00061B46">
        <w:rPr>
          <w:rFonts w:ascii="Arial" w:eastAsia="Calibri" w:hAnsi="Arial" w:cs="Arial"/>
        </w:rPr>
        <w:t xml:space="preserve">lo </w:t>
      </w:r>
      <w:r w:rsidR="0061794B" w:rsidRPr="00061B46">
        <w:rPr>
          <w:rFonts w:ascii="Arial" w:eastAsia="Calibri" w:hAnsi="Arial" w:cs="Arial"/>
        </w:rPr>
        <w:t>an</w:t>
      </w:r>
      <w:r w:rsidR="0036155B" w:rsidRPr="00061B46">
        <w:rPr>
          <w:rFonts w:ascii="Arial" w:eastAsia="Calibri" w:hAnsi="Arial" w:cs="Arial"/>
        </w:rPr>
        <w:t>terior, toda vez que se interpusieron divers</w:t>
      </w:r>
      <w:r w:rsidR="003732EF" w:rsidRPr="00061B46">
        <w:rPr>
          <w:rFonts w:ascii="Arial" w:eastAsia="Calibri" w:hAnsi="Arial" w:cs="Arial"/>
        </w:rPr>
        <w:t>o</w:t>
      </w:r>
      <w:r w:rsidR="0036155B" w:rsidRPr="00061B46">
        <w:rPr>
          <w:rFonts w:ascii="Arial" w:eastAsia="Calibri" w:hAnsi="Arial" w:cs="Arial"/>
        </w:rPr>
        <w:t xml:space="preserve">s recursos de revisión </w:t>
      </w:r>
      <w:r w:rsidR="00953CB2" w:rsidRPr="00061B46">
        <w:rPr>
          <w:rFonts w:ascii="Arial" w:eastAsia="Calibri" w:hAnsi="Arial" w:cs="Arial"/>
        </w:rPr>
        <w:t>en los que se alegó</w:t>
      </w:r>
      <w:r w:rsidR="007F7CE9" w:rsidRPr="00061B46">
        <w:rPr>
          <w:rFonts w:ascii="Arial" w:eastAsia="Calibri" w:hAnsi="Arial" w:cs="Arial"/>
        </w:rPr>
        <w:t xml:space="preserve"> la</w:t>
      </w:r>
      <w:r w:rsidR="0036155B" w:rsidRPr="00061B46">
        <w:rPr>
          <w:rFonts w:ascii="Arial" w:eastAsia="Calibri" w:hAnsi="Arial" w:cs="Arial"/>
        </w:rPr>
        <w:t xml:space="preserve"> falta de respuesta</w:t>
      </w:r>
      <w:r w:rsidR="00953CB2" w:rsidRPr="00061B46">
        <w:rPr>
          <w:rFonts w:ascii="Arial" w:eastAsia="Calibri" w:hAnsi="Arial" w:cs="Arial"/>
        </w:rPr>
        <w:t xml:space="preserve"> </w:t>
      </w:r>
      <w:r w:rsidR="007F7CE9" w:rsidRPr="00061B46">
        <w:rPr>
          <w:rFonts w:ascii="Arial" w:eastAsia="Calibri" w:hAnsi="Arial" w:cs="Arial"/>
        </w:rPr>
        <w:t>a la</w:t>
      </w:r>
      <w:r w:rsidR="00953CB2" w:rsidRPr="00061B46">
        <w:rPr>
          <w:rFonts w:ascii="Arial" w:eastAsia="Calibri" w:hAnsi="Arial" w:cs="Arial"/>
        </w:rPr>
        <w:t xml:space="preserve"> solicitud,</w:t>
      </w:r>
      <w:r w:rsidR="004269E3" w:rsidRPr="00061B46">
        <w:rPr>
          <w:rFonts w:ascii="Arial" w:eastAsia="Calibri" w:hAnsi="Arial" w:cs="Arial"/>
        </w:rPr>
        <w:t xml:space="preserve"> no obstante que el Sujeto Obligado sí dio respuesta a la misma,</w:t>
      </w:r>
      <w:r w:rsidR="0036155B" w:rsidRPr="00061B46">
        <w:rPr>
          <w:rFonts w:ascii="Arial" w:eastAsia="Calibri" w:hAnsi="Arial" w:cs="Arial"/>
        </w:rPr>
        <w:t xml:space="preserve"> </w:t>
      </w:r>
      <w:r w:rsidR="00953CB2" w:rsidRPr="00061B46">
        <w:rPr>
          <w:rFonts w:ascii="Arial" w:eastAsia="Calibri" w:hAnsi="Arial" w:cs="Arial"/>
        </w:rPr>
        <w:t xml:space="preserve">por lo que a fin de cumplir </w:t>
      </w:r>
      <w:r w:rsidR="004269E3" w:rsidRPr="00061B46">
        <w:rPr>
          <w:rFonts w:ascii="Arial" w:eastAsia="Calibri" w:hAnsi="Arial" w:cs="Arial"/>
        </w:rPr>
        <w:t xml:space="preserve">con </w:t>
      </w:r>
      <w:r w:rsidR="00953CB2" w:rsidRPr="00061B46">
        <w:rPr>
          <w:rFonts w:ascii="Arial" w:eastAsia="Calibri" w:hAnsi="Arial" w:cs="Arial"/>
        </w:rPr>
        <w:t>los objetivos</w:t>
      </w:r>
      <w:r w:rsidR="00952D85" w:rsidRPr="00061B46">
        <w:rPr>
          <w:rFonts w:ascii="Arial" w:eastAsia="Calibri" w:hAnsi="Arial" w:cs="Arial"/>
        </w:rPr>
        <w:t xml:space="preserve"> previstos en la</w:t>
      </w:r>
      <w:r w:rsidR="00953CB2" w:rsidRPr="00061B46">
        <w:rPr>
          <w:rFonts w:ascii="Arial" w:eastAsia="Calibri" w:hAnsi="Arial" w:cs="Arial"/>
        </w:rPr>
        <w:t xml:space="preserve"> </w:t>
      </w:r>
      <w:r w:rsidR="004269E3" w:rsidRPr="00061B46">
        <w:rPr>
          <w:rFonts w:ascii="Arial" w:eastAsia="Calibri" w:hAnsi="Arial" w:cs="Arial"/>
        </w:rPr>
        <w:t xml:space="preserve">aludida </w:t>
      </w:r>
      <w:r w:rsidR="00953CB2" w:rsidRPr="00061B46">
        <w:rPr>
          <w:rFonts w:ascii="Arial" w:eastAsia="Calibri" w:hAnsi="Arial" w:cs="Arial"/>
        </w:rPr>
        <w:t xml:space="preserve">Ley General </w:t>
      </w:r>
      <w:r w:rsidR="004269E3" w:rsidRPr="00061B46">
        <w:rPr>
          <w:rFonts w:ascii="Arial" w:eastAsia="Calibri" w:hAnsi="Arial" w:cs="Arial"/>
        </w:rPr>
        <w:t>tales como</w:t>
      </w:r>
      <w:r w:rsidR="00952D85" w:rsidRPr="00061B46">
        <w:rPr>
          <w:rFonts w:ascii="Arial" w:eastAsia="Calibri" w:hAnsi="Arial" w:cs="Arial"/>
        </w:rPr>
        <w:t xml:space="preserve"> la de</w:t>
      </w:r>
      <w:r w:rsidR="00953CB2" w:rsidRPr="00061B46">
        <w:rPr>
          <w:rFonts w:ascii="Arial" w:eastAsia="Calibri" w:hAnsi="Arial" w:cs="Arial"/>
        </w:rPr>
        <w:t xml:space="preserve"> establecer las bases mínimas</w:t>
      </w:r>
      <w:r w:rsidR="00952D85" w:rsidRPr="00061B46">
        <w:rPr>
          <w:rFonts w:ascii="Arial" w:eastAsia="Calibri" w:hAnsi="Arial" w:cs="Arial"/>
        </w:rPr>
        <w:t xml:space="preserve"> </w:t>
      </w:r>
      <w:r w:rsidR="00953CB2" w:rsidRPr="00061B46">
        <w:rPr>
          <w:rFonts w:ascii="Arial" w:eastAsia="Calibri" w:hAnsi="Arial" w:cs="Arial"/>
        </w:rPr>
        <w:t xml:space="preserve">que regirán los procedimientos para garantizar el ejercicio del derecho </w:t>
      </w:r>
      <w:r w:rsidR="00B07E4B" w:rsidRPr="00061B46">
        <w:rPr>
          <w:rFonts w:ascii="Arial" w:eastAsia="Calibri" w:hAnsi="Arial" w:cs="Arial"/>
        </w:rPr>
        <w:t>y</w:t>
      </w:r>
      <w:r w:rsidR="00953CB2" w:rsidRPr="00061B46">
        <w:rPr>
          <w:rFonts w:ascii="Arial" w:eastAsia="Calibri" w:hAnsi="Arial" w:cs="Arial"/>
        </w:rPr>
        <w:t xml:space="preserve"> acceso a la información pública,</w:t>
      </w:r>
      <w:r w:rsidR="0006339C" w:rsidRPr="00061B46">
        <w:rPr>
          <w:rFonts w:ascii="Arial" w:eastAsia="Calibri" w:hAnsi="Arial" w:cs="Arial"/>
        </w:rPr>
        <w:t xml:space="preserve"> y que éstos sean</w:t>
      </w:r>
      <w:r w:rsidR="00953CB2" w:rsidRPr="00061B46">
        <w:rPr>
          <w:rFonts w:ascii="Arial" w:eastAsia="Calibri" w:hAnsi="Arial" w:cs="Arial"/>
        </w:rPr>
        <w:t xml:space="preserve"> </w:t>
      </w:r>
      <w:r w:rsidR="00952D85" w:rsidRPr="00061B46">
        <w:rPr>
          <w:rFonts w:ascii="Arial" w:eastAsia="Calibri" w:hAnsi="Arial" w:cs="Arial"/>
        </w:rPr>
        <w:t>procedimientos sencillos y expeditos, así como los principios rectores de imparcialidad y legalidad</w:t>
      </w:r>
      <w:r w:rsidR="0006339C" w:rsidRPr="00061B46">
        <w:rPr>
          <w:rFonts w:ascii="Arial" w:eastAsia="Calibri" w:hAnsi="Arial" w:cs="Arial"/>
        </w:rPr>
        <w:t xml:space="preserve">, </w:t>
      </w:r>
      <w:r w:rsidR="009C23FC" w:rsidRPr="00061B46">
        <w:rPr>
          <w:rFonts w:ascii="Arial" w:eastAsia="Calibri" w:hAnsi="Arial" w:cs="Arial"/>
        </w:rPr>
        <w:t>se d</w:t>
      </w:r>
      <w:r w:rsidR="00543F24" w:rsidRPr="00061B46">
        <w:rPr>
          <w:rFonts w:ascii="Arial" w:eastAsia="Calibri" w:hAnsi="Arial" w:cs="Arial"/>
        </w:rPr>
        <w:t>esarroll</w:t>
      </w:r>
      <w:r w:rsidR="004269E3" w:rsidRPr="00061B46">
        <w:rPr>
          <w:rFonts w:ascii="Arial" w:eastAsia="Calibri" w:hAnsi="Arial" w:cs="Arial"/>
        </w:rPr>
        <w:t>aron</w:t>
      </w:r>
      <w:r w:rsidR="00543F24" w:rsidRPr="00061B46">
        <w:rPr>
          <w:rFonts w:ascii="Arial" w:eastAsia="Calibri" w:hAnsi="Arial" w:cs="Arial"/>
        </w:rPr>
        <w:t xml:space="preserve"> actividades de verificación</w:t>
      </w:r>
      <w:r w:rsidR="00993F84" w:rsidRPr="00061B46">
        <w:rPr>
          <w:rFonts w:ascii="Arial" w:eastAsia="Calibri" w:hAnsi="Arial" w:cs="Arial"/>
        </w:rPr>
        <w:t xml:space="preserve"> y </w:t>
      </w:r>
      <w:r w:rsidR="00543F24" w:rsidRPr="00061B46">
        <w:rPr>
          <w:rFonts w:ascii="Arial" w:eastAsia="Calibri" w:hAnsi="Arial" w:cs="Arial"/>
        </w:rPr>
        <w:t xml:space="preserve">consulta al </w:t>
      </w:r>
      <w:bookmarkStart w:id="1" w:name="_Hlk483991131"/>
      <w:r w:rsidR="00543F24" w:rsidRPr="00061B46">
        <w:rPr>
          <w:rFonts w:ascii="Arial" w:eastAsia="Calibri" w:hAnsi="Arial" w:cs="Arial"/>
        </w:rPr>
        <w:t xml:space="preserve">Instituto Nacional de Transparencia, Acceso a la Información y Protección de Datos Personales (INAI), </w:t>
      </w:r>
      <w:bookmarkEnd w:id="1"/>
      <w:r w:rsidR="006C3A5C" w:rsidRPr="00061B46">
        <w:rPr>
          <w:rFonts w:ascii="Arial" w:eastAsia="Calibri" w:hAnsi="Arial" w:cs="Arial"/>
        </w:rPr>
        <w:t xml:space="preserve">teniendo como </w:t>
      </w:r>
      <w:r w:rsidR="00993F84" w:rsidRPr="00061B46">
        <w:rPr>
          <w:rFonts w:ascii="Arial" w:eastAsia="Calibri" w:hAnsi="Arial" w:cs="Arial"/>
        </w:rPr>
        <w:t>resultado que la</w:t>
      </w:r>
      <w:r w:rsidR="00C03358" w:rsidRPr="00061B46">
        <w:rPr>
          <w:rFonts w:ascii="Arial" w:eastAsia="Calibri" w:hAnsi="Arial" w:cs="Arial"/>
        </w:rPr>
        <w:t xml:space="preserve"> Plataforma Nacional de Transparencia, continúa pres</w:t>
      </w:r>
      <w:r w:rsidR="006C3A5C" w:rsidRPr="00061B46">
        <w:rPr>
          <w:rFonts w:ascii="Arial" w:eastAsia="Calibri" w:hAnsi="Arial" w:cs="Arial"/>
        </w:rPr>
        <w:t xml:space="preserve">entando fallas técnicas </w:t>
      </w:r>
      <w:r w:rsidR="00C03358" w:rsidRPr="00061B46">
        <w:rPr>
          <w:rFonts w:ascii="Arial" w:eastAsia="Calibri" w:hAnsi="Arial" w:cs="Arial"/>
        </w:rPr>
        <w:t xml:space="preserve">que impide en ocasiones, </w:t>
      </w:r>
      <w:r w:rsidR="006C3A5C" w:rsidRPr="00061B46">
        <w:rPr>
          <w:rFonts w:ascii="Arial" w:eastAsia="Calibri" w:hAnsi="Arial" w:cs="Arial"/>
        </w:rPr>
        <w:t xml:space="preserve">que </w:t>
      </w:r>
      <w:r w:rsidR="00C03358" w:rsidRPr="00061B46">
        <w:rPr>
          <w:rFonts w:ascii="Arial" w:eastAsia="Calibri" w:hAnsi="Arial" w:cs="Arial"/>
        </w:rPr>
        <w:t>el Sistema INFOMEX se demor</w:t>
      </w:r>
      <w:r w:rsidR="006C3A5C" w:rsidRPr="00061B46">
        <w:rPr>
          <w:rFonts w:ascii="Arial" w:eastAsia="Calibri" w:hAnsi="Arial" w:cs="Arial"/>
        </w:rPr>
        <w:t>e</w:t>
      </w:r>
      <w:r w:rsidR="00C03358" w:rsidRPr="00061B46">
        <w:rPr>
          <w:rFonts w:ascii="Arial" w:eastAsia="Calibri" w:hAnsi="Arial" w:cs="Arial"/>
        </w:rPr>
        <w:t xml:space="preserve"> en adjuntar la</w:t>
      </w:r>
      <w:r w:rsidR="006C3A5C" w:rsidRPr="00061B46">
        <w:rPr>
          <w:rFonts w:ascii="Arial" w:eastAsia="Calibri" w:hAnsi="Arial" w:cs="Arial"/>
        </w:rPr>
        <w:t xml:space="preserve"> respuesta</w:t>
      </w:r>
      <w:r w:rsidR="00CA1687" w:rsidRPr="00061B46">
        <w:rPr>
          <w:rFonts w:ascii="Arial" w:eastAsia="Calibri" w:hAnsi="Arial" w:cs="Arial"/>
        </w:rPr>
        <w:t>,</w:t>
      </w:r>
      <w:r w:rsidR="006C3A5C" w:rsidRPr="00061B46">
        <w:rPr>
          <w:rFonts w:ascii="Arial" w:eastAsia="Calibri" w:hAnsi="Arial" w:cs="Arial"/>
        </w:rPr>
        <w:t xml:space="preserve"> y en su caso, la información, por la que ante dicha demora </w:t>
      </w:r>
      <w:r w:rsidR="00C03358" w:rsidRPr="00061B46">
        <w:rPr>
          <w:rFonts w:ascii="Arial" w:eastAsia="Calibri" w:hAnsi="Arial" w:cs="Arial"/>
        </w:rPr>
        <w:t xml:space="preserve">la Plataforma Nacional </w:t>
      </w:r>
      <w:r w:rsidR="00441BD1" w:rsidRPr="00061B46">
        <w:rPr>
          <w:rFonts w:ascii="Arial" w:eastAsia="Calibri" w:hAnsi="Arial" w:cs="Arial"/>
        </w:rPr>
        <w:t xml:space="preserve">de Transparencia, </w:t>
      </w:r>
      <w:r w:rsidR="00C03358" w:rsidRPr="00061B46">
        <w:rPr>
          <w:rFonts w:ascii="Arial" w:eastAsia="Calibri" w:hAnsi="Arial" w:cs="Arial"/>
        </w:rPr>
        <w:t>no puede recuperar la información impidiendo</w:t>
      </w:r>
      <w:r w:rsidR="00543F24" w:rsidRPr="00061B46">
        <w:rPr>
          <w:rFonts w:ascii="Arial" w:eastAsia="Calibri" w:hAnsi="Arial" w:cs="Arial"/>
        </w:rPr>
        <w:t xml:space="preserve"> al </w:t>
      </w:r>
      <w:r w:rsidR="00DE21DF" w:rsidRPr="00061B46">
        <w:rPr>
          <w:rFonts w:ascii="Arial" w:eastAsia="Calibri" w:hAnsi="Arial" w:cs="Arial"/>
        </w:rPr>
        <w:t xml:space="preserve">solicitante </w:t>
      </w:r>
      <w:r w:rsidR="00F858A3" w:rsidRPr="00061B46">
        <w:rPr>
          <w:rFonts w:ascii="Arial" w:eastAsia="Calibri" w:hAnsi="Arial" w:cs="Arial"/>
        </w:rPr>
        <w:t>visualizar y conocer</w:t>
      </w:r>
      <w:r w:rsidR="00C03358" w:rsidRPr="00061B46">
        <w:rPr>
          <w:rFonts w:ascii="Arial" w:eastAsia="Calibri" w:hAnsi="Arial" w:cs="Arial"/>
        </w:rPr>
        <w:t xml:space="preserve"> la respuesta emitida por el sujeto obligado</w:t>
      </w:r>
      <w:r w:rsidR="00543F24" w:rsidRPr="00061B46">
        <w:rPr>
          <w:rFonts w:ascii="Arial" w:eastAsia="Calibri" w:hAnsi="Arial" w:cs="Arial"/>
        </w:rPr>
        <w:t xml:space="preserve">, en su </w:t>
      </w:r>
      <w:r w:rsidR="00C24E94" w:rsidRPr="00061B46">
        <w:rPr>
          <w:rFonts w:ascii="Arial" w:eastAsia="Calibri" w:hAnsi="Arial" w:cs="Arial"/>
        </w:rPr>
        <w:t>cuenta y clave personal</w:t>
      </w:r>
      <w:r w:rsidR="00993F84" w:rsidRPr="00061B46">
        <w:rPr>
          <w:rFonts w:ascii="Arial" w:eastAsia="Calibri" w:hAnsi="Arial" w:cs="Arial"/>
        </w:rPr>
        <w:t xml:space="preserve">, a pesar que el sujeto obligado hubiere dado </w:t>
      </w:r>
      <w:r w:rsidR="00F858A3" w:rsidRPr="00061B46">
        <w:rPr>
          <w:rFonts w:ascii="Arial" w:eastAsia="Calibri" w:hAnsi="Arial" w:cs="Arial"/>
        </w:rPr>
        <w:t>contestación</w:t>
      </w:r>
      <w:r w:rsidR="00993F84" w:rsidRPr="00061B46">
        <w:rPr>
          <w:rFonts w:ascii="Arial" w:eastAsia="Calibri" w:hAnsi="Arial" w:cs="Arial"/>
        </w:rPr>
        <w:t xml:space="preserve">  a la misma</w:t>
      </w:r>
      <w:r w:rsidR="00C03358" w:rsidRPr="00061B46">
        <w:rPr>
          <w:rFonts w:ascii="Arial" w:eastAsia="Calibri" w:hAnsi="Arial" w:cs="Arial"/>
        </w:rPr>
        <w:t>.</w:t>
      </w:r>
    </w:p>
    <w:p w:rsidR="003F7AE2" w:rsidRPr="00061B46" w:rsidRDefault="003F7AE2" w:rsidP="006137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4E3321" w:rsidRPr="00061B46" w:rsidRDefault="003F7AE2" w:rsidP="004E332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061B46">
        <w:rPr>
          <w:rFonts w:ascii="Arial" w:eastAsia="Calibri" w:hAnsi="Arial" w:cs="Arial"/>
          <w:b/>
          <w:sz w:val="22"/>
          <w:szCs w:val="22"/>
        </w:rPr>
        <w:t>SEXTO.-</w:t>
      </w:r>
      <w:r w:rsidR="00CB4006" w:rsidRPr="00061B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4E3321" w:rsidRPr="00061B46">
        <w:rPr>
          <w:rFonts w:ascii="Arial" w:eastAsia="Calibri" w:hAnsi="Arial" w:cs="Arial"/>
          <w:sz w:val="22"/>
          <w:szCs w:val="22"/>
        </w:rPr>
        <w:t xml:space="preserve">Que el Instituto Estatal de Transparencia, Acceso a la Información Pública y Protección de Datos Personales del Estado de Yucatán, tiene conocimiento que  mediante el </w:t>
      </w:r>
      <w:bookmarkStart w:id="2" w:name="_Hlk485305226"/>
      <w:r w:rsidR="004E3321" w:rsidRPr="00061B46">
        <w:rPr>
          <w:rFonts w:ascii="Arial" w:eastAsia="Calibri" w:hAnsi="Arial" w:cs="Arial"/>
          <w:sz w:val="22"/>
          <w:szCs w:val="22"/>
        </w:rPr>
        <w:t xml:space="preserve">Sistema de Solicitudes de Información del Estado de Yucatán, </w:t>
      </w:r>
      <w:r w:rsidR="00EA3ECE" w:rsidRPr="00061B46">
        <w:rPr>
          <w:rFonts w:ascii="Arial" w:eastAsia="Calibri" w:hAnsi="Arial" w:cs="Arial"/>
          <w:sz w:val="22"/>
          <w:szCs w:val="22"/>
        </w:rPr>
        <w:t xml:space="preserve"> inherente a</w:t>
      </w:r>
      <w:r w:rsidR="004E3321" w:rsidRPr="00061B46">
        <w:rPr>
          <w:rFonts w:ascii="Arial" w:eastAsia="Calibri" w:hAnsi="Arial" w:cs="Arial"/>
          <w:sz w:val="22"/>
          <w:szCs w:val="22"/>
        </w:rPr>
        <w:t xml:space="preserve"> la Plataforma Nacional de Transparencia</w:t>
      </w:r>
      <w:bookmarkEnd w:id="2"/>
      <w:r w:rsidR="004E3321" w:rsidRPr="00061B46">
        <w:rPr>
          <w:rFonts w:ascii="Arial" w:eastAsia="Calibri" w:hAnsi="Arial" w:cs="Arial"/>
          <w:sz w:val="22"/>
          <w:szCs w:val="22"/>
        </w:rPr>
        <w:t xml:space="preserve">, </w:t>
      </w:r>
      <w:r w:rsidR="004250B6" w:rsidRPr="00061B46">
        <w:rPr>
          <w:rFonts w:ascii="Arial" w:eastAsia="Calibri" w:hAnsi="Arial" w:cs="Arial"/>
          <w:sz w:val="22"/>
          <w:szCs w:val="22"/>
        </w:rPr>
        <w:t>en</w:t>
      </w:r>
      <w:r w:rsidR="004E3321" w:rsidRPr="00061B46">
        <w:rPr>
          <w:rFonts w:ascii="Arial" w:eastAsia="Calibri" w:hAnsi="Arial" w:cs="Arial"/>
          <w:sz w:val="22"/>
          <w:szCs w:val="22"/>
        </w:rPr>
        <w:t xml:space="preserve"> espec</w:t>
      </w:r>
      <w:r w:rsidR="00422F87" w:rsidRPr="00061B46">
        <w:rPr>
          <w:rFonts w:ascii="Arial" w:eastAsia="Calibri" w:hAnsi="Arial" w:cs="Arial"/>
          <w:sz w:val="22"/>
          <w:szCs w:val="22"/>
        </w:rPr>
        <w:t>ífico</w:t>
      </w:r>
      <w:r w:rsidR="004E3321" w:rsidRPr="00061B46">
        <w:rPr>
          <w:rFonts w:ascii="Arial" w:eastAsia="Calibri" w:hAnsi="Arial" w:cs="Arial"/>
          <w:sz w:val="22"/>
          <w:szCs w:val="22"/>
        </w:rPr>
        <w:t xml:space="preserve"> al link</w:t>
      </w:r>
      <w:r w:rsidR="003732EF" w:rsidRPr="00061B46">
        <w:rPr>
          <w:rFonts w:ascii="Arial" w:eastAsia="Calibri" w:hAnsi="Arial" w:cs="Arial"/>
          <w:sz w:val="22"/>
          <w:szCs w:val="22"/>
        </w:rPr>
        <w:t xml:space="preserve"> (enlace)</w:t>
      </w:r>
      <w:r w:rsidR="004E3321" w:rsidRPr="00061B46">
        <w:rPr>
          <w:rFonts w:ascii="Arial" w:eastAsia="Calibri" w:hAnsi="Arial" w:cs="Arial"/>
          <w:sz w:val="22"/>
          <w:szCs w:val="22"/>
        </w:rPr>
        <w:t xml:space="preserve">: </w:t>
      </w:r>
      <w:hyperlink r:id="rId9" w:history="1">
        <w:r w:rsidR="004E3321" w:rsidRPr="00061B46">
          <w:rPr>
            <w:rStyle w:val="Hipervnculo"/>
            <w:rFonts w:ascii="Arial" w:eastAsia="Calibri" w:hAnsi="Arial" w:cs="Arial"/>
            <w:sz w:val="22"/>
            <w:szCs w:val="22"/>
          </w:rPr>
          <w:t>http://infomex.transparenciayucatan.org.mx/InfomexYucatan/</w:t>
        </w:r>
      </w:hyperlink>
      <w:r w:rsidR="00EA3ECE" w:rsidRPr="00061B46">
        <w:rPr>
          <w:rFonts w:ascii="Arial" w:eastAsia="Calibri" w:hAnsi="Arial" w:cs="Arial"/>
          <w:sz w:val="22"/>
          <w:szCs w:val="22"/>
        </w:rPr>
        <w:t xml:space="preserve">, </w:t>
      </w:r>
      <w:r w:rsidR="004269E3" w:rsidRPr="00061B46">
        <w:rPr>
          <w:rFonts w:ascii="Arial" w:eastAsia="Calibri" w:hAnsi="Arial" w:cs="Arial"/>
          <w:sz w:val="22"/>
          <w:szCs w:val="22"/>
        </w:rPr>
        <w:t>es posible</w:t>
      </w:r>
      <w:r w:rsidR="00EA3ECE" w:rsidRPr="00061B46">
        <w:rPr>
          <w:rFonts w:ascii="Arial" w:eastAsia="Calibri" w:hAnsi="Arial" w:cs="Arial"/>
          <w:sz w:val="22"/>
          <w:szCs w:val="22"/>
        </w:rPr>
        <w:t xml:space="preserve"> ingresar a fin </w:t>
      </w:r>
      <w:r w:rsidR="004269E3" w:rsidRPr="00061B46">
        <w:rPr>
          <w:rFonts w:ascii="Arial" w:eastAsia="Calibri" w:hAnsi="Arial" w:cs="Arial"/>
          <w:sz w:val="22"/>
          <w:szCs w:val="22"/>
        </w:rPr>
        <w:t xml:space="preserve">de </w:t>
      </w:r>
      <w:r w:rsidR="00EA3ECE" w:rsidRPr="00061B46">
        <w:rPr>
          <w:rFonts w:ascii="Arial" w:eastAsia="Calibri" w:hAnsi="Arial" w:cs="Arial"/>
          <w:sz w:val="22"/>
          <w:szCs w:val="22"/>
        </w:rPr>
        <w:t>conocer si a determinada solicitud de acceso se le dio respuesta</w:t>
      </w:r>
      <w:r w:rsidR="00DE1232" w:rsidRPr="00061B46">
        <w:rPr>
          <w:rFonts w:ascii="Arial" w:eastAsia="Calibri" w:hAnsi="Arial" w:cs="Arial"/>
          <w:sz w:val="22"/>
          <w:szCs w:val="22"/>
        </w:rPr>
        <w:t xml:space="preserve"> o no</w:t>
      </w:r>
      <w:r w:rsidR="00EA3ECE" w:rsidRPr="00061B46">
        <w:rPr>
          <w:rFonts w:ascii="Arial" w:eastAsia="Calibri" w:hAnsi="Arial" w:cs="Arial"/>
          <w:sz w:val="22"/>
          <w:szCs w:val="22"/>
        </w:rPr>
        <w:t xml:space="preserve">, siguiendo </w:t>
      </w:r>
      <w:r w:rsidR="004250B6" w:rsidRPr="00061B46">
        <w:rPr>
          <w:rFonts w:ascii="Arial" w:eastAsia="Calibri" w:hAnsi="Arial" w:cs="Arial"/>
          <w:sz w:val="22"/>
          <w:szCs w:val="22"/>
        </w:rPr>
        <w:t>estos sencillos pasos</w:t>
      </w:r>
      <w:r w:rsidR="00EA3ECE" w:rsidRPr="00061B46">
        <w:rPr>
          <w:rFonts w:ascii="Arial" w:eastAsia="Calibri" w:hAnsi="Arial" w:cs="Arial"/>
          <w:sz w:val="22"/>
          <w:szCs w:val="22"/>
        </w:rPr>
        <w:t xml:space="preserve">, </w:t>
      </w:r>
      <w:r w:rsidR="00EA3ECE" w:rsidRPr="00061B46">
        <w:rPr>
          <w:rFonts w:ascii="Arial" w:eastAsia="Calibri" w:hAnsi="Arial" w:cs="Arial"/>
          <w:b/>
          <w:sz w:val="22"/>
          <w:szCs w:val="22"/>
          <w:u w:val="single"/>
        </w:rPr>
        <w:t>1)</w:t>
      </w:r>
      <w:r w:rsidR="00EA3ECE" w:rsidRPr="00061B46">
        <w:rPr>
          <w:rFonts w:ascii="Arial" w:eastAsia="Calibri" w:hAnsi="Arial" w:cs="Arial"/>
          <w:b/>
          <w:sz w:val="22"/>
          <w:szCs w:val="22"/>
        </w:rPr>
        <w:t xml:space="preserve"> </w:t>
      </w:r>
      <w:r w:rsidR="00EA3ECE" w:rsidRPr="00061B46">
        <w:rPr>
          <w:rFonts w:ascii="Arial" w:eastAsia="Calibri" w:hAnsi="Arial" w:cs="Arial"/>
          <w:sz w:val="22"/>
          <w:szCs w:val="22"/>
        </w:rPr>
        <w:t>una vez ingresado a</w:t>
      </w:r>
      <w:r w:rsidR="004269E3" w:rsidRPr="00061B46">
        <w:rPr>
          <w:rFonts w:ascii="Arial" w:eastAsia="Calibri" w:hAnsi="Arial" w:cs="Arial"/>
          <w:sz w:val="22"/>
          <w:szCs w:val="22"/>
        </w:rPr>
        <w:t>l</w:t>
      </w:r>
      <w:r w:rsidR="00EA3ECE" w:rsidRPr="00061B46">
        <w:rPr>
          <w:rFonts w:ascii="Arial" w:eastAsia="Calibri" w:hAnsi="Arial" w:cs="Arial"/>
          <w:sz w:val="22"/>
          <w:szCs w:val="22"/>
        </w:rPr>
        <w:t xml:space="preserve"> link antes señalado, </w:t>
      </w:r>
      <w:r w:rsidR="004E3321" w:rsidRPr="00061B46">
        <w:rPr>
          <w:rFonts w:ascii="Arial" w:eastAsia="Calibri" w:hAnsi="Arial" w:cs="Arial"/>
          <w:sz w:val="22"/>
          <w:szCs w:val="22"/>
        </w:rPr>
        <w:t xml:space="preserve">se desglosará una pantalla </w:t>
      </w:r>
      <w:r w:rsidR="004E3321" w:rsidRPr="00061B46">
        <w:rPr>
          <w:rFonts w:ascii="Arial" w:hAnsi="Arial" w:cs="Arial"/>
          <w:sz w:val="22"/>
          <w:szCs w:val="22"/>
          <w:lang w:val="es-MX"/>
        </w:rPr>
        <w:t>titulada: “Sistema de Solicitudes de Información del Estado de Yucatán”, que en la parte inferior izquierda se encuentra la opción denominada: “</w:t>
      </w:r>
      <w:r w:rsidR="004E3321" w:rsidRPr="00061B46">
        <w:rPr>
          <w:rFonts w:ascii="Arial" w:hAnsi="Arial" w:cs="Arial"/>
          <w:i/>
          <w:sz w:val="22"/>
          <w:szCs w:val="22"/>
          <w:lang w:val="es-MX"/>
        </w:rPr>
        <w:t xml:space="preserve">Consulta aquí las solicitudes de información, y sus respuestas, que han realizado otras personas a través del Sistema de Información Electrónica Informe, </w:t>
      </w:r>
      <w:r w:rsidR="004E3321" w:rsidRPr="00061B46">
        <w:rPr>
          <w:rFonts w:ascii="Arial" w:hAnsi="Arial" w:cs="Arial"/>
          <w:b/>
          <w:i/>
          <w:sz w:val="22"/>
          <w:szCs w:val="22"/>
          <w:lang w:val="es-MX"/>
        </w:rPr>
        <w:t>da clic aquí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”, </w:t>
      </w:r>
      <w:r w:rsidR="00C94EAF" w:rsidRPr="00061B46">
        <w:rPr>
          <w:rFonts w:ascii="Arial" w:hAnsi="Arial" w:cs="Arial"/>
          <w:b/>
          <w:sz w:val="22"/>
          <w:szCs w:val="22"/>
          <w:u w:val="single"/>
          <w:lang w:val="es-MX"/>
        </w:rPr>
        <w:t>2)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 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en la cual 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al 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dar click, aparecerá una </w:t>
      </w:r>
      <w:r w:rsidR="004E3321" w:rsidRPr="00061B46">
        <w:rPr>
          <w:rFonts w:ascii="Arial" w:hAnsi="Arial" w:cs="Arial"/>
          <w:sz w:val="22"/>
          <w:szCs w:val="22"/>
          <w:lang w:val="es-MX"/>
        </w:rPr>
        <w:lastRenderedPageBreak/>
        <w:t>pantalla titulada: “REPORTES” con las siguientes opciones: “</w:t>
      </w:r>
      <w:r w:rsidR="004E3321" w:rsidRPr="00061B46">
        <w:rPr>
          <w:rFonts w:ascii="Arial" w:hAnsi="Arial" w:cs="Arial"/>
          <w:i/>
          <w:sz w:val="22"/>
          <w:szCs w:val="22"/>
          <w:lang w:val="es-MX"/>
        </w:rPr>
        <w:t>Solicitudes de Información</w:t>
      </w:r>
      <w:r w:rsidR="004E3321" w:rsidRPr="00061B46">
        <w:rPr>
          <w:rFonts w:ascii="Arial" w:hAnsi="Arial" w:cs="Arial"/>
          <w:sz w:val="22"/>
          <w:szCs w:val="22"/>
          <w:lang w:val="es-MX"/>
        </w:rPr>
        <w:t>”, “</w:t>
      </w:r>
      <w:r w:rsidR="004E3321" w:rsidRPr="00061B46">
        <w:rPr>
          <w:rFonts w:ascii="Arial" w:hAnsi="Arial" w:cs="Arial"/>
          <w:i/>
          <w:sz w:val="22"/>
          <w:szCs w:val="22"/>
          <w:lang w:val="es-MX"/>
        </w:rPr>
        <w:t>Recursos de Revisión</w:t>
      </w:r>
      <w:r w:rsidR="004E3321" w:rsidRPr="00061B46">
        <w:rPr>
          <w:rFonts w:ascii="Arial" w:hAnsi="Arial" w:cs="Arial"/>
          <w:sz w:val="22"/>
          <w:szCs w:val="22"/>
          <w:lang w:val="es-MX"/>
        </w:rPr>
        <w:t>” y “</w:t>
      </w:r>
      <w:r w:rsidR="004E3321" w:rsidRPr="00061B46">
        <w:rPr>
          <w:rFonts w:ascii="Arial" w:hAnsi="Arial" w:cs="Arial"/>
          <w:i/>
          <w:sz w:val="22"/>
          <w:szCs w:val="22"/>
          <w:lang w:val="es-MX"/>
        </w:rPr>
        <w:t>Consulta estadística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”, </w:t>
      </w:r>
      <w:r w:rsidR="00C94EAF" w:rsidRPr="00061B46">
        <w:rPr>
          <w:rFonts w:ascii="Arial" w:hAnsi="Arial" w:cs="Arial"/>
          <w:b/>
          <w:sz w:val="22"/>
          <w:szCs w:val="22"/>
          <w:u w:val="single"/>
          <w:lang w:val="es-MX"/>
        </w:rPr>
        <w:t>3)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 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entre las 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cuales 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se seleccionará la opción: “Solicitudes de Información”, que inmediatamente desglosará una pantalla con un recuadro titulado: “Reporte público de solicitudes” </w:t>
      </w:r>
      <w:r w:rsidR="00C94EAF" w:rsidRPr="00061B46">
        <w:rPr>
          <w:rFonts w:ascii="Arial" w:hAnsi="Arial" w:cs="Arial"/>
          <w:b/>
          <w:sz w:val="22"/>
          <w:szCs w:val="22"/>
          <w:u w:val="single"/>
          <w:lang w:val="es-MX"/>
        </w:rPr>
        <w:t>4)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 </w:t>
      </w:r>
      <w:r w:rsidR="004E3321" w:rsidRPr="00061B46">
        <w:rPr>
          <w:rFonts w:ascii="Arial" w:hAnsi="Arial" w:cs="Arial"/>
          <w:sz w:val="22"/>
          <w:szCs w:val="22"/>
          <w:lang w:val="es-MX"/>
        </w:rPr>
        <w:t>de ahí se deberá ingresar en el apartado denominado “Folio” el folio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 de la solicitud exactamente igual como </w:t>
      </w:r>
      <w:r w:rsidR="004E3321" w:rsidRPr="00061B46">
        <w:rPr>
          <w:rFonts w:ascii="Arial" w:hAnsi="Arial" w:cs="Arial"/>
          <w:sz w:val="22"/>
          <w:szCs w:val="22"/>
          <w:lang w:val="es-MX"/>
        </w:rPr>
        <w:t xml:space="preserve">se hubiere asignado por el Sujeto Obligado, y </w:t>
      </w:r>
      <w:r w:rsidR="00C94EAF" w:rsidRPr="00061B46">
        <w:rPr>
          <w:rFonts w:ascii="Arial" w:hAnsi="Arial" w:cs="Arial"/>
          <w:b/>
          <w:sz w:val="22"/>
          <w:szCs w:val="22"/>
          <w:lang w:val="es-MX"/>
        </w:rPr>
        <w:t>5)</w:t>
      </w:r>
      <w:r w:rsidR="00C94EAF" w:rsidRPr="00061B46">
        <w:rPr>
          <w:rFonts w:ascii="Arial" w:hAnsi="Arial" w:cs="Arial"/>
          <w:sz w:val="22"/>
          <w:szCs w:val="22"/>
          <w:lang w:val="es-MX"/>
        </w:rPr>
        <w:t xml:space="preserve"> </w:t>
      </w:r>
      <w:r w:rsidR="004E3321" w:rsidRPr="00061B46">
        <w:rPr>
          <w:rFonts w:ascii="Arial" w:hAnsi="Arial" w:cs="Arial"/>
          <w:sz w:val="22"/>
          <w:szCs w:val="22"/>
          <w:lang w:val="es-MX"/>
        </w:rPr>
        <w:t>finalmente dar click, en la opción, “Buscar” misma que de existir una respuesta o información a la solicitud en cuestión, arrojará una pantalla con diversos datos y rubros inherentes a la propia solicitud y de no existir respuesta, se indicará mediante una recuadro titulado: “Aviso” lo siguiente: “No se encontraron resultados con los criterios establecidos”</w:t>
      </w:r>
      <w:r w:rsidR="00DE1232" w:rsidRPr="00061B46">
        <w:rPr>
          <w:rFonts w:ascii="Arial" w:hAnsi="Arial" w:cs="Arial"/>
          <w:sz w:val="22"/>
          <w:szCs w:val="22"/>
          <w:lang w:val="es-MX"/>
        </w:rPr>
        <w:t xml:space="preserve">, o bien, ingresando directamente al link </w:t>
      </w:r>
      <w:hyperlink r:id="rId10" w:history="1">
        <w:r w:rsidR="00DE1232" w:rsidRPr="00061B46">
          <w:rPr>
            <w:rStyle w:val="Hipervnculo"/>
            <w:rFonts w:ascii="Arial" w:hAnsi="Arial" w:cs="Arial"/>
            <w:sz w:val="22"/>
            <w:szCs w:val="22"/>
            <w:lang w:val="es-MX"/>
          </w:rPr>
          <w:t>http://infomex.transparenciayucatan.org.mx/InfomexYucatan/</w:t>
        </w:r>
      </w:hyperlink>
      <w:r w:rsidR="00DE1232" w:rsidRPr="00061B46">
        <w:rPr>
          <w:rFonts w:ascii="Arial" w:hAnsi="Arial" w:cs="Arial"/>
          <w:sz w:val="22"/>
          <w:szCs w:val="22"/>
          <w:lang w:val="es-MX"/>
        </w:rPr>
        <w:t xml:space="preserve"> de ahí realizar los pasos descritos en los numerales </w:t>
      </w:r>
      <w:r w:rsidR="00DE1232" w:rsidRPr="00061B46">
        <w:rPr>
          <w:rFonts w:ascii="Arial" w:hAnsi="Arial" w:cs="Arial"/>
          <w:b/>
          <w:sz w:val="22"/>
          <w:szCs w:val="22"/>
          <w:lang w:val="es-MX"/>
        </w:rPr>
        <w:t>5)</w:t>
      </w:r>
      <w:r w:rsidR="00DE1232" w:rsidRPr="00061B46">
        <w:rPr>
          <w:rFonts w:ascii="Arial" w:hAnsi="Arial" w:cs="Arial"/>
          <w:sz w:val="22"/>
          <w:szCs w:val="22"/>
          <w:lang w:val="es-MX"/>
        </w:rPr>
        <w:t xml:space="preserve"> y </w:t>
      </w:r>
      <w:r w:rsidR="00DE1232" w:rsidRPr="00061B46">
        <w:rPr>
          <w:rFonts w:ascii="Arial" w:hAnsi="Arial" w:cs="Arial"/>
          <w:b/>
          <w:sz w:val="22"/>
          <w:szCs w:val="22"/>
          <w:lang w:val="es-MX"/>
        </w:rPr>
        <w:t>6)</w:t>
      </w:r>
      <w:r w:rsidR="00DE1232" w:rsidRPr="00061B4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F7AE2" w:rsidRPr="00061B46" w:rsidRDefault="003F7AE2" w:rsidP="0061373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:rsidR="00313295" w:rsidRPr="00061B46" w:rsidRDefault="003F7AE2" w:rsidP="00313295">
      <w:pPr>
        <w:spacing w:after="0" w:line="360" w:lineRule="auto"/>
        <w:jc w:val="both"/>
        <w:rPr>
          <w:rFonts w:ascii="Arial" w:eastAsia="Calibri" w:hAnsi="Arial" w:cs="Arial"/>
          <w:color w:val="000000"/>
        </w:rPr>
      </w:pPr>
      <w:r w:rsidRPr="00061B46">
        <w:rPr>
          <w:rFonts w:ascii="Arial" w:eastAsia="Calibri" w:hAnsi="Arial" w:cs="Arial"/>
          <w:b/>
        </w:rPr>
        <w:t>SÉPTIMO</w:t>
      </w:r>
      <w:r w:rsidR="001C0E27" w:rsidRPr="00061B46">
        <w:rPr>
          <w:rFonts w:ascii="Arial" w:eastAsia="Calibri" w:hAnsi="Arial" w:cs="Arial"/>
        </w:rPr>
        <w:t xml:space="preserve">.- </w:t>
      </w:r>
      <w:r w:rsidR="000F7864" w:rsidRPr="00061B46">
        <w:rPr>
          <w:rFonts w:ascii="Arial" w:eastAsia="Calibri" w:hAnsi="Arial" w:cs="Arial"/>
          <w:lang w:eastAsia="es-MX"/>
        </w:rPr>
        <w:t xml:space="preserve">Atento a </w:t>
      </w:r>
      <w:r w:rsidR="001C0E27" w:rsidRPr="00061B46">
        <w:rPr>
          <w:rFonts w:ascii="Arial" w:eastAsia="Calibri" w:hAnsi="Arial" w:cs="Arial"/>
          <w:lang w:eastAsia="es-MX"/>
        </w:rPr>
        <w:t>l</w:t>
      </w:r>
      <w:r w:rsidR="00AD67A7" w:rsidRPr="00061B46">
        <w:rPr>
          <w:rFonts w:ascii="Arial" w:eastAsia="Calibri" w:hAnsi="Arial" w:cs="Arial"/>
          <w:lang w:eastAsia="es-MX"/>
        </w:rPr>
        <w:t xml:space="preserve">o </w:t>
      </w:r>
      <w:r w:rsidR="000F7864" w:rsidRPr="00061B46">
        <w:rPr>
          <w:rFonts w:ascii="Arial" w:eastAsia="Calibri" w:hAnsi="Arial" w:cs="Arial"/>
          <w:lang w:eastAsia="es-MX"/>
        </w:rPr>
        <w:t>expuesto en lo</w:t>
      </w:r>
      <w:r w:rsidR="00A03BAD" w:rsidRPr="00061B46">
        <w:rPr>
          <w:rFonts w:ascii="Arial" w:eastAsia="Calibri" w:hAnsi="Arial" w:cs="Arial"/>
          <w:lang w:eastAsia="es-MX"/>
        </w:rPr>
        <w:t>s</w:t>
      </w:r>
      <w:r w:rsidR="000F7864" w:rsidRPr="00061B46">
        <w:rPr>
          <w:rFonts w:ascii="Arial" w:eastAsia="Calibri" w:hAnsi="Arial" w:cs="Arial"/>
          <w:lang w:eastAsia="es-MX"/>
        </w:rPr>
        <w:t xml:space="preserve"> Considerando</w:t>
      </w:r>
      <w:r w:rsidR="00A03BAD" w:rsidRPr="00061B46">
        <w:rPr>
          <w:rFonts w:ascii="Arial" w:eastAsia="Calibri" w:hAnsi="Arial" w:cs="Arial"/>
          <w:lang w:eastAsia="es-MX"/>
        </w:rPr>
        <w:t>s</w:t>
      </w:r>
      <w:r w:rsidR="000F7864" w:rsidRPr="00061B46">
        <w:rPr>
          <w:rFonts w:ascii="Arial" w:eastAsia="Calibri" w:hAnsi="Arial" w:cs="Arial"/>
          <w:lang w:eastAsia="es-MX"/>
        </w:rPr>
        <w:t xml:space="preserve"> Sexto y Séptimo</w:t>
      </w:r>
      <w:r w:rsidR="00AD67A7" w:rsidRPr="00061B46">
        <w:rPr>
          <w:rFonts w:ascii="Arial" w:eastAsia="Calibri" w:hAnsi="Arial" w:cs="Arial"/>
          <w:lang w:eastAsia="es-MX"/>
        </w:rPr>
        <w:t>,</w:t>
      </w:r>
      <w:r w:rsidR="00400CB4" w:rsidRPr="00061B46">
        <w:rPr>
          <w:rFonts w:ascii="Arial" w:eastAsia="Calibri" w:hAnsi="Arial" w:cs="Arial"/>
          <w:lang w:eastAsia="es-MX"/>
        </w:rPr>
        <w:t xml:space="preserve"> y</w:t>
      </w:r>
      <w:r w:rsidR="00AD67A7" w:rsidRPr="00061B46">
        <w:rPr>
          <w:rFonts w:ascii="Arial" w:eastAsia="Calibri" w:hAnsi="Arial" w:cs="Arial"/>
          <w:lang w:eastAsia="es-MX"/>
        </w:rPr>
        <w:t xml:space="preserve"> </w:t>
      </w:r>
      <w:r w:rsidR="00400CB4" w:rsidRPr="00061B46">
        <w:rPr>
          <w:rFonts w:ascii="Arial" w:eastAsia="Arial" w:hAnsi="Arial" w:cs="Arial"/>
        </w:rPr>
        <w:t xml:space="preserve">a fin de cumplir con los objetivos y atribuciones previstas </w:t>
      </w:r>
      <w:r w:rsidR="001C0E27" w:rsidRPr="00061B46">
        <w:rPr>
          <w:rFonts w:ascii="Arial" w:eastAsia="Calibri" w:hAnsi="Arial" w:cs="Arial"/>
          <w:lang w:eastAsia="es-MX"/>
        </w:rPr>
        <w:t xml:space="preserve">en la </w:t>
      </w:r>
      <w:r w:rsidR="001C0E27" w:rsidRPr="00061B46">
        <w:rPr>
          <w:rFonts w:ascii="Arial" w:eastAsia="Arial" w:hAnsi="Arial" w:cs="Arial"/>
        </w:rPr>
        <w:t>Ley General de Transparencia y</w:t>
      </w:r>
      <w:r w:rsidR="00F624CE" w:rsidRPr="00061B46">
        <w:rPr>
          <w:rFonts w:ascii="Arial" w:eastAsia="Arial" w:hAnsi="Arial" w:cs="Arial"/>
        </w:rPr>
        <w:t xml:space="preserve"> Ley de Transparencia </w:t>
      </w:r>
      <w:r w:rsidR="001C0E27" w:rsidRPr="00061B46">
        <w:rPr>
          <w:rFonts w:ascii="Arial" w:eastAsia="Arial" w:hAnsi="Arial" w:cs="Arial"/>
        </w:rPr>
        <w:t xml:space="preserve"> </w:t>
      </w:r>
      <w:r w:rsidR="00F624CE" w:rsidRPr="00061B46">
        <w:rPr>
          <w:rFonts w:ascii="Arial" w:eastAsia="Arial" w:hAnsi="Arial" w:cs="Arial"/>
        </w:rPr>
        <w:t xml:space="preserve">y </w:t>
      </w:r>
      <w:r w:rsidR="001C0E27" w:rsidRPr="00061B46">
        <w:rPr>
          <w:rFonts w:ascii="Arial" w:eastAsia="Arial" w:hAnsi="Arial" w:cs="Arial"/>
        </w:rPr>
        <w:t>Acceso a la Información Pública</w:t>
      </w:r>
      <w:r w:rsidR="00F624CE" w:rsidRPr="00061B46">
        <w:rPr>
          <w:rFonts w:ascii="Arial" w:eastAsia="Arial" w:hAnsi="Arial" w:cs="Arial"/>
        </w:rPr>
        <w:t xml:space="preserve"> del Estado de Yucatán</w:t>
      </w:r>
      <w:r w:rsidR="00F858A3" w:rsidRPr="00061B46">
        <w:rPr>
          <w:rFonts w:ascii="Arial" w:eastAsia="Arial" w:hAnsi="Arial" w:cs="Arial"/>
        </w:rPr>
        <w:t xml:space="preserve">, </w:t>
      </w:r>
      <w:r w:rsidR="00400CB4" w:rsidRPr="00061B46">
        <w:rPr>
          <w:rFonts w:ascii="Arial" w:eastAsia="Arial" w:hAnsi="Arial" w:cs="Arial"/>
        </w:rPr>
        <w:t xml:space="preserve">y con ello garantizar el </w:t>
      </w:r>
      <w:r w:rsidR="00A03BAD" w:rsidRPr="00061B46">
        <w:rPr>
          <w:rFonts w:ascii="Arial" w:eastAsia="Arial" w:hAnsi="Arial" w:cs="Arial"/>
        </w:rPr>
        <w:t xml:space="preserve">ejercicio del </w:t>
      </w:r>
      <w:r w:rsidR="00400CB4" w:rsidRPr="00061B46">
        <w:rPr>
          <w:rFonts w:ascii="Arial" w:eastAsia="Arial" w:hAnsi="Arial" w:cs="Arial"/>
        </w:rPr>
        <w:t xml:space="preserve">derecho al acceso a la información pública, </w:t>
      </w:r>
      <w:r w:rsidR="00A03BAD" w:rsidRPr="00061B46">
        <w:rPr>
          <w:rFonts w:ascii="Arial" w:eastAsia="Arial" w:hAnsi="Arial" w:cs="Arial"/>
        </w:rPr>
        <w:t>así como</w:t>
      </w:r>
      <w:r w:rsidR="00400CB4" w:rsidRPr="00061B46">
        <w:rPr>
          <w:rFonts w:ascii="Arial" w:eastAsia="Arial" w:hAnsi="Arial" w:cs="Arial"/>
        </w:rPr>
        <w:t xml:space="preserve"> a una administració</w:t>
      </w:r>
      <w:r w:rsidR="000F7864" w:rsidRPr="00061B46">
        <w:rPr>
          <w:rFonts w:ascii="Arial" w:eastAsia="Arial" w:hAnsi="Arial" w:cs="Arial"/>
        </w:rPr>
        <w:t>n de justicia pronta y expedita</w:t>
      </w:r>
      <w:r w:rsidR="00400CB4" w:rsidRPr="00061B46">
        <w:rPr>
          <w:rFonts w:ascii="Arial" w:eastAsia="Arial" w:hAnsi="Arial" w:cs="Arial"/>
        </w:rPr>
        <w:t xml:space="preserve"> previstas en</w:t>
      </w:r>
      <w:r w:rsidR="00400CB4" w:rsidRPr="00061B46">
        <w:rPr>
          <w:rFonts w:ascii="Arial" w:eastAsia="Calibri" w:hAnsi="Arial" w:cs="Arial"/>
          <w:lang w:eastAsia="es-MX"/>
        </w:rPr>
        <w:t xml:space="preserve"> los artículos 6 </w:t>
      </w:r>
      <w:r w:rsidR="000F3A3B" w:rsidRPr="00061B46">
        <w:rPr>
          <w:rFonts w:ascii="Arial" w:eastAsia="Calibri" w:hAnsi="Arial" w:cs="Arial"/>
          <w:lang w:eastAsia="es-MX"/>
        </w:rPr>
        <w:t xml:space="preserve">y </w:t>
      </w:r>
      <w:r w:rsidR="00400CB4" w:rsidRPr="00061B46">
        <w:rPr>
          <w:rFonts w:ascii="Arial" w:eastAsia="Calibri" w:hAnsi="Arial" w:cs="Arial"/>
          <w:lang w:eastAsia="es-MX"/>
        </w:rPr>
        <w:t xml:space="preserve">17 de </w:t>
      </w:r>
      <w:r w:rsidR="00400CB4" w:rsidRPr="00061B46">
        <w:rPr>
          <w:rFonts w:ascii="Arial" w:eastAsia="Calibri" w:hAnsi="Arial" w:cs="Arial"/>
        </w:rPr>
        <w:t>Constitución Política de los Estados Unidos Mexicanos</w:t>
      </w:r>
      <w:r w:rsidR="000F7864" w:rsidRPr="00061B46">
        <w:rPr>
          <w:rFonts w:ascii="Arial" w:eastAsia="Calibri" w:hAnsi="Arial" w:cs="Arial"/>
        </w:rPr>
        <w:t>,</w:t>
      </w:r>
      <w:r w:rsidR="00400CB4" w:rsidRPr="00061B46">
        <w:rPr>
          <w:rFonts w:ascii="Arial" w:eastAsia="Arial" w:hAnsi="Arial" w:cs="Arial"/>
        </w:rPr>
        <w:t xml:space="preserve"> </w:t>
      </w:r>
      <w:r w:rsidR="00F858A3" w:rsidRPr="00061B46">
        <w:rPr>
          <w:rFonts w:ascii="Arial" w:eastAsia="Arial" w:hAnsi="Arial" w:cs="Arial"/>
        </w:rPr>
        <w:t xml:space="preserve">el </w:t>
      </w:r>
      <w:r w:rsidR="00F858A3" w:rsidRPr="00061B46">
        <w:rPr>
          <w:rFonts w:ascii="Arial" w:eastAsia="Calibri" w:hAnsi="Arial" w:cs="Arial"/>
        </w:rPr>
        <w:t>Instituto Estatal de Transparencia, Acceso a la Información Pública y Protección de Datos Personales del Estado de Yucat</w:t>
      </w:r>
      <w:r w:rsidR="003F481A" w:rsidRPr="00061B46">
        <w:rPr>
          <w:rFonts w:ascii="Arial" w:eastAsia="Calibri" w:hAnsi="Arial" w:cs="Arial"/>
        </w:rPr>
        <w:t>án</w:t>
      </w:r>
      <w:r w:rsidR="00313295" w:rsidRPr="00061B46">
        <w:rPr>
          <w:rFonts w:ascii="Arial" w:eastAsia="Calibri" w:hAnsi="Arial" w:cs="Arial"/>
        </w:rPr>
        <w:t>, emite el siguiente:</w:t>
      </w:r>
    </w:p>
    <w:p w:rsidR="009611B4" w:rsidRPr="00061B46" w:rsidRDefault="009611B4" w:rsidP="00313295">
      <w:pPr>
        <w:spacing w:after="0" w:line="360" w:lineRule="auto"/>
        <w:jc w:val="both"/>
        <w:rPr>
          <w:rFonts w:ascii="Arial" w:eastAsia="Calibri" w:hAnsi="Arial" w:cs="Arial"/>
        </w:rPr>
      </w:pPr>
    </w:p>
    <w:p w:rsidR="00313295" w:rsidRPr="00061B46" w:rsidRDefault="00313295" w:rsidP="00313295">
      <w:pPr>
        <w:spacing w:after="0" w:line="360" w:lineRule="auto"/>
        <w:jc w:val="center"/>
        <w:rPr>
          <w:rFonts w:ascii="Arial" w:eastAsia="Calibri" w:hAnsi="Arial" w:cs="Arial"/>
          <w:b/>
          <w:spacing w:val="20"/>
        </w:rPr>
      </w:pPr>
      <w:r w:rsidRPr="00061B46">
        <w:rPr>
          <w:rFonts w:ascii="Arial" w:eastAsia="Calibri" w:hAnsi="Arial" w:cs="Arial"/>
          <w:b/>
          <w:spacing w:val="20"/>
        </w:rPr>
        <w:t>ACUERDO</w:t>
      </w:r>
    </w:p>
    <w:p w:rsidR="00313295" w:rsidRPr="00061B46" w:rsidRDefault="00313295" w:rsidP="00313295">
      <w:pPr>
        <w:spacing w:after="0" w:line="360" w:lineRule="auto"/>
        <w:jc w:val="center"/>
        <w:rPr>
          <w:rFonts w:ascii="Arial" w:eastAsia="Calibri" w:hAnsi="Arial" w:cs="Arial"/>
        </w:rPr>
      </w:pPr>
    </w:p>
    <w:p w:rsidR="000F7864" w:rsidRPr="00061B46" w:rsidRDefault="00313295" w:rsidP="00F212FD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61B46">
        <w:rPr>
          <w:rFonts w:ascii="Arial" w:eastAsia="Calibri" w:hAnsi="Arial" w:cs="Arial"/>
          <w:b/>
          <w:sz w:val="22"/>
          <w:szCs w:val="22"/>
        </w:rPr>
        <w:t>PRIMERO.-</w:t>
      </w:r>
      <w:r w:rsidRPr="00061B46">
        <w:rPr>
          <w:rFonts w:ascii="Arial" w:eastAsia="Calibri" w:hAnsi="Arial" w:cs="Arial"/>
          <w:sz w:val="22"/>
          <w:szCs w:val="22"/>
        </w:rPr>
        <w:t xml:space="preserve"> </w:t>
      </w:r>
      <w:r w:rsidR="00A313C9" w:rsidRPr="00061B46">
        <w:rPr>
          <w:rFonts w:ascii="Arial" w:eastAsia="Calibri" w:hAnsi="Arial" w:cs="Arial"/>
          <w:sz w:val="22"/>
          <w:szCs w:val="22"/>
        </w:rPr>
        <w:t xml:space="preserve">Que </w:t>
      </w:r>
      <w:r w:rsidR="008E2AC3" w:rsidRPr="00061B46">
        <w:rPr>
          <w:rFonts w:ascii="Arial" w:eastAsia="Calibri" w:hAnsi="Arial" w:cs="Arial"/>
          <w:sz w:val="22"/>
          <w:szCs w:val="22"/>
        </w:rPr>
        <w:t xml:space="preserve">para los casos en </w:t>
      </w:r>
      <w:r w:rsidR="00396FA1" w:rsidRPr="00061B46">
        <w:rPr>
          <w:rFonts w:ascii="Arial" w:eastAsia="Calibri" w:hAnsi="Arial" w:cs="Arial"/>
          <w:sz w:val="22"/>
          <w:szCs w:val="22"/>
        </w:rPr>
        <w:t xml:space="preserve">los </w:t>
      </w:r>
      <w:r w:rsidR="008E2AC3" w:rsidRPr="00061B46">
        <w:rPr>
          <w:rFonts w:ascii="Arial" w:eastAsia="Calibri" w:hAnsi="Arial" w:cs="Arial"/>
          <w:sz w:val="22"/>
          <w:szCs w:val="22"/>
        </w:rPr>
        <w:t xml:space="preserve">que </w:t>
      </w:r>
      <w:r w:rsidR="00396FA1" w:rsidRPr="00061B46">
        <w:rPr>
          <w:rFonts w:ascii="Arial" w:eastAsia="Calibri" w:hAnsi="Arial" w:cs="Arial"/>
          <w:sz w:val="22"/>
          <w:szCs w:val="22"/>
        </w:rPr>
        <w:t>a través de la cuenta creada para tales fines el</w:t>
      </w:r>
      <w:r w:rsidR="004269E3" w:rsidRPr="00061B46">
        <w:rPr>
          <w:rFonts w:ascii="Arial" w:eastAsia="Calibri" w:hAnsi="Arial" w:cs="Arial"/>
          <w:sz w:val="22"/>
          <w:szCs w:val="22"/>
        </w:rPr>
        <w:t xml:space="preserve"> o la</w:t>
      </w:r>
      <w:r w:rsidR="00396FA1" w:rsidRPr="00061B46">
        <w:rPr>
          <w:rFonts w:ascii="Arial" w:eastAsia="Calibri" w:hAnsi="Arial" w:cs="Arial"/>
          <w:sz w:val="22"/>
          <w:szCs w:val="22"/>
        </w:rPr>
        <w:t xml:space="preserve"> solicitante de información no pueda visualizar la respuesta</w:t>
      </w:r>
      <w:r w:rsidR="008C0177" w:rsidRPr="00061B46">
        <w:rPr>
          <w:rFonts w:ascii="Arial" w:eastAsia="Calibri" w:hAnsi="Arial" w:cs="Arial"/>
          <w:sz w:val="22"/>
          <w:szCs w:val="22"/>
        </w:rPr>
        <w:t>,</w:t>
      </w:r>
      <w:r w:rsidR="00396FA1" w:rsidRPr="00061B46">
        <w:rPr>
          <w:rFonts w:ascii="Arial" w:eastAsia="Calibri" w:hAnsi="Arial" w:cs="Arial"/>
          <w:sz w:val="22"/>
          <w:szCs w:val="22"/>
        </w:rPr>
        <w:t xml:space="preserve"> o en su caso</w:t>
      </w:r>
      <w:r w:rsidR="008C0177" w:rsidRPr="00061B46">
        <w:rPr>
          <w:rFonts w:ascii="Arial" w:eastAsia="Calibri" w:hAnsi="Arial" w:cs="Arial"/>
          <w:sz w:val="22"/>
          <w:szCs w:val="22"/>
        </w:rPr>
        <w:t>,</w:t>
      </w:r>
      <w:r w:rsidR="00396FA1" w:rsidRPr="00061B46">
        <w:rPr>
          <w:rFonts w:ascii="Arial" w:eastAsia="Calibri" w:hAnsi="Arial" w:cs="Arial"/>
          <w:sz w:val="22"/>
          <w:szCs w:val="22"/>
        </w:rPr>
        <w:t xml:space="preserve"> descargar la información, se hace del conocimiento que </w:t>
      </w:r>
      <w:r w:rsidR="000F7864" w:rsidRPr="00061B46">
        <w:rPr>
          <w:rFonts w:ascii="Arial" w:eastAsia="Calibri" w:hAnsi="Arial" w:cs="Arial"/>
          <w:sz w:val="22"/>
          <w:szCs w:val="22"/>
        </w:rPr>
        <w:t xml:space="preserve">a fin de tener mayor certeza si a determinada solicitud de acceso existe respuesta o no, y en su caso información, </w:t>
      </w:r>
      <w:r w:rsidR="00063259" w:rsidRPr="00061B46">
        <w:rPr>
          <w:rFonts w:ascii="Arial" w:eastAsia="Calibri" w:hAnsi="Arial" w:cs="Arial"/>
          <w:sz w:val="22"/>
          <w:szCs w:val="22"/>
        </w:rPr>
        <w:t xml:space="preserve">podrá </w:t>
      </w:r>
      <w:r w:rsidR="000F7864" w:rsidRPr="00061B46">
        <w:rPr>
          <w:rFonts w:ascii="Arial" w:eastAsia="Calibri" w:hAnsi="Arial" w:cs="Arial"/>
          <w:sz w:val="22"/>
          <w:szCs w:val="22"/>
        </w:rPr>
        <w:t>ingresar a los links y seguir los pasos, des</w:t>
      </w:r>
      <w:r w:rsidR="008E2AC3" w:rsidRPr="00061B46">
        <w:rPr>
          <w:rFonts w:ascii="Arial" w:eastAsia="Calibri" w:hAnsi="Arial" w:cs="Arial"/>
          <w:sz w:val="22"/>
          <w:szCs w:val="22"/>
        </w:rPr>
        <w:t>c</w:t>
      </w:r>
      <w:r w:rsidR="00396FA1" w:rsidRPr="00061B46">
        <w:rPr>
          <w:rFonts w:ascii="Arial" w:eastAsia="Calibri" w:hAnsi="Arial" w:cs="Arial"/>
          <w:sz w:val="22"/>
          <w:szCs w:val="22"/>
        </w:rPr>
        <w:t>ritos en e</w:t>
      </w:r>
      <w:r w:rsidR="00E12C48" w:rsidRPr="00061B46">
        <w:rPr>
          <w:rFonts w:ascii="Arial" w:eastAsia="Calibri" w:hAnsi="Arial" w:cs="Arial"/>
          <w:sz w:val="22"/>
          <w:szCs w:val="22"/>
        </w:rPr>
        <w:t>l Considerando Sexto.</w:t>
      </w:r>
      <w:r w:rsidR="004F491D" w:rsidRPr="00061B46">
        <w:rPr>
          <w:rFonts w:ascii="Arial" w:eastAsia="Calibri" w:hAnsi="Arial" w:cs="Arial"/>
          <w:sz w:val="22"/>
          <w:szCs w:val="22"/>
        </w:rPr>
        <w:t xml:space="preserve"> </w:t>
      </w:r>
    </w:p>
    <w:p w:rsidR="00E12C48" w:rsidRPr="00061B46" w:rsidRDefault="00E12C48" w:rsidP="00F212FD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0F7864" w:rsidRPr="00061B46" w:rsidRDefault="004F491D" w:rsidP="00F212FD">
      <w:pPr>
        <w:pStyle w:val="NormalWeb"/>
        <w:spacing w:before="0" w:beforeAutospacing="0" w:after="0" w:afterAutospacing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061B46">
        <w:rPr>
          <w:rFonts w:ascii="Arial" w:eastAsia="Calibri" w:hAnsi="Arial" w:cs="Arial"/>
          <w:b/>
          <w:sz w:val="22"/>
          <w:szCs w:val="22"/>
        </w:rPr>
        <w:t xml:space="preserve">SEGUNDO: </w:t>
      </w:r>
      <w:r w:rsidR="000F3A3B" w:rsidRPr="00061B46">
        <w:rPr>
          <w:rFonts w:ascii="Arial" w:eastAsia="Calibri" w:hAnsi="Arial" w:cs="Arial"/>
          <w:sz w:val="22"/>
          <w:szCs w:val="22"/>
        </w:rPr>
        <w:t xml:space="preserve">Que a fin de recabar mayores elementos para mejor proveer y resolver, así como para garantizar el derecho de acceso a la información pública de manera pronta y </w:t>
      </w:r>
      <w:r w:rsidR="000F3A3B" w:rsidRPr="00061B46">
        <w:rPr>
          <w:rFonts w:ascii="Arial" w:eastAsia="Calibri" w:hAnsi="Arial" w:cs="Arial"/>
          <w:sz w:val="22"/>
          <w:szCs w:val="22"/>
        </w:rPr>
        <w:lastRenderedPageBreak/>
        <w:t>expedita, conforme</w:t>
      </w:r>
      <w:r w:rsidR="005161A4" w:rsidRPr="00061B46">
        <w:rPr>
          <w:rFonts w:ascii="Arial" w:eastAsia="Calibri" w:hAnsi="Arial" w:cs="Arial"/>
          <w:sz w:val="22"/>
          <w:szCs w:val="22"/>
        </w:rPr>
        <w:t xml:space="preserve"> a</w:t>
      </w:r>
      <w:r w:rsidR="000F3A3B" w:rsidRPr="00061B46">
        <w:rPr>
          <w:rFonts w:ascii="Arial" w:eastAsia="Calibri" w:hAnsi="Arial" w:cs="Arial"/>
          <w:sz w:val="22"/>
          <w:szCs w:val="22"/>
        </w:rPr>
        <w:t xml:space="preserve"> los artículos 6 y 17 de nuestra Carta Magna, se determina que para la sustanciación y resolución de los recursos de revisión, se podr</w:t>
      </w:r>
      <w:r w:rsidR="005161A4" w:rsidRPr="00061B46">
        <w:rPr>
          <w:rFonts w:ascii="Arial" w:eastAsia="Calibri" w:hAnsi="Arial" w:cs="Arial"/>
          <w:sz w:val="22"/>
          <w:szCs w:val="22"/>
        </w:rPr>
        <w:t>á ingresa</w:t>
      </w:r>
      <w:r w:rsidR="008C0177" w:rsidRPr="00061B46">
        <w:rPr>
          <w:rFonts w:ascii="Arial" w:eastAsia="Calibri" w:hAnsi="Arial" w:cs="Arial"/>
          <w:sz w:val="22"/>
          <w:szCs w:val="22"/>
        </w:rPr>
        <w:t>r</w:t>
      </w:r>
      <w:r w:rsidR="005161A4" w:rsidRPr="00061B46">
        <w:rPr>
          <w:rFonts w:ascii="Arial" w:eastAsia="Calibri" w:hAnsi="Arial" w:cs="Arial"/>
          <w:sz w:val="22"/>
          <w:szCs w:val="22"/>
        </w:rPr>
        <w:t xml:space="preserve"> al </w:t>
      </w:r>
      <w:r w:rsidR="00883DC5" w:rsidRPr="00061B46">
        <w:rPr>
          <w:rFonts w:ascii="Arial" w:eastAsia="Calibri" w:hAnsi="Arial" w:cs="Arial"/>
          <w:sz w:val="22"/>
          <w:szCs w:val="22"/>
        </w:rPr>
        <w:t>Sistema de Solicitudes de Información del Estado de Yucatán,  inherente a la Plataforma Nacional de Transparencia</w:t>
      </w:r>
      <w:r w:rsidR="005161A4" w:rsidRPr="00061B46">
        <w:rPr>
          <w:rFonts w:ascii="Arial" w:eastAsia="Calibri" w:hAnsi="Arial" w:cs="Arial"/>
          <w:sz w:val="22"/>
          <w:szCs w:val="22"/>
        </w:rPr>
        <w:t xml:space="preserve">, a </w:t>
      </w:r>
      <w:r w:rsidR="005161A4" w:rsidRPr="00061B46">
        <w:rPr>
          <w:rFonts w:ascii="Arial" w:eastAsia="Calibri" w:hAnsi="Arial" w:cs="Arial"/>
          <w:sz w:val="22"/>
          <w:szCs w:val="22"/>
          <w:u w:val="single"/>
        </w:rPr>
        <w:t xml:space="preserve">fin de verificar la existencia o no </w:t>
      </w:r>
      <w:r w:rsidR="008C0177" w:rsidRPr="00061B46">
        <w:rPr>
          <w:rFonts w:ascii="Arial" w:eastAsia="Calibri" w:hAnsi="Arial" w:cs="Arial"/>
          <w:sz w:val="22"/>
          <w:szCs w:val="22"/>
          <w:u w:val="single"/>
        </w:rPr>
        <w:t xml:space="preserve">de </w:t>
      </w:r>
      <w:r w:rsidR="005161A4" w:rsidRPr="00061B46">
        <w:rPr>
          <w:rFonts w:ascii="Arial" w:eastAsia="Calibri" w:hAnsi="Arial" w:cs="Arial"/>
          <w:sz w:val="22"/>
          <w:szCs w:val="22"/>
          <w:u w:val="single"/>
        </w:rPr>
        <w:t>respuesta a determinada solicitud</w:t>
      </w:r>
      <w:r w:rsidR="005161A4" w:rsidRPr="00061B46">
        <w:rPr>
          <w:rFonts w:ascii="Arial" w:eastAsia="Calibri" w:hAnsi="Arial" w:cs="Arial"/>
          <w:sz w:val="22"/>
          <w:szCs w:val="22"/>
        </w:rPr>
        <w:t>, y</w:t>
      </w:r>
      <w:r w:rsidR="008C0177" w:rsidRPr="00061B46">
        <w:rPr>
          <w:rFonts w:ascii="Arial" w:eastAsia="Calibri" w:hAnsi="Arial" w:cs="Arial"/>
          <w:sz w:val="22"/>
          <w:szCs w:val="22"/>
        </w:rPr>
        <w:t xml:space="preserve"> en su caso,</w:t>
      </w:r>
      <w:r w:rsidR="005161A4" w:rsidRPr="00061B46">
        <w:rPr>
          <w:rFonts w:ascii="Arial" w:eastAsia="Calibri" w:hAnsi="Arial" w:cs="Arial"/>
          <w:sz w:val="22"/>
          <w:szCs w:val="22"/>
        </w:rPr>
        <w:t xml:space="preserve"> </w:t>
      </w:r>
      <w:r w:rsidR="005161A4" w:rsidRPr="00061B46">
        <w:rPr>
          <w:rFonts w:ascii="Arial" w:eastAsia="Calibri" w:hAnsi="Arial" w:cs="Arial"/>
          <w:b/>
          <w:sz w:val="22"/>
          <w:szCs w:val="22"/>
          <w:u w:val="single"/>
        </w:rPr>
        <w:t>acordar lo conducente</w:t>
      </w:r>
      <w:r w:rsidR="005161A4" w:rsidRPr="00061B46">
        <w:rPr>
          <w:rFonts w:ascii="Arial" w:eastAsia="Calibri" w:hAnsi="Arial" w:cs="Arial"/>
          <w:sz w:val="22"/>
          <w:szCs w:val="22"/>
        </w:rPr>
        <w:t xml:space="preserve">. </w:t>
      </w:r>
    </w:p>
    <w:p w:rsidR="00820FAB" w:rsidRPr="00061B46" w:rsidRDefault="00820FAB" w:rsidP="00313295">
      <w:pPr>
        <w:spacing w:after="0" w:line="360" w:lineRule="auto"/>
        <w:jc w:val="both"/>
        <w:rPr>
          <w:rFonts w:ascii="Arial" w:eastAsia="Calibri" w:hAnsi="Arial" w:cs="Arial"/>
        </w:rPr>
      </w:pPr>
    </w:p>
    <w:p w:rsidR="00313295" w:rsidRPr="00061B46" w:rsidRDefault="005665F9" w:rsidP="00061B46">
      <w:pPr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Calibri" w:hAnsi="Arial" w:cs="Arial"/>
          <w:b/>
        </w:rPr>
        <w:t>TERCERO</w:t>
      </w:r>
      <w:r w:rsidR="00313295" w:rsidRPr="00061B46">
        <w:rPr>
          <w:rFonts w:ascii="Arial" w:eastAsia="Calibri" w:hAnsi="Arial" w:cs="Arial"/>
          <w:b/>
        </w:rPr>
        <w:t xml:space="preserve">.- </w:t>
      </w:r>
      <w:r w:rsidR="00DC3D63" w:rsidRPr="00061B46">
        <w:rPr>
          <w:rFonts w:ascii="Arial" w:eastAsia="Calibri" w:hAnsi="Arial" w:cs="Arial"/>
        </w:rPr>
        <w:t>Remítase copia del presente a</w:t>
      </w:r>
      <w:r w:rsidR="00313295" w:rsidRPr="00061B46">
        <w:rPr>
          <w:rFonts w:ascii="Arial" w:eastAsia="Calibri" w:hAnsi="Arial" w:cs="Arial"/>
        </w:rPr>
        <w:t>l</w:t>
      </w:r>
      <w:r w:rsidR="00DC3D63" w:rsidRPr="00061B46">
        <w:rPr>
          <w:rFonts w:ascii="Arial" w:eastAsia="Calibri" w:hAnsi="Arial" w:cs="Arial"/>
        </w:rPr>
        <w:t xml:space="preserve"> Maestro en Derecho, Jorge Oliveros Valdés</w:t>
      </w:r>
      <w:r w:rsidR="003E18F7" w:rsidRPr="00061B46">
        <w:rPr>
          <w:rFonts w:ascii="Arial" w:eastAsia="Calibri" w:hAnsi="Arial" w:cs="Arial"/>
        </w:rPr>
        <w:t>,</w:t>
      </w:r>
      <w:r w:rsidR="00061B46" w:rsidRPr="00061B46">
        <w:rPr>
          <w:rFonts w:ascii="Arial" w:eastAsia="Calibri" w:hAnsi="Arial" w:cs="Arial"/>
        </w:rPr>
        <w:t xml:space="preserve"> Ingeniero en Sistemas Computacionales, José Manuel Palomo May y a la Licenciada en Derecho, Sindy Jazmín Góngora Cervera, Secretario Técnico, Director de Tecnologías de la Información y Coordinadora de Apoyo Plenario y Archivo Administrativo, respectivamente</w:t>
      </w:r>
      <w:r w:rsidR="00061B46">
        <w:rPr>
          <w:rFonts w:ascii="Arial" w:eastAsia="Calibri" w:hAnsi="Arial" w:cs="Arial"/>
        </w:rPr>
        <w:t>,</w:t>
      </w:r>
      <w:r w:rsidR="00061B46" w:rsidRPr="00061B46">
        <w:rPr>
          <w:rFonts w:ascii="Arial" w:eastAsia="Calibri" w:hAnsi="Arial" w:cs="Arial"/>
        </w:rPr>
        <w:t xml:space="preserve"> del Instituto Estatal de Transparencia, Acceso a la Información Pública y Protección de Datos Personales.</w:t>
      </w:r>
    </w:p>
    <w:p w:rsidR="00313295" w:rsidRPr="00061B46" w:rsidRDefault="00313295" w:rsidP="00313295">
      <w:pPr>
        <w:spacing w:after="0" w:line="360" w:lineRule="auto"/>
        <w:jc w:val="both"/>
        <w:rPr>
          <w:rFonts w:ascii="Arial" w:eastAsia="Calibri" w:hAnsi="Arial" w:cs="Arial"/>
        </w:rPr>
      </w:pPr>
    </w:p>
    <w:p w:rsidR="002A53EE" w:rsidRPr="002A53EE" w:rsidRDefault="005665F9" w:rsidP="002A53EE">
      <w:pPr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Calibri" w:hAnsi="Arial" w:cs="Arial"/>
          <w:b/>
        </w:rPr>
        <w:t>CUARTO</w:t>
      </w:r>
      <w:r w:rsidR="00313295" w:rsidRPr="00061B46">
        <w:rPr>
          <w:rFonts w:ascii="Arial" w:eastAsia="Calibri" w:hAnsi="Arial" w:cs="Arial"/>
          <w:b/>
        </w:rPr>
        <w:t xml:space="preserve">.- </w:t>
      </w:r>
      <w:r w:rsidR="002A53EE" w:rsidRPr="002A53EE">
        <w:rPr>
          <w:rFonts w:ascii="Arial" w:eastAsia="Calibri" w:hAnsi="Arial" w:cs="Arial"/>
        </w:rPr>
        <w:t>Publíquese el presente acuerdo en el Diario Oficial del Gobierno de Estado, Yucatán, y la página de Internet Oficial del Instituto Estatal de Transparencia, Acceso a la Información Pública y Protección de Datos Personales.</w:t>
      </w:r>
    </w:p>
    <w:p w:rsidR="00313295" w:rsidRPr="00061B46" w:rsidRDefault="00313295" w:rsidP="00313295">
      <w:pPr>
        <w:spacing w:after="0" w:line="360" w:lineRule="auto"/>
        <w:jc w:val="both"/>
        <w:rPr>
          <w:rFonts w:ascii="Arial" w:eastAsia="Calibri" w:hAnsi="Arial" w:cs="Arial"/>
        </w:rPr>
      </w:pPr>
      <w:bookmarkStart w:id="3" w:name="_GoBack"/>
      <w:bookmarkEnd w:id="3"/>
    </w:p>
    <w:p w:rsidR="00313295" w:rsidRPr="00061B46" w:rsidRDefault="00313295" w:rsidP="00313295">
      <w:pPr>
        <w:spacing w:after="0" w:line="360" w:lineRule="auto"/>
        <w:jc w:val="both"/>
        <w:rPr>
          <w:rFonts w:ascii="Arial" w:eastAsia="Calibri" w:hAnsi="Arial" w:cs="Arial"/>
        </w:rPr>
      </w:pPr>
      <w:r w:rsidRPr="00061B46">
        <w:rPr>
          <w:rFonts w:ascii="Arial" w:eastAsia="Calibri" w:hAnsi="Arial" w:cs="Arial"/>
        </w:rPr>
        <w:t>Así lo acordó y firma para debida constancia, el Pleno del Instituto del Estatal de Transparencia, Acceso a la Información Pública y Protección de Datos Personales</w:t>
      </w:r>
      <w:r w:rsidR="00253226" w:rsidRPr="00061B46">
        <w:rPr>
          <w:rFonts w:ascii="Arial" w:eastAsia="Calibri" w:hAnsi="Arial" w:cs="Arial"/>
        </w:rPr>
        <w:t xml:space="preserve"> a los </w:t>
      </w:r>
      <w:r w:rsidR="006E0D72">
        <w:rPr>
          <w:rFonts w:ascii="Arial" w:eastAsia="Calibri" w:hAnsi="Arial" w:cs="Arial"/>
        </w:rPr>
        <w:t>20</w:t>
      </w:r>
      <w:r w:rsidR="00253226" w:rsidRPr="00061B46">
        <w:rPr>
          <w:rFonts w:ascii="Arial" w:eastAsia="Calibri" w:hAnsi="Arial" w:cs="Arial"/>
        </w:rPr>
        <w:t xml:space="preserve"> días del mes de junio del año dos mil </w:t>
      </w:r>
      <w:r w:rsidR="00496F09" w:rsidRPr="00061B46">
        <w:rPr>
          <w:rFonts w:ascii="Arial" w:eastAsia="Calibri" w:hAnsi="Arial" w:cs="Arial"/>
        </w:rPr>
        <w:t>diecisiete.</w:t>
      </w:r>
    </w:p>
    <w:p w:rsidR="00313295" w:rsidRDefault="00313295" w:rsidP="00313295">
      <w:pPr>
        <w:spacing w:after="0" w:line="360" w:lineRule="auto"/>
        <w:jc w:val="both"/>
        <w:rPr>
          <w:rFonts w:ascii="Arial" w:eastAsia="Calibri" w:hAnsi="Arial" w:cs="Arial"/>
        </w:rPr>
      </w:pPr>
    </w:p>
    <w:p w:rsidR="00E07835" w:rsidRDefault="00E07835" w:rsidP="00313295">
      <w:pPr>
        <w:spacing w:after="0" w:line="360" w:lineRule="auto"/>
        <w:jc w:val="both"/>
        <w:rPr>
          <w:rFonts w:ascii="Arial" w:eastAsia="Calibri" w:hAnsi="Arial" w:cs="Arial"/>
        </w:rPr>
      </w:pPr>
    </w:p>
    <w:p w:rsidR="00496F09" w:rsidRPr="00FD604D" w:rsidRDefault="00FD604D" w:rsidP="00FD604D">
      <w:pPr>
        <w:tabs>
          <w:tab w:val="left" w:pos="8222"/>
        </w:tabs>
        <w:spacing w:after="0" w:line="240" w:lineRule="auto"/>
        <w:ind w:right="-5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(RÚBRICA)</w:t>
      </w:r>
    </w:p>
    <w:p w:rsidR="00496F09" w:rsidRPr="00061B46" w:rsidRDefault="00496F09" w:rsidP="00496F09">
      <w:pPr>
        <w:spacing w:after="0" w:line="240" w:lineRule="auto"/>
        <w:ind w:left="-142" w:right="-518"/>
        <w:jc w:val="center"/>
        <w:rPr>
          <w:rFonts w:ascii="Arial" w:eastAsia="Times New Roman" w:hAnsi="Arial" w:cs="Arial"/>
          <w:b/>
          <w:lang w:val="es-ES"/>
        </w:rPr>
      </w:pPr>
      <w:r w:rsidRPr="00061B46">
        <w:rPr>
          <w:rFonts w:ascii="Arial" w:eastAsia="Times New Roman" w:hAnsi="Arial" w:cs="Arial"/>
          <w:b/>
          <w:lang w:val="es-ES"/>
        </w:rPr>
        <w:t xml:space="preserve">LICDA. SUSANA AGUILAR COVARRUBIAS         </w:t>
      </w:r>
    </w:p>
    <w:p w:rsidR="00496F09" w:rsidRPr="00061B46" w:rsidRDefault="00496F09" w:rsidP="00496F09">
      <w:pPr>
        <w:spacing w:after="0" w:line="240" w:lineRule="auto"/>
        <w:ind w:left="-142" w:right="-518"/>
        <w:jc w:val="center"/>
        <w:rPr>
          <w:rFonts w:ascii="Arial" w:eastAsia="Times New Roman" w:hAnsi="Arial" w:cs="Arial"/>
          <w:b/>
          <w:lang w:val="es-ES"/>
        </w:rPr>
      </w:pPr>
      <w:r w:rsidRPr="00061B46">
        <w:rPr>
          <w:rFonts w:ascii="Arial" w:eastAsia="Times New Roman" w:hAnsi="Arial" w:cs="Arial"/>
          <w:b/>
          <w:lang w:val="es-ES"/>
        </w:rPr>
        <w:t>COMISIONADA PRESIDENTA</w:t>
      </w:r>
    </w:p>
    <w:p w:rsidR="00496F09" w:rsidRPr="00061B46" w:rsidRDefault="00496F09" w:rsidP="00496F09">
      <w:pPr>
        <w:spacing w:line="276" w:lineRule="auto"/>
        <w:ind w:left="-142" w:right="-518"/>
        <w:jc w:val="center"/>
        <w:rPr>
          <w:rFonts w:ascii="Arial" w:eastAsia="Times New Roman" w:hAnsi="Arial" w:cs="Arial"/>
          <w:b/>
          <w:lang w:val="es-ES"/>
        </w:rPr>
      </w:pPr>
    </w:p>
    <w:p w:rsidR="00FD604D" w:rsidRDefault="00FD604D" w:rsidP="00FD604D">
      <w:pPr>
        <w:tabs>
          <w:tab w:val="left" w:pos="8222"/>
        </w:tabs>
        <w:spacing w:after="0" w:line="240" w:lineRule="auto"/>
        <w:ind w:right="-518"/>
        <w:jc w:val="center"/>
        <w:rPr>
          <w:rFonts w:ascii="Arial" w:hAnsi="Arial" w:cs="Arial"/>
          <w:b/>
        </w:rPr>
      </w:pPr>
    </w:p>
    <w:p w:rsidR="00FD604D" w:rsidRDefault="00FD604D" w:rsidP="00FD604D">
      <w:pPr>
        <w:tabs>
          <w:tab w:val="left" w:pos="8222"/>
        </w:tabs>
        <w:spacing w:after="0" w:line="240" w:lineRule="auto"/>
        <w:ind w:right="-5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</w:t>
      </w:r>
    </w:p>
    <w:p w:rsidR="00FD604D" w:rsidRPr="00FD604D" w:rsidRDefault="00FD604D" w:rsidP="00FD604D">
      <w:pPr>
        <w:tabs>
          <w:tab w:val="left" w:pos="8222"/>
        </w:tabs>
        <w:spacing w:after="0" w:line="240" w:lineRule="auto"/>
        <w:ind w:right="-51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(RÚBRICA)                                                                 (RÚBRICA)</w:t>
      </w:r>
    </w:p>
    <w:p w:rsidR="00496F09" w:rsidRPr="00061B46" w:rsidRDefault="00496F09" w:rsidP="00496F09">
      <w:pPr>
        <w:spacing w:after="0" w:line="276" w:lineRule="auto"/>
        <w:ind w:left="-142" w:right="-518"/>
        <w:jc w:val="center"/>
        <w:rPr>
          <w:rFonts w:ascii="Arial" w:eastAsia="Times New Roman" w:hAnsi="Arial" w:cs="Arial"/>
          <w:lang w:val="es-ES"/>
        </w:rPr>
      </w:pPr>
      <w:r w:rsidRPr="00061B46">
        <w:rPr>
          <w:rFonts w:ascii="Arial" w:eastAsia="Times New Roman" w:hAnsi="Arial" w:cs="Arial"/>
          <w:b/>
          <w:lang w:val="es-ES"/>
        </w:rPr>
        <w:t xml:space="preserve">LICDA. MARÍA EUGENIA SANSORES RUZ          LIC. </w:t>
      </w:r>
      <w:r w:rsidRPr="00061B46"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</w:rPr>
        <w:t>ALDRIN MARTÍN BRICEÑO CONRADO</w:t>
      </w:r>
    </w:p>
    <w:p w:rsidR="00613734" w:rsidRPr="00061B46" w:rsidRDefault="00496F09" w:rsidP="00496F0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</w:rPr>
      </w:pPr>
      <w:r w:rsidRPr="00061B46">
        <w:rPr>
          <w:rFonts w:ascii="Arial" w:eastAsia="Times New Roman" w:hAnsi="Arial" w:cs="Arial"/>
          <w:b/>
          <w:lang w:val="es-ES"/>
        </w:rPr>
        <w:t>COMISIONADA                                              COMISIONADO</w:t>
      </w:r>
    </w:p>
    <w:sectPr w:rsidR="00613734" w:rsidRPr="00061B46" w:rsidSect="00061B46">
      <w:headerReference w:type="default" r:id="rId11"/>
      <w:footerReference w:type="default" r:id="rId12"/>
      <w:pgSz w:w="12240" w:h="15840"/>
      <w:pgMar w:top="13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15" w:rsidRDefault="00333015">
      <w:pPr>
        <w:spacing w:after="0" w:line="240" w:lineRule="auto"/>
      </w:pPr>
      <w:r>
        <w:separator/>
      </w:r>
    </w:p>
  </w:endnote>
  <w:endnote w:type="continuationSeparator" w:id="0">
    <w:p w:rsidR="00333015" w:rsidRDefault="0033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CD" w:rsidRPr="00C036CD" w:rsidRDefault="00313295" w:rsidP="00C036CD">
    <w:pPr>
      <w:pStyle w:val="Piedepgina"/>
      <w:jc w:val="center"/>
    </w:pPr>
    <w:r w:rsidRPr="00C036CD">
      <w:rPr>
        <w:lang w:val="es-ES"/>
      </w:rPr>
      <w:t xml:space="preserve">Página </w:t>
    </w:r>
    <w:r w:rsidRPr="00C036CD">
      <w:fldChar w:fldCharType="begin"/>
    </w:r>
    <w:r w:rsidRPr="00C036CD">
      <w:instrText>PAGE  \* Arabic  \* MERGEFORMAT</w:instrText>
    </w:r>
    <w:r w:rsidRPr="00C036CD">
      <w:fldChar w:fldCharType="separate"/>
    </w:r>
    <w:r w:rsidR="002A53EE" w:rsidRPr="002A53EE">
      <w:rPr>
        <w:noProof/>
        <w:lang w:val="es-ES"/>
      </w:rPr>
      <w:t>6</w:t>
    </w:r>
    <w:r w:rsidRPr="00C036CD">
      <w:fldChar w:fldCharType="end"/>
    </w:r>
    <w:r w:rsidRPr="00C036CD">
      <w:rPr>
        <w:lang w:val="es-ES"/>
      </w:rPr>
      <w:t xml:space="preserve"> de </w:t>
    </w:r>
    <w:r w:rsidR="002A53EE">
      <w:fldChar w:fldCharType="begin"/>
    </w:r>
    <w:r w:rsidR="002A53EE">
      <w:instrText>NUMPAGES  \* Arabic  \* MERGEFORMAT</w:instrText>
    </w:r>
    <w:r w:rsidR="002A53EE">
      <w:fldChar w:fldCharType="separate"/>
    </w:r>
    <w:r w:rsidR="002A53EE" w:rsidRPr="002A53EE">
      <w:rPr>
        <w:noProof/>
        <w:lang w:val="es-ES"/>
      </w:rPr>
      <w:t>6</w:t>
    </w:r>
    <w:r w:rsidR="002A53EE">
      <w:rPr>
        <w:noProof/>
        <w:lang w:val="es-ES"/>
      </w:rPr>
      <w:fldChar w:fldCharType="end"/>
    </w:r>
  </w:p>
  <w:p w:rsidR="00C036CD" w:rsidRPr="00C036CD" w:rsidRDefault="002A53EE" w:rsidP="00C036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15" w:rsidRDefault="00333015">
      <w:pPr>
        <w:spacing w:after="0" w:line="240" w:lineRule="auto"/>
      </w:pPr>
      <w:r>
        <w:separator/>
      </w:r>
    </w:p>
  </w:footnote>
  <w:footnote w:type="continuationSeparator" w:id="0">
    <w:p w:rsidR="00333015" w:rsidRDefault="0033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3D" w:rsidRDefault="00313295">
    <w:pPr>
      <w:pStyle w:val="Encabezado"/>
    </w:pPr>
    <w:r w:rsidRPr="00DD4C16">
      <w:rPr>
        <w:noProof/>
        <w:sz w:val="18"/>
        <w:szCs w:val="18"/>
        <w:lang w:eastAsia="es-MX"/>
      </w:rPr>
      <w:drawing>
        <wp:anchor distT="0" distB="0" distL="114300" distR="114300" simplePos="0" relativeHeight="251659264" behindDoc="1" locked="0" layoutInCell="1" allowOverlap="1" wp14:anchorId="295A302E" wp14:editId="03F72C28">
          <wp:simplePos x="0" y="0"/>
          <wp:positionH relativeFrom="column">
            <wp:posOffset>-670560</wp:posOffset>
          </wp:positionH>
          <wp:positionV relativeFrom="paragraph">
            <wp:posOffset>-163830</wp:posOffset>
          </wp:positionV>
          <wp:extent cx="6896735" cy="1160780"/>
          <wp:effectExtent l="0" t="0" r="0" b="1270"/>
          <wp:wrapTight wrapText="bothSides">
            <wp:wrapPolygon edited="0">
              <wp:start x="0" y="0"/>
              <wp:lineTo x="0" y="21269"/>
              <wp:lineTo x="21538" y="21269"/>
              <wp:lineTo x="21538" y="0"/>
              <wp:lineTo x="0" y="0"/>
            </wp:wrapPolygon>
          </wp:wrapTight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INAIP2\ApoyoPlenario\CAPAA2016\LOGOS\logos 30Junio16\LogoINAI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735" cy="116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5863"/>
    <w:multiLevelType w:val="hybridMultilevel"/>
    <w:tmpl w:val="A72E4346"/>
    <w:lvl w:ilvl="0" w:tplc="34CE34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AD"/>
    <w:rsid w:val="00017847"/>
    <w:rsid w:val="00034E25"/>
    <w:rsid w:val="00053F38"/>
    <w:rsid w:val="000565B9"/>
    <w:rsid w:val="00061B46"/>
    <w:rsid w:val="00063259"/>
    <w:rsid w:val="0006339C"/>
    <w:rsid w:val="000C154E"/>
    <w:rsid w:val="000E55B7"/>
    <w:rsid w:val="000F3A3B"/>
    <w:rsid w:val="000F7864"/>
    <w:rsid w:val="00105D30"/>
    <w:rsid w:val="00144BFE"/>
    <w:rsid w:val="0017202E"/>
    <w:rsid w:val="001728BD"/>
    <w:rsid w:val="00197852"/>
    <w:rsid w:val="001B1438"/>
    <w:rsid w:val="001B3E82"/>
    <w:rsid w:val="001C0E27"/>
    <w:rsid w:val="001C2D78"/>
    <w:rsid w:val="00253226"/>
    <w:rsid w:val="002A2363"/>
    <w:rsid w:val="002A53EE"/>
    <w:rsid w:val="002E34CD"/>
    <w:rsid w:val="00313295"/>
    <w:rsid w:val="00313A41"/>
    <w:rsid w:val="00333015"/>
    <w:rsid w:val="003334F8"/>
    <w:rsid w:val="0036155B"/>
    <w:rsid w:val="003732EF"/>
    <w:rsid w:val="00396FA1"/>
    <w:rsid w:val="003A025C"/>
    <w:rsid w:val="003C7BC9"/>
    <w:rsid w:val="003D6894"/>
    <w:rsid w:val="003E18F7"/>
    <w:rsid w:val="003F074A"/>
    <w:rsid w:val="003F481A"/>
    <w:rsid w:val="003F7AE2"/>
    <w:rsid w:val="00400CB4"/>
    <w:rsid w:val="00402FCA"/>
    <w:rsid w:val="00422F87"/>
    <w:rsid w:val="004250B6"/>
    <w:rsid w:val="004269E3"/>
    <w:rsid w:val="00441BD1"/>
    <w:rsid w:val="004551FA"/>
    <w:rsid w:val="0049650C"/>
    <w:rsid w:val="00496F09"/>
    <w:rsid w:val="004A2CBC"/>
    <w:rsid w:val="004B5187"/>
    <w:rsid w:val="004E3253"/>
    <w:rsid w:val="004E3321"/>
    <w:rsid w:val="004F491D"/>
    <w:rsid w:val="00511E67"/>
    <w:rsid w:val="005161A4"/>
    <w:rsid w:val="00543F24"/>
    <w:rsid w:val="0056493B"/>
    <w:rsid w:val="005665F9"/>
    <w:rsid w:val="005771C6"/>
    <w:rsid w:val="005E6744"/>
    <w:rsid w:val="00602737"/>
    <w:rsid w:val="00613734"/>
    <w:rsid w:val="0061794B"/>
    <w:rsid w:val="0069159F"/>
    <w:rsid w:val="006A5A62"/>
    <w:rsid w:val="006A62B0"/>
    <w:rsid w:val="006A71F1"/>
    <w:rsid w:val="006B2347"/>
    <w:rsid w:val="006B3DA6"/>
    <w:rsid w:val="006C3A5C"/>
    <w:rsid w:val="006E0D72"/>
    <w:rsid w:val="007159D1"/>
    <w:rsid w:val="0073293E"/>
    <w:rsid w:val="00737C28"/>
    <w:rsid w:val="007540D7"/>
    <w:rsid w:val="0076580A"/>
    <w:rsid w:val="007762C9"/>
    <w:rsid w:val="007A5C6F"/>
    <w:rsid w:val="007B426A"/>
    <w:rsid w:val="007D4401"/>
    <w:rsid w:val="007D5180"/>
    <w:rsid w:val="007E291F"/>
    <w:rsid w:val="007F7CE9"/>
    <w:rsid w:val="008070A7"/>
    <w:rsid w:val="00820FAB"/>
    <w:rsid w:val="0082196B"/>
    <w:rsid w:val="00827941"/>
    <w:rsid w:val="00830AAC"/>
    <w:rsid w:val="008364CD"/>
    <w:rsid w:val="00883DC5"/>
    <w:rsid w:val="008A1BBB"/>
    <w:rsid w:val="008B76D3"/>
    <w:rsid w:val="008C0177"/>
    <w:rsid w:val="008C1F83"/>
    <w:rsid w:val="008C339E"/>
    <w:rsid w:val="008E2AC3"/>
    <w:rsid w:val="00904E6F"/>
    <w:rsid w:val="0091657C"/>
    <w:rsid w:val="00944664"/>
    <w:rsid w:val="009456E1"/>
    <w:rsid w:val="00952D85"/>
    <w:rsid w:val="00953CB2"/>
    <w:rsid w:val="009611B4"/>
    <w:rsid w:val="00974A8F"/>
    <w:rsid w:val="00993F84"/>
    <w:rsid w:val="009940E2"/>
    <w:rsid w:val="009C23FC"/>
    <w:rsid w:val="009C50AD"/>
    <w:rsid w:val="009E04A7"/>
    <w:rsid w:val="00A03BAD"/>
    <w:rsid w:val="00A03E70"/>
    <w:rsid w:val="00A31355"/>
    <w:rsid w:val="00A313C9"/>
    <w:rsid w:val="00A657BA"/>
    <w:rsid w:val="00A96489"/>
    <w:rsid w:val="00AA05DE"/>
    <w:rsid w:val="00AC4A00"/>
    <w:rsid w:val="00AD67A7"/>
    <w:rsid w:val="00AE61E9"/>
    <w:rsid w:val="00AF04AB"/>
    <w:rsid w:val="00B07E4B"/>
    <w:rsid w:val="00B176EA"/>
    <w:rsid w:val="00B3079E"/>
    <w:rsid w:val="00BA55A5"/>
    <w:rsid w:val="00BB4F51"/>
    <w:rsid w:val="00C03358"/>
    <w:rsid w:val="00C24E94"/>
    <w:rsid w:val="00C323F1"/>
    <w:rsid w:val="00C51E75"/>
    <w:rsid w:val="00C94EAF"/>
    <w:rsid w:val="00CA1687"/>
    <w:rsid w:val="00CB4006"/>
    <w:rsid w:val="00D0672F"/>
    <w:rsid w:val="00D077A2"/>
    <w:rsid w:val="00D64B01"/>
    <w:rsid w:val="00D8048E"/>
    <w:rsid w:val="00DA7603"/>
    <w:rsid w:val="00DC3D63"/>
    <w:rsid w:val="00DD3279"/>
    <w:rsid w:val="00DE1232"/>
    <w:rsid w:val="00DE21DF"/>
    <w:rsid w:val="00E07835"/>
    <w:rsid w:val="00E12C48"/>
    <w:rsid w:val="00E13A6A"/>
    <w:rsid w:val="00EA3ECE"/>
    <w:rsid w:val="00EF51E7"/>
    <w:rsid w:val="00F212FD"/>
    <w:rsid w:val="00F3121B"/>
    <w:rsid w:val="00F624CE"/>
    <w:rsid w:val="00F858A3"/>
    <w:rsid w:val="00FD604D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74A"/>
  </w:style>
  <w:style w:type="paragraph" w:styleId="Piedepgina">
    <w:name w:val="footer"/>
    <w:basedOn w:val="Normal"/>
    <w:link w:val="PiedepginaCar"/>
    <w:uiPriority w:val="99"/>
    <w:unhideWhenUsed/>
    <w:rsid w:val="003F0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4A"/>
  </w:style>
  <w:style w:type="paragraph" w:styleId="Textodeglobo">
    <w:name w:val="Balloon Text"/>
    <w:basedOn w:val="Normal"/>
    <w:link w:val="TextodegloboCar"/>
    <w:uiPriority w:val="99"/>
    <w:semiHidden/>
    <w:unhideWhenUsed/>
    <w:rsid w:val="0019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8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40D7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7540D7"/>
    <w:rPr>
      <w:color w:val="2B579A"/>
      <w:shd w:val="clear" w:color="auto" w:fill="E6E6E6"/>
    </w:rPr>
  </w:style>
  <w:style w:type="paragraph" w:styleId="NormalWeb">
    <w:name w:val="Normal (Web)"/>
    <w:basedOn w:val="Normal"/>
    <w:rsid w:val="00AC4A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96F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0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74A"/>
  </w:style>
  <w:style w:type="paragraph" w:styleId="Piedepgina">
    <w:name w:val="footer"/>
    <w:basedOn w:val="Normal"/>
    <w:link w:val="PiedepginaCar"/>
    <w:uiPriority w:val="99"/>
    <w:unhideWhenUsed/>
    <w:rsid w:val="003F07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4A"/>
  </w:style>
  <w:style w:type="paragraph" w:styleId="Textodeglobo">
    <w:name w:val="Balloon Text"/>
    <w:basedOn w:val="Normal"/>
    <w:link w:val="TextodegloboCar"/>
    <w:uiPriority w:val="99"/>
    <w:semiHidden/>
    <w:unhideWhenUsed/>
    <w:rsid w:val="0019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85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40D7"/>
    <w:rPr>
      <w:color w:val="0563C1" w:themeColor="hyperlink"/>
      <w:u w:val="single"/>
    </w:rPr>
  </w:style>
  <w:style w:type="character" w:customStyle="1" w:styleId="Mention">
    <w:name w:val="Mention"/>
    <w:basedOn w:val="Fuentedeprrafopredeter"/>
    <w:uiPriority w:val="99"/>
    <w:semiHidden/>
    <w:unhideWhenUsed/>
    <w:rsid w:val="007540D7"/>
    <w:rPr>
      <w:color w:val="2B579A"/>
      <w:shd w:val="clear" w:color="auto" w:fill="E6E6E6"/>
    </w:rPr>
  </w:style>
  <w:style w:type="paragraph" w:styleId="NormalWeb">
    <w:name w:val="Normal (Web)"/>
    <w:basedOn w:val="Normal"/>
    <w:rsid w:val="00AC4A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496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fomex.transparenciayucatan.org.mx/InfomexYucat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mex.transparenciayucatan.org.mx/InfomexYucata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A519-27CF-4BC2-A00C-A6755F77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Apoyo Plenario</cp:lastModifiedBy>
  <cp:revision>5</cp:revision>
  <cp:lastPrinted>2017-06-20T21:04:00Z</cp:lastPrinted>
  <dcterms:created xsi:type="dcterms:W3CDTF">2017-06-20T21:06:00Z</dcterms:created>
  <dcterms:modified xsi:type="dcterms:W3CDTF">2017-06-20T21:48:00Z</dcterms:modified>
</cp:coreProperties>
</file>