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3D7" w:rsidRDefault="003403D7" w:rsidP="00650FA5">
      <w:pPr>
        <w:spacing w:after="0" w:line="240" w:lineRule="auto"/>
        <w:rPr>
          <w:b/>
          <w:sz w:val="24"/>
          <w:szCs w:val="24"/>
        </w:rPr>
      </w:pPr>
    </w:p>
    <w:p w:rsidR="0027208D" w:rsidRPr="009B3227" w:rsidRDefault="0027208D" w:rsidP="003403D7">
      <w:pPr>
        <w:spacing w:after="0" w:line="240" w:lineRule="auto"/>
        <w:jc w:val="center"/>
        <w:rPr>
          <w:b/>
          <w:sz w:val="25"/>
          <w:szCs w:val="25"/>
        </w:rPr>
      </w:pPr>
      <w:r w:rsidRPr="009B3227">
        <w:rPr>
          <w:b/>
          <w:sz w:val="25"/>
          <w:szCs w:val="25"/>
        </w:rPr>
        <w:t>ACUERDO ADMINISTRATIVO</w:t>
      </w:r>
    </w:p>
    <w:p w:rsidR="009B3227" w:rsidRPr="003403D7" w:rsidRDefault="009B3227" w:rsidP="003403D7">
      <w:pPr>
        <w:spacing w:after="0" w:line="240" w:lineRule="auto"/>
        <w:jc w:val="center"/>
        <w:rPr>
          <w:b/>
          <w:sz w:val="24"/>
          <w:szCs w:val="24"/>
        </w:rPr>
      </w:pPr>
    </w:p>
    <w:p w:rsidR="003403D7" w:rsidRPr="007C4A19" w:rsidRDefault="003403D7" w:rsidP="003403D7">
      <w:pPr>
        <w:spacing w:after="0" w:line="240" w:lineRule="auto"/>
        <w:jc w:val="center"/>
        <w:rPr>
          <w:b/>
        </w:rPr>
      </w:pPr>
    </w:p>
    <w:p w:rsidR="000D14E5" w:rsidRDefault="0027208D" w:rsidP="003403D7">
      <w:pPr>
        <w:spacing w:after="0" w:line="240" w:lineRule="auto"/>
        <w:jc w:val="both"/>
      </w:pPr>
      <w:r w:rsidRPr="007C4A19">
        <w:t>En la ciudad de Mérida, Yucatán, siendo las</w:t>
      </w:r>
      <w:r w:rsidR="0070462F" w:rsidRPr="007C4A19">
        <w:t xml:space="preserve"> </w:t>
      </w:r>
      <w:r w:rsidR="00041AD9">
        <w:t>trece</w:t>
      </w:r>
      <w:r w:rsidR="0070462F" w:rsidRPr="007C4A19">
        <w:t xml:space="preserve"> horas</w:t>
      </w:r>
      <w:r w:rsidR="00041AD9">
        <w:t xml:space="preserve"> con trece minutos</w:t>
      </w:r>
      <w:r w:rsidRPr="007C4A19">
        <w:t xml:space="preserve">, del día </w:t>
      </w:r>
      <w:r w:rsidR="00041AD9">
        <w:t>veintiuno</w:t>
      </w:r>
      <w:r w:rsidR="00FC5BC5" w:rsidRPr="007C4A19">
        <w:t xml:space="preserve"> de</w:t>
      </w:r>
      <w:r w:rsidR="00704F7B" w:rsidRPr="007C4A19">
        <w:t xml:space="preserve"> </w:t>
      </w:r>
      <w:r w:rsidR="00041AD9">
        <w:t>jul</w:t>
      </w:r>
      <w:r w:rsidR="002A2FA0">
        <w:t xml:space="preserve">io </w:t>
      </w:r>
      <w:r w:rsidR="00FC5BC5" w:rsidRPr="007C4A19">
        <w:t>del año dos mil dieciséis</w:t>
      </w:r>
      <w:r w:rsidRPr="007C4A19">
        <w:t>,</w:t>
      </w:r>
      <w:r w:rsidR="000251B3" w:rsidRPr="007C4A19">
        <w:t xml:space="preserve"> </w:t>
      </w:r>
      <w:r w:rsidR="00D8791E" w:rsidRPr="007C4A19">
        <w:t>encontrándose reunidos los integrantes del Pleno del Instituto Estatal de Transparencia, Acceso a la Información Pública y Protección de Da</w:t>
      </w:r>
      <w:r w:rsidR="00823CE0">
        <w:t>tos Personales,</w:t>
      </w:r>
      <w:r w:rsidR="00D8791E" w:rsidRPr="007C4A19">
        <w:t xml:space="preserve"> </w:t>
      </w:r>
      <w:r w:rsidR="00823CE0" w:rsidRPr="007C4A19">
        <w:rPr>
          <w:rFonts w:eastAsia="Times New Roman" w:cs="Arial"/>
          <w:lang w:val="es-ES" w:eastAsia="ar-SA"/>
        </w:rPr>
        <w:t xml:space="preserve">las Licenciadas </w:t>
      </w:r>
      <w:r w:rsidR="00823CE0">
        <w:rPr>
          <w:rFonts w:eastAsia="Times New Roman" w:cs="Arial"/>
          <w:lang w:val="es-ES" w:eastAsia="ar-SA"/>
        </w:rPr>
        <w:t xml:space="preserve">en </w:t>
      </w:r>
      <w:r w:rsidR="00823CE0" w:rsidRPr="007C4A19">
        <w:rPr>
          <w:rFonts w:eastAsia="Times New Roman" w:cs="Arial"/>
          <w:lang w:val="es-ES" w:eastAsia="ar-SA"/>
        </w:rPr>
        <w:t>Derecho Susana Aguilar Covarrubias</w:t>
      </w:r>
      <w:r w:rsidR="00823CE0">
        <w:rPr>
          <w:rFonts w:eastAsia="Times New Roman" w:cs="Arial"/>
          <w:lang w:val="es-ES" w:eastAsia="ar-SA"/>
        </w:rPr>
        <w:t xml:space="preserve"> y María Eugenia Sansores Ruz, y el </w:t>
      </w:r>
      <w:r w:rsidR="00D8791E" w:rsidRPr="007C4A19">
        <w:t>Ingeniero</w:t>
      </w:r>
      <w:r w:rsidR="00823CE0">
        <w:rPr>
          <w:rFonts w:eastAsia="Times New Roman" w:cs="Arial"/>
          <w:lang w:val="es-ES" w:eastAsia="ar-SA"/>
        </w:rPr>
        <w:t xml:space="preserve"> Civil Víctor Manuel May Vera,</w:t>
      </w:r>
      <w:r w:rsidR="00D8791E" w:rsidRPr="007C4A19">
        <w:rPr>
          <w:rFonts w:eastAsia="Times New Roman" w:cs="Arial"/>
          <w:lang w:val="es-ES" w:eastAsia="ar-SA"/>
        </w:rPr>
        <w:t xml:space="preserve"> </w:t>
      </w:r>
      <w:r w:rsidR="00823CE0">
        <w:rPr>
          <w:rFonts w:eastAsia="Times New Roman" w:cs="Arial"/>
          <w:lang w:val="es-ES" w:eastAsia="ar-SA"/>
        </w:rPr>
        <w:t>Comisionada Presidenta y Comisionado</w:t>
      </w:r>
      <w:r w:rsidR="00D8791E" w:rsidRPr="007C4A19">
        <w:rPr>
          <w:rFonts w:eastAsia="Times New Roman" w:cs="Arial"/>
          <w:lang w:val="es-ES" w:eastAsia="ar-SA"/>
        </w:rPr>
        <w:t xml:space="preserve">s, respectivamente, </w:t>
      </w:r>
      <w:r w:rsidR="00D8791E" w:rsidRPr="007C4A19">
        <w:t>emiten el presente acuerdo administrativo de conformidad con los siguientes antecedentes y considerandos:</w:t>
      </w:r>
    </w:p>
    <w:p w:rsidR="003403D7" w:rsidRDefault="003403D7" w:rsidP="003403D7">
      <w:pPr>
        <w:spacing w:after="0" w:line="240" w:lineRule="auto"/>
        <w:jc w:val="both"/>
      </w:pPr>
    </w:p>
    <w:p w:rsidR="004D3044" w:rsidRPr="007C4A19" w:rsidRDefault="004D3044" w:rsidP="003403D7">
      <w:pPr>
        <w:spacing w:after="0" w:line="240" w:lineRule="auto"/>
        <w:jc w:val="both"/>
      </w:pPr>
    </w:p>
    <w:p w:rsidR="004430D7" w:rsidRPr="009B3227" w:rsidRDefault="002F7DA4" w:rsidP="003403D7">
      <w:pPr>
        <w:spacing w:after="0" w:line="240" w:lineRule="auto"/>
        <w:jc w:val="center"/>
        <w:rPr>
          <w:b/>
          <w:sz w:val="23"/>
          <w:szCs w:val="23"/>
        </w:rPr>
      </w:pPr>
      <w:r w:rsidRPr="009B3227">
        <w:rPr>
          <w:b/>
          <w:sz w:val="23"/>
          <w:szCs w:val="23"/>
        </w:rPr>
        <w:t>ANTECEDENTES</w:t>
      </w:r>
    </w:p>
    <w:p w:rsidR="003403D7" w:rsidRPr="004D3044" w:rsidRDefault="003403D7" w:rsidP="003403D7">
      <w:pPr>
        <w:spacing w:after="0" w:line="240" w:lineRule="auto"/>
        <w:jc w:val="center"/>
        <w:rPr>
          <w:b/>
        </w:rPr>
      </w:pPr>
    </w:p>
    <w:p w:rsidR="002A2FA0" w:rsidRDefault="002F7DA4" w:rsidP="003403D7">
      <w:pPr>
        <w:spacing w:after="0" w:line="240" w:lineRule="auto"/>
        <w:jc w:val="both"/>
      </w:pPr>
      <w:r w:rsidRPr="007C4A19">
        <w:rPr>
          <w:b/>
        </w:rPr>
        <w:t>PRIMERO.-</w:t>
      </w:r>
      <w:r w:rsidRPr="007C4A19">
        <w:t xml:space="preserve"> </w:t>
      </w:r>
      <w:r w:rsidR="0060542E">
        <w:rPr>
          <w:rFonts w:cs="Calibri"/>
        </w:rPr>
        <w:t>M</w:t>
      </w:r>
      <w:r w:rsidR="007C4A19">
        <w:rPr>
          <w:rFonts w:cs="Calibri"/>
        </w:rPr>
        <w:t>ediante sesión pública</w:t>
      </w:r>
      <w:r w:rsidR="007C4A19" w:rsidRPr="007C4A19">
        <w:rPr>
          <w:rFonts w:cs="Calibri"/>
        </w:rPr>
        <w:t xml:space="preserve"> del día </w:t>
      </w:r>
      <w:r w:rsidR="007C4A19">
        <w:rPr>
          <w:rFonts w:cs="Calibri"/>
        </w:rPr>
        <w:t xml:space="preserve">18 </w:t>
      </w:r>
      <w:r w:rsidR="007C4A19" w:rsidRPr="007C4A19">
        <w:rPr>
          <w:rFonts w:cs="Calibri"/>
        </w:rPr>
        <w:t xml:space="preserve">de </w:t>
      </w:r>
      <w:r w:rsidR="007C4A19">
        <w:rPr>
          <w:rFonts w:cs="Calibri"/>
        </w:rPr>
        <w:t>diciembre de 2015</w:t>
      </w:r>
      <w:r w:rsidR="007C4A19" w:rsidRPr="007C4A19">
        <w:rPr>
          <w:rFonts w:cs="Calibri"/>
        </w:rPr>
        <w:t>,</w:t>
      </w:r>
      <w:r w:rsidR="007C4A19">
        <w:rPr>
          <w:rFonts w:cs="Calibri"/>
        </w:rPr>
        <w:t xml:space="preserve"> radicada en el acta número 076/2015</w:t>
      </w:r>
      <w:r w:rsidR="007C4A19" w:rsidRPr="007C4A19">
        <w:rPr>
          <w:rFonts w:cs="Calibri"/>
        </w:rPr>
        <w:t xml:space="preserve">, los integrantes del Pleno del Instituto Estatal de Transparencia, Acceso a la Información Pública y Protección de Datos Personales, el Comisionado Presidente Ingeniero Civil Víctor Manuel May Vera y las Comisionadas Licenciadas en Derecho Susana Aguilar Covarrubias y María Eugenia Sansores Ruz, </w:t>
      </w:r>
      <w:r w:rsidR="0060542E">
        <w:rPr>
          <w:rFonts w:cs="Calibri"/>
        </w:rPr>
        <w:t xml:space="preserve">antes Consejo General, aprobaron el Presupuesto </w:t>
      </w:r>
      <w:r w:rsidR="0060542E">
        <w:t xml:space="preserve">de Egresos del INAIP para el ejercicio 2016, en el cual se consideró </w:t>
      </w:r>
      <w:r w:rsidR="001E51CA" w:rsidRPr="007C4A19">
        <w:rPr>
          <w:iCs/>
        </w:rPr>
        <w:t>entre otros datos, un estimado de ingresos por certificaciones por un importe de $ 38,850 y un estimado de ingresos por especialización en archivística por $41,050.00</w:t>
      </w:r>
      <w:r w:rsidR="0060542E">
        <w:t>:</w:t>
      </w:r>
    </w:p>
    <w:p w:rsidR="003403D7" w:rsidRDefault="003403D7" w:rsidP="003403D7">
      <w:pPr>
        <w:spacing w:after="0" w:line="240" w:lineRule="auto"/>
        <w:jc w:val="both"/>
      </w:pPr>
    </w:p>
    <w:p w:rsidR="003403D7" w:rsidRDefault="003403D7" w:rsidP="003403D7">
      <w:pPr>
        <w:spacing w:after="0" w:line="240" w:lineRule="auto"/>
        <w:jc w:val="both"/>
        <w:rPr>
          <w:iCs/>
        </w:rPr>
      </w:pPr>
    </w:p>
    <w:p w:rsidR="003403D7" w:rsidRPr="001E51CA" w:rsidRDefault="003403D7" w:rsidP="003403D7">
      <w:pPr>
        <w:spacing w:after="0" w:line="240" w:lineRule="auto"/>
        <w:jc w:val="both"/>
        <w:rPr>
          <w:iCs/>
        </w:rPr>
      </w:pPr>
    </w:p>
    <w:tbl>
      <w:tblPr>
        <w:tblStyle w:val="Tablaconcuadrcula"/>
        <w:tblW w:w="8162" w:type="dxa"/>
        <w:tblInd w:w="534" w:type="dxa"/>
        <w:tblLook w:val="04A0" w:firstRow="1" w:lastRow="0" w:firstColumn="1" w:lastColumn="0" w:noHBand="0" w:noVBand="1"/>
      </w:tblPr>
      <w:tblGrid>
        <w:gridCol w:w="6469"/>
        <w:gridCol w:w="1693"/>
      </w:tblGrid>
      <w:tr w:rsidR="0060542E" w:rsidTr="003403D7">
        <w:trPr>
          <w:trHeight w:val="382"/>
        </w:trPr>
        <w:tc>
          <w:tcPr>
            <w:tcW w:w="6469" w:type="dxa"/>
          </w:tcPr>
          <w:p w:rsidR="0060542E" w:rsidRDefault="0060542E" w:rsidP="003403D7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INGRESOS POR RENDIMIENTOS FINANCIEROS</w:t>
            </w:r>
          </w:p>
        </w:tc>
        <w:tc>
          <w:tcPr>
            <w:tcW w:w="1693" w:type="dxa"/>
          </w:tcPr>
          <w:p w:rsidR="0060542E" w:rsidRDefault="002A2FA0" w:rsidP="003403D7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$ 30,000</w:t>
            </w:r>
          </w:p>
        </w:tc>
      </w:tr>
      <w:tr w:rsidR="0060542E" w:rsidTr="003403D7">
        <w:trPr>
          <w:trHeight w:val="362"/>
        </w:trPr>
        <w:tc>
          <w:tcPr>
            <w:tcW w:w="6469" w:type="dxa"/>
          </w:tcPr>
          <w:p w:rsidR="0060542E" w:rsidRDefault="0060542E" w:rsidP="003403D7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INGRESOS POR APLICACIÓN DE MULTAS A SUJETOS OBLIGADOS</w:t>
            </w:r>
          </w:p>
        </w:tc>
        <w:tc>
          <w:tcPr>
            <w:tcW w:w="1693" w:type="dxa"/>
          </w:tcPr>
          <w:p w:rsidR="0060542E" w:rsidRDefault="002A2FA0" w:rsidP="003403D7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$ 20, 000</w:t>
            </w:r>
          </w:p>
        </w:tc>
      </w:tr>
      <w:tr w:rsidR="0060542E" w:rsidTr="003403D7">
        <w:trPr>
          <w:trHeight w:val="382"/>
        </w:trPr>
        <w:tc>
          <w:tcPr>
            <w:tcW w:w="6469" w:type="dxa"/>
          </w:tcPr>
          <w:p w:rsidR="0060542E" w:rsidRDefault="0060542E" w:rsidP="003403D7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INGRESOS POR PRESTACIÓN DE SERVICIOS CERTIFICACIONES</w:t>
            </w:r>
          </w:p>
        </w:tc>
        <w:tc>
          <w:tcPr>
            <w:tcW w:w="1693" w:type="dxa"/>
          </w:tcPr>
          <w:p w:rsidR="0060542E" w:rsidRDefault="002A2FA0" w:rsidP="003403D7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$ 38, 850</w:t>
            </w:r>
          </w:p>
        </w:tc>
      </w:tr>
      <w:tr w:rsidR="0060542E" w:rsidTr="003403D7">
        <w:trPr>
          <w:trHeight w:val="362"/>
        </w:trPr>
        <w:tc>
          <w:tcPr>
            <w:tcW w:w="6469" w:type="dxa"/>
          </w:tcPr>
          <w:p w:rsidR="0060542E" w:rsidRDefault="0060542E" w:rsidP="003403D7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INGRESOS POR TRANSFERENCIAS DEL GOBIERNO DEL ESTADO</w:t>
            </w:r>
          </w:p>
        </w:tc>
        <w:tc>
          <w:tcPr>
            <w:tcW w:w="1693" w:type="dxa"/>
          </w:tcPr>
          <w:p w:rsidR="0060542E" w:rsidRDefault="002A2FA0" w:rsidP="003403D7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$ 26, 416, 000</w:t>
            </w:r>
          </w:p>
        </w:tc>
      </w:tr>
      <w:tr w:rsidR="0060542E" w:rsidTr="003403D7">
        <w:trPr>
          <w:trHeight w:val="382"/>
        </w:trPr>
        <w:tc>
          <w:tcPr>
            <w:tcW w:w="6469" w:type="dxa"/>
          </w:tcPr>
          <w:p w:rsidR="0060542E" w:rsidRDefault="0060542E" w:rsidP="003403D7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INGRESOS POR ESPECIALIZACIÓN DE ARCHIVÍSTICA</w:t>
            </w:r>
          </w:p>
        </w:tc>
        <w:tc>
          <w:tcPr>
            <w:tcW w:w="1693" w:type="dxa"/>
          </w:tcPr>
          <w:p w:rsidR="0060542E" w:rsidRDefault="002A2FA0" w:rsidP="003403D7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$ 41, 050</w:t>
            </w:r>
          </w:p>
        </w:tc>
      </w:tr>
      <w:tr w:rsidR="0060542E" w:rsidTr="003403D7">
        <w:trPr>
          <w:trHeight w:val="382"/>
        </w:trPr>
        <w:tc>
          <w:tcPr>
            <w:tcW w:w="0" w:type="auto"/>
          </w:tcPr>
          <w:p w:rsidR="0060542E" w:rsidRDefault="0060542E" w:rsidP="003403D7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TOTAL</w:t>
            </w:r>
          </w:p>
        </w:tc>
        <w:tc>
          <w:tcPr>
            <w:tcW w:w="0" w:type="auto"/>
          </w:tcPr>
          <w:p w:rsidR="0060542E" w:rsidRDefault="002A2FA0" w:rsidP="003403D7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$ 26, 545, 900</w:t>
            </w:r>
          </w:p>
        </w:tc>
      </w:tr>
    </w:tbl>
    <w:p w:rsidR="0060542E" w:rsidRDefault="0060542E" w:rsidP="003403D7">
      <w:pPr>
        <w:spacing w:after="0" w:line="240" w:lineRule="auto"/>
        <w:jc w:val="center"/>
        <w:rPr>
          <w:rFonts w:cs="Calibri"/>
        </w:rPr>
      </w:pPr>
    </w:p>
    <w:p w:rsidR="003403D7" w:rsidRDefault="003403D7" w:rsidP="003874C2">
      <w:pPr>
        <w:spacing w:after="0" w:line="240" w:lineRule="auto"/>
        <w:rPr>
          <w:rFonts w:cs="Calibri"/>
        </w:rPr>
      </w:pPr>
    </w:p>
    <w:p w:rsidR="009B3227" w:rsidRDefault="009B3227" w:rsidP="003874C2">
      <w:pPr>
        <w:spacing w:after="0" w:line="240" w:lineRule="auto"/>
        <w:rPr>
          <w:rFonts w:cs="Calibri"/>
        </w:rPr>
      </w:pPr>
    </w:p>
    <w:p w:rsidR="002F7DA4" w:rsidRDefault="002F7DA4" w:rsidP="003403D7">
      <w:pPr>
        <w:spacing w:after="0" w:line="240" w:lineRule="auto"/>
        <w:jc w:val="both"/>
        <w:rPr>
          <w:rFonts w:eastAsia="Arial" w:cs="Arial"/>
        </w:rPr>
      </w:pPr>
      <w:r w:rsidRPr="00E94408">
        <w:rPr>
          <w:rFonts w:eastAsia="Arial" w:cs="Arial"/>
          <w:b/>
        </w:rPr>
        <w:t xml:space="preserve">SEGUNDO.- </w:t>
      </w:r>
      <w:r w:rsidR="0068414C">
        <w:rPr>
          <w:rFonts w:eastAsia="Arial" w:cs="Arial"/>
        </w:rPr>
        <w:t>En fecha</w:t>
      </w:r>
      <w:r w:rsidR="00CB216A" w:rsidRPr="00E94408">
        <w:rPr>
          <w:rFonts w:eastAsia="Arial" w:cs="Arial"/>
        </w:rPr>
        <w:t xml:space="preserve"> 24 de diciembre</w:t>
      </w:r>
      <w:r w:rsidR="00E22809" w:rsidRPr="00E94408">
        <w:rPr>
          <w:rFonts w:eastAsia="Arial" w:cs="Arial"/>
        </w:rPr>
        <w:t xml:space="preserve"> de 2015</w:t>
      </w:r>
      <w:r w:rsidRPr="00E94408">
        <w:rPr>
          <w:rFonts w:eastAsia="Arial" w:cs="Arial"/>
        </w:rPr>
        <w:t xml:space="preserve">, se publicó en el Diario Oficial del Gobierno del </w:t>
      </w:r>
      <w:r w:rsidR="00E22809" w:rsidRPr="00E94408">
        <w:rPr>
          <w:rFonts w:eastAsia="Arial" w:cs="Arial"/>
        </w:rPr>
        <w:t>Estado de Yucatán el Decreto 327/2015, por el que</w:t>
      </w:r>
      <w:r w:rsidR="00E22809" w:rsidRPr="00E94408">
        <w:rPr>
          <w:rFonts w:cs="Lucida Sans Unicode"/>
          <w:color w:val="000000"/>
        </w:rPr>
        <w:t xml:space="preserve"> se emite el presupuesto de egresos del gobierno del estado de Yucatán para el ejercicio fiscal 2016</w:t>
      </w:r>
      <w:r w:rsidRPr="00E94408">
        <w:rPr>
          <w:rFonts w:eastAsia="Arial" w:cs="Arial"/>
        </w:rPr>
        <w:t xml:space="preserve">. </w:t>
      </w:r>
      <w:r w:rsidR="00E22809" w:rsidRPr="00E94408">
        <w:rPr>
          <w:rFonts w:eastAsia="Arial" w:cs="Arial"/>
        </w:rPr>
        <w:t>A través de dicho decreto</w:t>
      </w:r>
      <w:r w:rsidRPr="00E94408">
        <w:rPr>
          <w:rFonts w:eastAsia="Arial" w:cs="Arial"/>
        </w:rPr>
        <w:t xml:space="preserve">, se </w:t>
      </w:r>
      <w:r w:rsidR="00E22809" w:rsidRPr="00E94408">
        <w:rPr>
          <w:rFonts w:eastAsia="Arial" w:cs="Arial"/>
        </w:rPr>
        <w:t xml:space="preserve">especifica que al INAIP se le otorgaría la cantidad de $ 26, 416,000. </w:t>
      </w:r>
    </w:p>
    <w:p w:rsidR="009B3227" w:rsidRDefault="009B3227" w:rsidP="003403D7">
      <w:pPr>
        <w:spacing w:after="0" w:line="240" w:lineRule="auto"/>
        <w:jc w:val="both"/>
        <w:rPr>
          <w:rFonts w:eastAsia="Arial" w:cs="Arial"/>
        </w:rPr>
      </w:pPr>
    </w:p>
    <w:p w:rsidR="003874C2" w:rsidRDefault="003874C2" w:rsidP="003403D7">
      <w:pPr>
        <w:spacing w:after="0" w:line="240" w:lineRule="auto"/>
        <w:jc w:val="both"/>
        <w:rPr>
          <w:rFonts w:eastAsia="Arial" w:cs="Arial"/>
          <w:b/>
        </w:rPr>
      </w:pPr>
    </w:p>
    <w:p w:rsidR="00F04F4B" w:rsidRDefault="009B3227" w:rsidP="003403D7">
      <w:pPr>
        <w:spacing w:after="0" w:line="240" w:lineRule="auto"/>
        <w:jc w:val="both"/>
      </w:pPr>
      <w:r>
        <w:rPr>
          <w:rFonts w:eastAsia="Arial" w:cs="Arial"/>
          <w:b/>
        </w:rPr>
        <w:lastRenderedPageBreak/>
        <w:t>TERCERO</w:t>
      </w:r>
      <w:r w:rsidR="00A31ED0" w:rsidRPr="00A31ED0">
        <w:rPr>
          <w:rFonts w:eastAsia="Arial" w:cs="Arial"/>
          <w:b/>
        </w:rPr>
        <w:t>.-</w:t>
      </w:r>
      <w:r w:rsidR="00A31ED0">
        <w:rPr>
          <w:rFonts w:eastAsia="Arial" w:cs="Arial"/>
          <w:b/>
        </w:rPr>
        <w:t xml:space="preserve"> </w:t>
      </w:r>
      <w:r w:rsidR="00A31ED0">
        <w:rPr>
          <w:rFonts w:eastAsia="Arial" w:cs="Arial"/>
        </w:rPr>
        <w:t xml:space="preserve">Que en fecha 30 de junio de 2016, el Pleno del INAIP </w:t>
      </w:r>
      <w:r w:rsidR="00F04F4B">
        <w:t>en atención</w:t>
      </w:r>
      <w:r w:rsidR="00F04F4B" w:rsidRPr="00C51ABD">
        <w:t xml:space="preserve"> </w:t>
      </w:r>
      <w:r w:rsidR="00F04F4B">
        <w:t>a lo solicitado en el</w:t>
      </w:r>
      <w:r w:rsidR="00F04F4B" w:rsidRPr="007C4A19">
        <w:t xml:space="preserve"> memorándum número</w:t>
      </w:r>
      <w:r w:rsidR="00F04F4B">
        <w:t xml:space="preserve"> CEDAI.-52ter/2016</w:t>
      </w:r>
      <w:r w:rsidR="00F04F4B" w:rsidRPr="007C4A19">
        <w:t xml:space="preserve">, suscrito por </w:t>
      </w:r>
      <w:r w:rsidR="00F04F4B">
        <w:t>el Maestro Álvaro Carcaño Loeza, Director General del CEDAI,</w:t>
      </w:r>
      <w:r w:rsidR="00F04F4B" w:rsidRPr="007C4A19">
        <w:t xml:space="preserve"> a través del cual </w:t>
      </w:r>
      <w:r w:rsidR="00F04F4B">
        <w:t xml:space="preserve">solicitó al Pleno del Instituto </w:t>
      </w:r>
      <w:r w:rsidR="00F04F4B" w:rsidRPr="007C4A19">
        <w:t xml:space="preserve">Estatal de Transparencia, Acceso a la Información Pública y Protección de Datos Personales </w:t>
      </w:r>
      <w:r w:rsidR="00F04F4B">
        <w:rPr>
          <w:iCs/>
        </w:rPr>
        <w:t>la disminución de los ingresos estimados por la Especialización de A</w:t>
      </w:r>
      <w:r w:rsidR="00F04F4B" w:rsidRPr="007C4A19">
        <w:rPr>
          <w:iCs/>
        </w:rPr>
        <w:t xml:space="preserve">rchivos </w:t>
      </w:r>
      <w:r w:rsidR="00F04F4B">
        <w:rPr>
          <w:iCs/>
        </w:rPr>
        <w:t>y un aumento en el estimado de ingresos por Certificaciones</w:t>
      </w:r>
      <w:r w:rsidR="00A37FF8">
        <w:rPr>
          <w:iCs/>
        </w:rPr>
        <w:t xml:space="preserve">, </w:t>
      </w:r>
      <w:r w:rsidR="00A37FF8" w:rsidRPr="00A40AA6">
        <w:rPr>
          <w:rFonts w:eastAsia="Times New Roman" w:cs="Arial"/>
          <w:color w:val="222222"/>
          <w:lang w:eastAsia="es-MX"/>
        </w:rPr>
        <w:t>en razón de que al día de hoy s</w:t>
      </w:r>
      <w:r w:rsidR="00A37FF8">
        <w:rPr>
          <w:rFonts w:eastAsia="Times New Roman" w:cs="Arial"/>
          <w:color w:val="222222"/>
          <w:lang w:eastAsia="es-MX"/>
        </w:rPr>
        <w:t>e ha recaudado un importe de $40,96</w:t>
      </w:r>
      <w:r w:rsidR="00A37FF8" w:rsidRPr="00A40AA6">
        <w:rPr>
          <w:rFonts w:eastAsia="Times New Roman" w:cs="Arial"/>
          <w:color w:val="222222"/>
          <w:lang w:eastAsia="es-MX"/>
        </w:rPr>
        <w:t>0</w:t>
      </w:r>
      <w:r w:rsidR="00A37FF8">
        <w:rPr>
          <w:rFonts w:eastAsia="Times New Roman" w:cs="Arial"/>
          <w:color w:val="222222"/>
          <w:lang w:eastAsia="es-MX"/>
        </w:rPr>
        <w:t>.00</w:t>
      </w:r>
      <w:r w:rsidR="00A37FF8" w:rsidRPr="00A40AA6">
        <w:rPr>
          <w:rFonts w:eastAsia="Times New Roman" w:cs="Arial"/>
          <w:color w:val="222222"/>
          <w:lang w:eastAsia="es-MX"/>
        </w:rPr>
        <w:t xml:space="preserve"> en i</w:t>
      </w:r>
      <w:r w:rsidR="00A37FF8">
        <w:rPr>
          <w:rFonts w:eastAsia="Times New Roman" w:cs="Arial"/>
          <w:color w:val="222222"/>
          <w:lang w:eastAsia="es-MX"/>
        </w:rPr>
        <w:t>ngresos por certificaciones y $5,20</w:t>
      </w:r>
      <w:r w:rsidR="00A37FF8" w:rsidRPr="00A40AA6">
        <w:rPr>
          <w:rFonts w:eastAsia="Times New Roman" w:cs="Arial"/>
          <w:color w:val="222222"/>
          <w:lang w:eastAsia="es-MX"/>
        </w:rPr>
        <w:t>0</w:t>
      </w:r>
      <w:r w:rsidR="00A37FF8">
        <w:rPr>
          <w:rFonts w:eastAsia="Times New Roman" w:cs="Arial"/>
          <w:color w:val="222222"/>
          <w:lang w:eastAsia="es-MX"/>
        </w:rPr>
        <w:t>.00</w:t>
      </w:r>
      <w:r w:rsidR="00A37FF8" w:rsidRPr="00A40AA6">
        <w:rPr>
          <w:rFonts w:eastAsia="Times New Roman" w:cs="Arial"/>
          <w:color w:val="222222"/>
          <w:lang w:eastAsia="es-MX"/>
        </w:rPr>
        <w:t xml:space="preserve"> en</w:t>
      </w:r>
      <w:r w:rsidR="00A37FF8">
        <w:rPr>
          <w:rFonts w:eastAsia="Times New Roman" w:cs="Arial"/>
          <w:color w:val="222222"/>
          <w:lang w:eastAsia="es-MX"/>
        </w:rPr>
        <w:t xml:space="preserve"> la </w:t>
      </w:r>
      <w:r w:rsidR="00A37FF8" w:rsidRPr="00A40AA6">
        <w:rPr>
          <w:rFonts w:eastAsia="Times New Roman" w:cs="Arial"/>
          <w:color w:val="222222"/>
          <w:lang w:eastAsia="es-MX"/>
        </w:rPr>
        <w:t xml:space="preserve"> especialización en archivística y toda vez que en el presupuesto se tiene que considerar el aumento de los ingresos estimados</w:t>
      </w:r>
      <w:r w:rsidR="00A37FF8">
        <w:rPr>
          <w:rFonts w:eastAsia="Times New Roman" w:cs="Arial"/>
          <w:color w:val="222222"/>
          <w:lang w:eastAsia="es-MX"/>
        </w:rPr>
        <w:t xml:space="preserve">, autorizo </w:t>
      </w:r>
      <w:r w:rsidR="00A37FF8">
        <w:rPr>
          <w:iCs/>
        </w:rPr>
        <w:t>la disminución de los ingresos estimados por la Especialización de A</w:t>
      </w:r>
      <w:r w:rsidR="00A37FF8" w:rsidRPr="007C4A19">
        <w:rPr>
          <w:iCs/>
        </w:rPr>
        <w:t xml:space="preserve">rchivos </w:t>
      </w:r>
      <w:r w:rsidR="00A37FF8">
        <w:rPr>
          <w:iCs/>
        </w:rPr>
        <w:t>y un aumento en el estimado de ingresos por Certificaciones</w:t>
      </w:r>
      <w:r w:rsidR="00A37FF8">
        <w:rPr>
          <w:rFonts w:eastAsia="Times New Roman" w:cs="Arial"/>
          <w:color w:val="222222"/>
          <w:lang w:eastAsia="es-MX"/>
        </w:rPr>
        <w:t>, quedando de la siguiente manera</w:t>
      </w:r>
      <w:r w:rsidR="00F04F4B" w:rsidRPr="007C4A19">
        <w:t>:</w:t>
      </w:r>
    </w:p>
    <w:p w:rsidR="009B3227" w:rsidRDefault="009B3227" w:rsidP="003403D7">
      <w:pPr>
        <w:spacing w:after="0" w:line="240" w:lineRule="auto"/>
        <w:jc w:val="both"/>
      </w:pPr>
    </w:p>
    <w:p w:rsidR="00A37FF8" w:rsidRDefault="00A37FF8" w:rsidP="003403D7">
      <w:pPr>
        <w:spacing w:after="0" w:line="240" w:lineRule="auto"/>
        <w:jc w:val="both"/>
      </w:pPr>
    </w:p>
    <w:tbl>
      <w:tblPr>
        <w:tblStyle w:val="Tablaconcuadrcula"/>
        <w:tblW w:w="8162" w:type="dxa"/>
        <w:tblInd w:w="534" w:type="dxa"/>
        <w:tblLook w:val="04A0" w:firstRow="1" w:lastRow="0" w:firstColumn="1" w:lastColumn="0" w:noHBand="0" w:noVBand="1"/>
      </w:tblPr>
      <w:tblGrid>
        <w:gridCol w:w="6469"/>
        <w:gridCol w:w="1693"/>
      </w:tblGrid>
      <w:tr w:rsidR="003874C2" w:rsidTr="00FC258B">
        <w:trPr>
          <w:trHeight w:val="382"/>
        </w:trPr>
        <w:tc>
          <w:tcPr>
            <w:tcW w:w="6469" w:type="dxa"/>
          </w:tcPr>
          <w:p w:rsidR="003874C2" w:rsidRDefault="003874C2" w:rsidP="00FC258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INGRESOS POR RENDIMIENTOS FINANCIEROS</w:t>
            </w:r>
          </w:p>
        </w:tc>
        <w:tc>
          <w:tcPr>
            <w:tcW w:w="1693" w:type="dxa"/>
          </w:tcPr>
          <w:p w:rsidR="003874C2" w:rsidRDefault="003874C2" w:rsidP="00FC258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$ 30,000</w:t>
            </w:r>
          </w:p>
        </w:tc>
      </w:tr>
      <w:tr w:rsidR="003874C2" w:rsidTr="00FC258B">
        <w:trPr>
          <w:trHeight w:val="362"/>
        </w:trPr>
        <w:tc>
          <w:tcPr>
            <w:tcW w:w="6469" w:type="dxa"/>
          </w:tcPr>
          <w:p w:rsidR="003874C2" w:rsidRDefault="003874C2" w:rsidP="00FC258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INGRESOS POR APLICACIÓN DE MULTAS A SUJETOS OBLIGADOS</w:t>
            </w:r>
          </w:p>
        </w:tc>
        <w:tc>
          <w:tcPr>
            <w:tcW w:w="1693" w:type="dxa"/>
          </w:tcPr>
          <w:p w:rsidR="003874C2" w:rsidRDefault="003874C2" w:rsidP="00FC258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$ 20, 000</w:t>
            </w:r>
          </w:p>
        </w:tc>
      </w:tr>
      <w:tr w:rsidR="003874C2" w:rsidTr="00FC258B">
        <w:trPr>
          <w:trHeight w:val="382"/>
        </w:trPr>
        <w:tc>
          <w:tcPr>
            <w:tcW w:w="6469" w:type="dxa"/>
          </w:tcPr>
          <w:p w:rsidR="003874C2" w:rsidRDefault="003874C2" w:rsidP="00FC258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INGRESOS POR PRESTACIÓN DE SERVICIOS CERTIFICACIONES</w:t>
            </w:r>
          </w:p>
        </w:tc>
        <w:tc>
          <w:tcPr>
            <w:tcW w:w="1693" w:type="dxa"/>
          </w:tcPr>
          <w:p w:rsidR="003874C2" w:rsidRDefault="003874C2" w:rsidP="00FC258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$ 58, 050</w:t>
            </w:r>
          </w:p>
        </w:tc>
      </w:tr>
      <w:tr w:rsidR="003874C2" w:rsidTr="00FC258B">
        <w:trPr>
          <w:trHeight w:val="362"/>
        </w:trPr>
        <w:tc>
          <w:tcPr>
            <w:tcW w:w="6469" w:type="dxa"/>
          </w:tcPr>
          <w:p w:rsidR="003874C2" w:rsidRDefault="003874C2" w:rsidP="00FC258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INGRESOS POR TRANSFERENCIAS DEL GOBIERNO DEL ESTADO</w:t>
            </w:r>
          </w:p>
        </w:tc>
        <w:tc>
          <w:tcPr>
            <w:tcW w:w="1693" w:type="dxa"/>
          </w:tcPr>
          <w:p w:rsidR="003874C2" w:rsidRDefault="003874C2" w:rsidP="00FC258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$ 26, 416, 000</w:t>
            </w:r>
          </w:p>
        </w:tc>
      </w:tr>
      <w:tr w:rsidR="003874C2" w:rsidTr="00FC258B">
        <w:trPr>
          <w:trHeight w:val="382"/>
        </w:trPr>
        <w:tc>
          <w:tcPr>
            <w:tcW w:w="6469" w:type="dxa"/>
          </w:tcPr>
          <w:p w:rsidR="003874C2" w:rsidRDefault="003874C2" w:rsidP="00FC258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INGRESOS POR ESPECIALIZACIÓN DE ARCHIVÍSTICA</w:t>
            </w:r>
          </w:p>
        </w:tc>
        <w:tc>
          <w:tcPr>
            <w:tcW w:w="1693" w:type="dxa"/>
          </w:tcPr>
          <w:p w:rsidR="003874C2" w:rsidRDefault="003874C2" w:rsidP="00FC258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$ 21, 850</w:t>
            </w:r>
          </w:p>
        </w:tc>
      </w:tr>
      <w:tr w:rsidR="003874C2" w:rsidTr="00FC258B">
        <w:trPr>
          <w:trHeight w:val="382"/>
        </w:trPr>
        <w:tc>
          <w:tcPr>
            <w:tcW w:w="0" w:type="auto"/>
          </w:tcPr>
          <w:p w:rsidR="003874C2" w:rsidRDefault="003874C2" w:rsidP="00FC258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TOTAL</w:t>
            </w:r>
          </w:p>
        </w:tc>
        <w:tc>
          <w:tcPr>
            <w:tcW w:w="0" w:type="auto"/>
          </w:tcPr>
          <w:p w:rsidR="003874C2" w:rsidRDefault="003874C2" w:rsidP="00FC258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$ 26, 545, 900</w:t>
            </w:r>
          </w:p>
        </w:tc>
      </w:tr>
    </w:tbl>
    <w:p w:rsidR="00C00AA1" w:rsidRDefault="00C00AA1" w:rsidP="00C51ABD">
      <w:pPr>
        <w:spacing w:after="0" w:line="240" w:lineRule="auto"/>
        <w:jc w:val="both"/>
        <w:rPr>
          <w:rFonts w:eastAsia="Arial" w:cs="Arial"/>
        </w:rPr>
      </w:pPr>
    </w:p>
    <w:p w:rsidR="009B3227" w:rsidRPr="003874C2" w:rsidRDefault="009B3227" w:rsidP="00C51ABD">
      <w:pPr>
        <w:spacing w:after="0" w:line="240" w:lineRule="auto"/>
        <w:jc w:val="both"/>
        <w:rPr>
          <w:rFonts w:eastAsia="Arial" w:cs="Arial"/>
        </w:rPr>
      </w:pPr>
    </w:p>
    <w:p w:rsidR="00C00AA1" w:rsidRDefault="00C00AA1" w:rsidP="00C51ABD">
      <w:pPr>
        <w:spacing w:after="0" w:line="240" w:lineRule="auto"/>
        <w:jc w:val="both"/>
        <w:rPr>
          <w:rFonts w:eastAsia="Arial" w:cs="Arial"/>
          <w:b/>
        </w:rPr>
      </w:pPr>
    </w:p>
    <w:p w:rsidR="00C51ABD" w:rsidRDefault="009B3227" w:rsidP="00C51ABD">
      <w:pPr>
        <w:spacing w:after="0" w:line="240" w:lineRule="auto"/>
        <w:jc w:val="both"/>
      </w:pPr>
      <w:r>
        <w:rPr>
          <w:rFonts w:eastAsia="Arial" w:cs="Arial"/>
          <w:b/>
        </w:rPr>
        <w:t>CUARTO</w:t>
      </w:r>
      <w:r w:rsidR="00C51ABD">
        <w:rPr>
          <w:rFonts w:eastAsia="Arial" w:cs="Arial"/>
          <w:b/>
        </w:rPr>
        <w:t>.</w:t>
      </w:r>
      <w:r w:rsidR="00C51ABD" w:rsidRPr="00E94408">
        <w:rPr>
          <w:rFonts w:eastAsia="Arial" w:cs="Arial"/>
          <w:b/>
        </w:rPr>
        <w:t>-</w:t>
      </w:r>
      <w:r w:rsidR="00C51ABD" w:rsidRPr="00C51ABD">
        <w:t xml:space="preserve"> </w:t>
      </w:r>
      <w:r w:rsidR="00C51ABD" w:rsidRPr="007C4A19">
        <w:t xml:space="preserve">Que de conformidad con lo dispuesto en el artículo 103 de la Ley de Presupuesto y Contabilidad Gubernamental del Estado de Yucatán, los Organismos Autónomos, a través de sus órganos competentes podrán autorizar adecuaciones a sus respectivos presupuestos, </w:t>
      </w:r>
      <w:r w:rsidR="003874C2">
        <w:t xml:space="preserve">siempre que </w:t>
      </w:r>
      <w:r w:rsidR="00C51ABD" w:rsidRPr="007C4A19">
        <w:t xml:space="preserve">permitan un mejor cumplimiento de los objetivos y de los resultados de los programas y proyectos de inversión a su cargo. </w:t>
      </w:r>
    </w:p>
    <w:p w:rsidR="00C51ABD" w:rsidRDefault="00C51ABD" w:rsidP="003403D7">
      <w:pPr>
        <w:spacing w:after="0" w:line="240" w:lineRule="auto"/>
        <w:jc w:val="both"/>
        <w:rPr>
          <w:rFonts w:eastAsia="Arial" w:cs="Arial"/>
        </w:rPr>
      </w:pPr>
    </w:p>
    <w:p w:rsidR="00C51ABD" w:rsidRPr="00ED4306" w:rsidRDefault="009B3227" w:rsidP="00C51AB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FF0000"/>
        </w:rPr>
      </w:pPr>
      <w:r>
        <w:rPr>
          <w:rFonts w:eastAsia="Arial" w:cs="Arial"/>
          <w:b/>
        </w:rPr>
        <w:t>QUINTO</w:t>
      </w:r>
      <w:r w:rsidR="00C51ABD">
        <w:rPr>
          <w:rFonts w:eastAsia="Arial" w:cs="Arial"/>
          <w:b/>
        </w:rPr>
        <w:t>.</w:t>
      </w:r>
      <w:r w:rsidR="00C51ABD" w:rsidRPr="00E94408">
        <w:rPr>
          <w:rFonts w:eastAsia="Arial" w:cs="Arial"/>
          <w:b/>
        </w:rPr>
        <w:t>-</w:t>
      </w:r>
      <w:r w:rsidR="00C51ABD">
        <w:rPr>
          <w:rFonts w:eastAsia="Arial" w:cs="Arial"/>
          <w:b/>
        </w:rPr>
        <w:t xml:space="preserve"> </w:t>
      </w:r>
      <w:r w:rsidR="00C51ABD" w:rsidRPr="002D2C4D">
        <w:t xml:space="preserve">Que en términos de lo establecido en el artículo 104 de la Ley de Presupuesto y Contabilidad Gubernamental del Estado de Yucatán, </w:t>
      </w:r>
      <w:r w:rsidR="00C51ABD" w:rsidRPr="002D2C4D">
        <w:rPr>
          <w:rFonts w:cs="Arial"/>
        </w:rPr>
        <w:t>las ampliaciones presupuestales que se autoricen en los términos del artículo 103 de la Ley en cita, serán para fines específicos y no podrán reorientarse a programas o proyectos de inversión distintos a los originalmente planteados.</w:t>
      </w:r>
      <w:r>
        <w:rPr>
          <w:rFonts w:cs="Arial"/>
        </w:rPr>
        <w:t xml:space="preserve"> </w:t>
      </w:r>
    </w:p>
    <w:p w:rsidR="00C51ABD" w:rsidRDefault="00C51ABD" w:rsidP="00C51ABD">
      <w:pPr>
        <w:spacing w:after="0" w:line="240" w:lineRule="auto"/>
        <w:jc w:val="both"/>
        <w:rPr>
          <w:rFonts w:eastAsia="Arial" w:cs="Arial"/>
        </w:rPr>
      </w:pPr>
    </w:p>
    <w:p w:rsidR="00041AD9" w:rsidRPr="009B3227" w:rsidRDefault="009B3227" w:rsidP="00650FA5">
      <w:pPr>
        <w:autoSpaceDE w:val="0"/>
        <w:autoSpaceDN w:val="0"/>
        <w:adjustRightInd w:val="0"/>
        <w:spacing w:after="0" w:line="240" w:lineRule="auto"/>
        <w:jc w:val="both"/>
        <w:rPr>
          <w:rFonts w:eastAsia="Arial" w:cs="Arial"/>
          <w:b/>
        </w:rPr>
      </w:pPr>
      <w:r>
        <w:rPr>
          <w:rFonts w:eastAsia="Arial" w:cs="Arial"/>
          <w:b/>
        </w:rPr>
        <w:t>SEXTO</w:t>
      </w:r>
      <w:r w:rsidR="00C51ABD">
        <w:rPr>
          <w:rFonts w:eastAsia="Arial" w:cs="Arial"/>
          <w:b/>
        </w:rPr>
        <w:t>.</w:t>
      </w:r>
      <w:r w:rsidR="00C51ABD" w:rsidRPr="00E94408">
        <w:rPr>
          <w:rFonts w:eastAsia="Arial" w:cs="Arial"/>
          <w:b/>
        </w:rPr>
        <w:t>-</w:t>
      </w:r>
      <w:r w:rsidR="00C51ABD">
        <w:rPr>
          <w:rFonts w:eastAsia="Arial" w:cs="Arial"/>
          <w:b/>
        </w:rPr>
        <w:t xml:space="preserve"> </w:t>
      </w:r>
      <w:r w:rsidR="00C51ABD">
        <w:t xml:space="preserve">Que </w:t>
      </w:r>
      <w:r w:rsidR="00C51ABD" w:rsidRPr="004D3044">
        <w:t xml:space="preserve">en el artículo 38 </w:t>
      </w:r>
      <w:r w:rsidR="00C51ABD">
        <w:t xml:space="preserve">fracción II </w:t>
      </w:r>
      <w:r w:rsidR="00C51ABD" w:rsidRPr="004D3044">
        <w:t xml:space="preserve">de la Ley </w:t>
      </w:r>
      <w:r w:rsidR="00C51ABD" w:rsidRPr="004D3044">
        <w:rPr>
          <w:bCs/>
        </w:rPr>
        <w:t>General de Contabilidad Gubernamental</w:t>
      </w:r>
      <w:r w:rsidR="00C51ABD">
        <w:rPr>
          <w:bCs/>
        </w:rPr>
        <w:t xml:space="preserve">, se establece que </w:t>
      </w:r>
      <w:r w:rsidR="00C51ABD">
        <w:t>e</w:t>
      </w:r>
      <w:r w:rsidR="00C51ABD" w:rsidRPr="004D3044">
        <w:t>l registro de las etapas del presupuesto de los entes públicos se efectuará en las cuentas contables que, para tal efecto, establezca el consejo, las cuales deberán reflejar</w:t>
      </w:r>
      <w:r w:rsidR="00C51ABD">
        <w:t xml:space="preserve"> en lo </w:t>
      </w:r>
      <w:r w:rsidR="00C51ABD" w:rsidRPr="004D3044">
        <w:t>relativo al ingreso, el estimado, modificado, devengado y recaudado.</w:t>
      </w:r>
      <w:r w:rsidR="00041AD9">
        <w:t xml:space="preserve"> </w:t>
      </w:r>
    </w:p>
    <w:p w:rsidR="009378E1" w:rsidRDefault="009378E1" w:rsidP="00650FA5">
      <w:pPr>
        <w:autoSpaceDE w:val="0"/>
        <w:autoSpaceDN w:val="0"/>
        <w:adjustRightInd w:val="0"/>
        <w:spacing w:after="0" w:line="240" w:lineRule="auto"/>
        <w:jc w:val="both"/>
      </w:pPr>
    </w:p>
    <w:p w:rsidR="009B3227" w:rsidRDefault="009B3227" w:rsidP="00650FA5">
      <w:pPr>
        <w:autoSpaceDE w:val="0"/>
        <w:autoSpaceDN w:val="0"/>
        <w:adjustRightInd w:val="0"/>
        <w:spacing w:after="0" w:line="240" w:lineRule="auto"/>
        <w:jc w:val="both"/>
      </w:pPr>
    </w:p>
    <w:p w:rsidR="009B3227" w:rsidRDefault="009B3227" w:rsidP="00650FA5">
      <w:pPr>
        <w:autoSpaceDE w:val="0"/>
        <w:autoSpaceDN w:val="0"/>
        <w:adjustRightInd w:val="0"/>
        <w:spacing w:after="0" w:line="240" w:lineRule="auto"/>
        <w:jc w:val="both"/>
      </w:pPr>
    </w:p>
    <w:p w:rsidR="009B3227" w:rsidRPr="00650FA5" w:rsidRDefault="009B3227" w:rsidP="00650FA5">
      <w:pPr>
        <w:autoSpaceDE w:val="0"/>
        <w:autoSpaceDN w:val="0"/>
        <w:adjustRightInd w:val="0"/>
        <w:spacing w:after="0" w:line="240" w:lineRule="auto"/>
        <w:jc w:val="both"/>
      </w:pPr>
    </w:p>
    <w:p w:rsidR="002F7DA4" w:rsidRPr="00E94408" w:rsidRDefault="002F7DA4" w:rsidP="003403D7">
      <w:pPr>
        <w:spacing w:after="0" w:line="240" w:lineRule="auto"/>
        <w:jc w:val="both"/>
        <w:rPr>
          <w:rFonts w:eastAsia="Arial" w:cs="Arial"/>
          <w:b/>
        </w:rPr>
      </w:pPr>
    </w:p>
    <w:p w:rsidR="0027208D" w:rsidRDefault="0027208D" w:rsidP="003403D7">
      <w:pPr>
        <w:spacing w:after="0" w:line="240" w:lineRule="auto"/>
        <w:jc w:val="center"/>
        <w:rPr>
          <w:b/>
          <w:sz w:val="23"/>
          <w:szCs w:val="23"/>
        </w:rPr>
      </w:pPr>
      <w:r w:rsidRPr="009B3227">
        <w:rPr>
          <w:b/>
          <w:sz w:val="23"/>
          <w:szCs w:val="23"/>
        </w:rPr>
        <w:lastRenderedPageBreak/>
        <w:t>CONSIDERANDOS</w:t>
      </w:r>
    </w:p>
    <w:p w:rsidR="009B3227" w:rsidRPr="009B3227" w:rsidRDefault="009B3227" w:rsidP="003403D7">
      <w:pPr>
        <w:spacing w:after="0" w:line="240" w:lineRule="auto"/>
        <w:jc w:val="center"/>
        <w:rPr>
          <w:b/>
          <w:sz w:val="23"/>
          <w:szCs w:val="23"/>
        </w:rPr>
      </w:pPr>
    </w:p>
    <w:p w:rsidR="003403D7" w:rsidRPr="007C4A19" w:rsidRDefault="003403D7" w:rsidP="003403D7">
      <w:pPr>
        <w:spacing w:after="0" w:line="240" w:lineRule="auto"/>
        <w:jc w:val="center"/>
        <w:rPr>
          <w:b/>
        </w:rPr>
      </w:pPr>
    </w:p>
    <w:p w:rsidR="001E51CA" w:rsidRPr="001B6B69" w:rsidRDefault="0027208D" w:rsidP="003403D7">
      <w:pPr>
        <w:spacing w:after="0" w:line="240" w:lineRule="auto"/>
        <w:jc w:val="both"/>
        <w:rPr>
          <w:rFonts w:cs="Arial"/>
        </w:rPr>
      </w:pPr>
      <w:r w:rsidRPr="007C4A19">
        <w:rPr>
          <w:b/>
        </w:rPr>
        <w:t>PRIMERO.-</w:t>
      </w:r>
      <w:r w:rsidRPr="007C4A19">
        <w:t xml:space="preserve"> Que de conformidad con el artículo </w:t>
      </w:r>
      <w:r w:rsidR="00DD1628" w:rsidRPr="007C4A19">
        <w:t>10</w:t>
      </w:r>
      <w:r w:rsidRPr="007C4A19">
        <w:t xml:space="preserve"> </w:t>
      </w:r>
      <w:r w:rsidR="00A10859" w:rsidRPr="007C4A19">
        <w:t xml:space="preserve">y 14 </w:t>
      </w:r>
      <w:r w:rsidRPr="007C4A19">
        <w:t xml:space="preserve">de la Ley de </w:t>
      </w:r>
      <w:r w:rsidR="00DD1628" w:rsidRPr="007C4A19">
        <w:t>Transparencia y Acceso a la Información Pública del Estado de Yucatán</w:t>
      </w:r>
      <w:r w:rsidR="00E97937" w:rsidRPr="007C4A19">
        <w:t>,</w:t>
      </w:r>
      <w:r w:rsidRPr="007C4A19">
        <w:t xml:space="preserve"> </w:t>
      </w:r>
      <w:r w:rsidR="00E97937" w:rsidRPr="007C4A19">
        <w:rPr>
          <w:rFonts w:cs="Arial"/>
        </w:rPr>
        <w:t>el Instituto Estatal de Transparencia, Acceso a</w:t>
      </w:r>
      <w:r w:rsidR="009B3227">
        <w:rPr>
          <w:rFonts w:cs="Arial"/>
        </w:rPr>
        <w:t xml:space="preserve"> la </w:t>
      </w:r>
      <w:r w:rsidR="00E97937" w:rsidRPr="007C4A19">
        <w:rPr>
          <w:rFonts w:cs="Arial"/>
        </w:rPr>
        <w:t>Información Pública y Protección de Datos Personales es un organismo público autónomo, especializado, independiente, imparcial y colegiado, con personalidad jurídica y patrimonio propios, con plena autonomía técnica de gestión, capacidad para decidir sobre el ejercicio de su presupuesto y determinar su organización interna, responsable de garantizar el ejercicio de los derechos de acceso a la información y protección de datos personales conforme a los principios y bases establecidos en el artículo 6o. de la Constitución Política de los Estados Unidos Mexicanos, así como lo dispuesto en la Constitución Política del Estado de Yuca</w:t>
      </w:r>
      <w:r w:rsidR="001E51CA">
        <w:rPr>
          <w:rFonts w:cs="Arial"/>
        </w:rPr>
        <w:t xml:space="preserve">tán, la Ley general, esta ley y </w:t>
      </w:r>
      <w:r w:rsidR="00E97937" w:rsidRPr="007C4A19">
        <w:rPr>
          <w:rFonts w:cs="Arial"/>
        </w:rPr>
        <w:t>demás disp</w:t>
      </w:r>
      <w:r w:rsidR="00A10859" w:rsidRPr="007C4A19">
        <w:rPr>
          <w:rFonts w:cs="Arial"/>
        </w:rPr>
        <w:t xml:space="preserve">osiciones normativas aplicables, </w:t>
      </w:r>
      <w:r w:rsidR="00A10859" w:rsidRPr="007C4A19">
        <w:t xml:space="preserve">mismo que se encuentra integrado por el pleno y las unidades administrativas </w:t>
      </w:r>
      <w:r w:rsidR="00C262D6" w:rsidRPr="007C4A19">
        <w:t>que determine el reglamento interior de conformidad con la disponibilidad presupuestal</w:t>
      </w:r>
      <w:r w:rsidR="00A10859" w:rsidRPr="007C4A19">
        <w:t>.</w:t>
      </w:r>
    </w:p>
    <w:p w:rsidR="001E51CA" w:rsidRDefault="001E51CA" w:rsidP="003403D7">
      <w:pPr>
        <w:spacing w:after="0" w:line="240" w:lineRule="auto"/>
        <w:jc w:val="both"/>
        <w:rPr>
          <w:rFonts w:cs="Arial"/>
        </w:rPr>
      </w:pPr>
    </w:p>
    <w:p w:rsidR="004D3044" w:rsidRPr="001E51CA" w:rsidRDefault="0027208D" w:rsidP="003403D7">
      <w:pPr>
        <w:spacing w:after="0" w:line="240" w:lineRule="auto"/>
        <w:jc w:val="both"/>
        <w:rPr>
          <w:rFonts w:cs="Arial"/>
        </w:rPr>
      </w:pPr>
      <w:r w:rsidRPr="007C4A19">
        <w:rPr>
          <w:b/>
        </w:rPr>
        <w:t xml:space="preserve">SEGUNDO.- </w:t>
      </w:r>
      <w:r w:rsidRPr="007C4A19">
        <w:t xml:space="preserve">Que de </w:t>
      </w:r>
      <w:r w:rsidR="00D476B4" w:rsidRPr="007C4A19">
        <w:t>acuerdo a l</w:t>
      </w:r>
      <w:r w:rsidRPr="007C4A19">
        <w:t xml:space="preserve">a fracción </w:t>
      </w:r>
      <w:r w:rsidR="000251B3" w:rsidRPr="007C4A19">
        <w:t>V</w:t>
      </w:r>
      <w:r w:rsidR="004B1CFD" w:rsidRPr="007C4A19">
        <w:t xml:space="preserve"> del artículo 15</w:t>
      </w:r>
      <w:r w:rsidRPr="007C4A19">
        <w:t xml:space="preserve"> de la </w:t>
      </w:r>
      <w:r w:rsidR="004B1CFD" w:rsidRPr="007C4A19">
        <w:t>Ley de Transparencia y Acceso a la Información Pública del Estado de Yucatán</w:t>
      </w:r>
      <w:r w:rsidRPr="007C4A19">
        <w:t xml:space="preserve">, serán atribuciones del </w:t>
      </w:r>
      <w:r w:rsidR="004B1CFD" w:rsidRPr="007C4A19">
        <w:t>Pleno</w:t>
      </w:r>
      <w:r w:rsidR="000251B3" w:rsidRPr="007C4A19">
        <w:t xml:space="preserve"> </w:t>
      </w:r>
      <w:r w:rsidRPr="007C4A19">
        <w:t xml:space="preserve">del Instituto, </w:t>
      </w:r>
      <w:r w:rsidR="008138EF" w:rsidRPr="007C4A19">
        <w:t>evaluar, aprobar, y dar seguimiento a los proyectos de presupuestos de ingresos y egresos del INAIP</w:t>
      </w:r>
      <w:r w:rsidR="000251B3" w:rsidRPr="007C4A19">
        <w:t>.</w:t>
      </w:r>
    </w:p>
    <w:p w:rsidR="008C6C7A" w:rsidRPr="007C4A19" w:rsidRDefault="008C6C7A" w:rsidP="003403D7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4D3044" w:rsidRDefault="0027208D" w:rsidP="003403D7">
      <w:pPr>
        <w:spacing w:after="0" w:line="240" w:lineRule="auto"/>
        <w:jc w:val="both"/>
      </w:pPr>
      <w:r w:rsidRPr="007C4A19">
        <w:rPr>
          <w:b/>
        </w:rPr>
        <w:t xml:space="preserve">TERCERO.- </w:t>
      </w:r>
      <w:r w:rsidRPr="007C4A19">
        <w:t xml:space="preserve">Que </w:t>
      </w:r>
      <w:r w:rsidR="000251B3" w:rsidRPr="007C4A19">
        <w:t>de conformidad con el artículo 8</w:t>
      </w:r>
      <w:r w:rsidR="00617C85" w:rsidRPr="007C4A19">
        <w:t xml:space="preserve"> fracción IX</w:t>
      </w:r>
      <w:r w:rsidRPr="007C4A19">
        <w:t xml:space="preserve"> del Reglamento Interior del Instituto Estatal de Acceso a la Información Pública del Estado de Yucatán, </w:t>
      </w:r>
      <w:r w:rsidR="00704F7B" w:rsidRPr="007C4A19">
        <w:t xml:space="preserve">vigente, </w:t>
      </w:r>
      <w:r w:rsidRPr="007C4A19">
        <w:t xml:space="preserve">el </w:t>
      </w:r>
      <w:r w:rsidR="00402A71" w:rsidRPr="007C4A19">
        <w:t>Pleno</w:t>
      </w:r>
      <w:r w:rsidR="000251B3" w:rsidRPr="007C4A19">
        <w:t xml:space="preserve"> </w:t>
      </w:r>
      <w:r w:rsidRPr="007C4A19">
        <w:t xml:space="preserve">es el encargado de </w:t>
      </w:r>
      <w:r w:rsidR="000251B3" w:rsidRPr="007C4A19">
        <w:t>aprobar la creación o modificación de las partidas presupuestales cuando así se requiera.</w:t>
      </w:r>
    </w:p>
    <w:p w:rsidR="003403D7" w:rsidRPr="007C4A19" w:rsidRDefault="003403D7" w:rsidP="003403D7">
      <w:pPr>
        <w:spacing w:after="0" w:line="240" w:lineRule="auto"/>
        <w:jc w:val="both"/>
      </w:pPr>
    </w:p>
    <w:p w:rsidR="00267C47" w:rsidRDefault="001E51CA" w:rsidP="00C51ABD">
      <w:pPr>
        <w:spacing w:after="0" w:line="240" w:lineRule="auto"/>
        <w:jc w:val="both"/>
        <w:rPr>
          <w:iCs/>
        </w:rPr>
      </w:pPr>
      <w:r w:rsidRPr="00C51ABD">
        <w:rPr>
          <w:b/>
        </w:rPr>
        <w:t xml:space="preserve">CUARTO.- </w:t>
      </w:r>
      <w:r w:rsidR="00C51ABD" w:rsidRPr="00C51ABD">
        <w:t>En mérito de lo señal</w:t>
      </w:r>
      <w:r w:rsidR="00C51ABD">
        <w:t>ado en los antecedente</w:t>
      </w:r>
      <w:r w:rsidR="00041AD9">
        <w:t xml:space="preserve">s </w:t>
      </w:r>
      <w:r w:rsidR="009B3227">
        <w:t>SEXTO</w:t>
      </w:r>
      <w:r w:rsidR="00041AD9">
        <w:t>, con fecha 21</w:t>
      </w:r>
      <w:r w:rsidR="00C51ABD" w:rsidRPr="007C4A19">
        <w:t xml:space="preserve"> de </w:t>
      </w:r>
      <w:r w:rsidR="00041AD9">
        <w:t>jul</w:t>
      </w:r>
      <w:r w:rsidR="00C51ABD" w:rsidRPr="000D14E5">
        <w:t>io</w:t>
      </w:r>
      <w:r w:rsidR="00C51ABD" w:rsidRPr="007C4A19">
        <w:t xml:space="preserve"> del año en curso, se recibió en la Coordinación de Apoyo Plenario y Archivo Administrativo el memorándum número</w:t>
      </w:r>
      <w:r w:rsidR="00C51ABD">
        <w:t xml:space="preserve"> CEDAI.-</w:t>
      </w:r>
      <w:r w:rsidR="001B2ECE">
        <w:t>55bis</w:t>
      </w:r>
      <w:r w:rsidR="00C51ABD">
        <w:t>/2016</w:t>
      </w:r>
      <w:r w:rsidR="00C51ABD" w:rsidRPr="007C4A19">
        <w:t xml:space="preserve">, suscrito por </w:t>
      </w:r>
      <w:r w:rsidR="00C51ABD">
        <w:t>el Maestro Álvaro Carcaño Loeza, Director General del CEDAI</w:t>
      </w:r>
      <w:r w:rsidR="00C51ABD" w:rsidRPr="007C4A19">
        <w:t>,</w:t>
      </w:r>
      <w:r w:rsidR="00892C81">
        <w:t xml:space="preserve"> mismo que adjunto al presente,</w:t>
      </w:r>
      <w:r w:rsidR="002253CB">
        <w:t xml:space="preserve"> a través del cual </w:t>
      </w:r>
      <w:r w:rsidR="009D3C4B">
        <w:t>solicita</w:t>
      </w:r>
      <w:r w:rsidR="00C51ABD">
        <w:t xml:space="preserve"> al Pleno del Instituto </w:t>
      </w:r>
      <w:r w:rsidR="00C51ABD" w:rsidRPr="007C4A19">
        <w:t xml:space="preserve">Estatal de Transparencia, Acceso a la Información Pública y Protección de Datos Personales </w:t>
      </w:r>
      <w:r w:rsidR="00C51ABD">
        <w:rPr>
          <w:iCs/>
        </w:rPr>
        <w:t xml:space="preserve">la </w:t>
      </w:r>
      <w:r w:rsidR="00041AD9">
        <w:rPr>
          <w:iCs/>
        </w:rPr>
        <w:t>ampliación de</w:t>
      </w:r>
      <w:r w:rsidR="00C51ABD">
        <w:rPr>
          <w:iCs/>
        </w:rPr>
        <w:t xml:space="preserve"> ingresos </w:t>
      </w:r>
      <w:r w:rsidR="00041AD9">
        <w:rPr>
          <w:iCs/>
        </w:rPr>
        <w:t xml:space="preserve">presupuestales derivados de cuotas de inscripción </w:t>
      </w:r>
      <w:r w:rsidR="00C51ABD">
        <w:rPr>
          <w:iCs/>
        </w:rPr>
        <w:t>por la Especialización de A</w:t>
      </w:r>
      <w:r w:rsidR="009D3C4B">
        <w:rPr>
          <w:iCs/>
        </w:rPr>
        <w:t>rchivística</w:t>
      </w:r>
      <w:r w:rsidR="001B6B69">
        <w:rPr>
          <w:iCs/>
        </w:rPr>
        <w:t xml:space="preserve"> y la integración de ello al presupuesto de egresos autorizado para el ejercicio 2016,</w:t>
      </w:r>
      <w:r w:rsidR="009D3C4B">
        <w:rPr>
          <w:iCs/>
        </w:rPr>
        <w:t xml:space="preserve"> </w:t>
      </w:r>
      <w:r w:rsidR="001B6B69">
        <w:rPr>
          <w:iCs/>
        </w:rPr>
        <w:t xml:space="preserve">toda vez </w:t>
      </w:r>
      <w:r w:rsidR="009D3C4B">
        <w:rPr>
          <w:iCs/>
        </w:rPr>
        <w:t xml:space="preserve">que </w:t>
      </w:r>
      <w:r w:rsidR="002253CB">
        <w:rPr>
          <w:iCs/>
        </w:rPr>
        <w:t xml:space="preserve">se </w:t>
      </w:r>
      <w:r w:rsidR="001B6B69">
        <w:rPr>
          <w:iCs/>
        </w:rPr>
        <w:t xml:space="preserve">estima la participación de 92 servidores públicos a los cuales se les cobrará la cuota autorizada de $650.00 </w:t>
      </w:r>
      <w:r w:rsidR="009D3C4B">
        <w:rPr>
          <w:iCs/>
        </w:rPr>
        <w:t>más I.V.A., por lo que se calcula</w:t>
      </w:r>
      <w:r w:rsidR="001B6B69">
        <w:rPr>
          <w:iCs/>
        </w:rPr>
        <w:t xml:space="preserve"> un ingreso derivado de dicha actividad por la can</w:t>
      </w:r>
      <w:r w:rsidR="009D3C4B">
        <w:rPr>
          <w:iCs/>
        </w:rPr>
        <w:t>tidad de $59,800.00,</w:t>
      </w:r>
      <w:r w:rsidR="001B6B69">
        <w:rPr>
          <w:iCs/>
        </w:rPr>
        <w:t xml:space="preserve"> </w:t>
      </w:r>
      <w:r w:rsidR="009D3C4B">
        <w:rPr>
          <w:iCs/>
        </w:rPr>
        <w:t xml:space="preserve">quedando de la siguiente manera: </w:t>
      </w:r>
    </w:p>
    <w:p w:rsidR="009D3C4B" w:rsidRDefault="009D3C4B" w:rsidP="00C51ABD">
      <w:pPr>
        <w:spacing w:after="0" w:line="240" w:lineRule="auto"/>
        <w:jc w:val="both"/>
        <w:rPr>
          <w:iCs/>
        </w:rPr>
      </w:pPr>
    </w:p>
    <w:tbl>
      <w:tblPr>
        <w:tblStyle w:val="Tablaconcuadrcula"/>
        <w:tblW w:w="8162" w:type="dxa"/>
        <w:tblInd w:w="534" w:type="dxa"/>
        <w:tblLook w:val="04A0" w:firstRow="1" w:lastRow="0" w:firstColumn="1" w:lastColumn="0" w:noHBand="0" w:noVBand="1"/>
      </w:tblPr>
      <w:tblGrid>
        <w:gridCol w:w="6469"/>
        <w:gridCol w:w="1693"/>
      </w:tblGrid>
      <w:tr w:rsidR="00267C47" w:rsidTr="00A3751B">
        <w:trPr>
          <w:trHeight w:val="382"/>
        </w:trPr>
        <w:tc>
          <w:tcPr>
            <w:tcW w:w="6469" w:type="dxa"/>
          </w:tcPr>
          <w:p w:rsidR="00267C47" w:rsidRDefault="00267C47" w:rsidP="00A3751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INGRESOS POR RENDIMIENTOS FINANCIEROS</w:t>
            </w:r>
          </w:p>
        </w:tc>
        <w:tc>
          <w:tcPr>
            <w:tcW w:w="1693" w:type="dxa"/>
          </w:tcPr>
          <w:p w:rsidR="00267C47" w:rsidRDefault="00267C47" w:rsidP="00A3751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$ 30,000</w:t>
            </w:r>
          </w:p>
        </w:tc>
      </w:tr>
      <w:tr w:rsidR="00267C47" w:rsidTr="00A3751B">
        <w:trPr>
          <w:trHeight w:val="362"/>
        </w:trPr>
        <w:tc>
          <w:tcPr>
            <w:tcW w:w="6469" w:type="dxa"/>
          </w:tcPr>
          <w:p w:rsidR="00267C47" w:rsidRDefault="00267C47" w:rsidP="00A3751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INGRESOS POR APLICACIÓN DE MULTAS A SUJETOS OBLIGADOS</w:t>
            </w:r>
          </w:p>
        </w:tc>
        <w:tc>
          <w:tcPr>
            <w:tcW w:w="1693" w:type="dxa"/>
          </w:tcPr>
          <w:p w:rsidR="00267C47" w:rsidRDefault="00267C47" w:rsidP="00A3751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$ 20, 000</w:t>
            </w:r>
          </w:p>
        </w:tc>
      </w:tr>
      <w:tr w:rsidR="00267C47" w:rsidTr="00A3751B">
        <w:trPr>
          <w:trHeight w:val="382"/>
        </w:trPr>
        <w:tc>
          <w:tcPr>
            <w:tcW w:w="6469" w:type="dxa"/>
          </w:tcPr>
          <w:p w:rsidR="00267C47" w:rsidRDefault="00267C47" w:rsidP="00A3751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INGRESOS POR PRESTACIÓN DE SERVICIOS CERTIFICACIONES</w:t>
            </w:r>
          </w:p>
        </w:tc>
        <w:tc>
          <w:tcPr>
            <w:tcW w:w="1693" w:type="dxa"/>
          </w:tcPr>
          <w:p w:rsidR="00267C47" w:rsidRDefault="00267C47" w:rsidP="00A3751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$ 58, 050</w:t>
            </w:r>
          </w:p>
        </w:tc>
      </w:tr>
      <w:tr w:rsidR="00267C47" w:rsidTr="00A3751B">
        <w:trPr>
          <w:trHeight w:val="362"/>
        </w:trPr>
        <w:tc>
          <w:tcPr>
            <w:tcW w:w="6469" w:type="dxa"/>
          </w:tcPr>
          <w:p w:rsidR="00267C47" w:rsidRDefault="00267C47" w:rsidP="00A3751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INGRESOS POR TRANSFERENCIAS DEL GOBIERNO DEL ESTADO</w:t>
            </w:r>
          </w:p>
        </w:tc>
        <w:tc>
          <w:tcPr>
            <w:tcW w:w="1693" w:type="dxa"/>
          </w:tcPr>
          <w:p w:rsidR="00267C47" w:rsidRDefault="00267C47" w:rsidP="00A3751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$ 26, 416, 000</w:t>
            </w:r>
          </w:p>
        </w:tc>
      </w:tr>
      <w:tr w:rsidR="00267C47" w:rsidTr="00A3751B">
        <w:trPr>
          <w:trHeight w:val="382"/>
        </w:trPr>
        <w:tc>
          <w:tcPr>
            <w:tcW w:w="6469" w:type="dxa"/>
          </w:tcPr>
          <w:p w:rsidR="00267C47" w:rsidRDefault="00267C47" w:rsidP="00A3751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INGRESOS POR ESPECIALIZACIÓN DE ARCHIVÍSTICA</w:t>
            </w:r>
          </w:p>
        </w:tc>
        <w:tc>
          <w:tcPr>
            <w:tcW w:w="1693" w:type="dxa"/>
          </w:tcPr>
          <w:p w:rsidR="00267C47" w:rsidRDefault="009E2F1E" w:rsidP="00A3751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$ 81, 6</w:t>
            </w:r>
            <w:r w:rsidR="00267C47">
              <w:rPr>
                <w:rFonts w:cs="Calibri"/>
              </w:rPr>
              <w:t>50</w:t>
            </w:r>
          </w:p>
        </w:tc>
      </w:tr>
      <w:tr w:rsidR="00267C47" w:rsidTr="00A3751B">
        <w:trPr>
          <w:trHeight w:val="382"/>
        </w:trPr>
        <w:tc>
          <w:tcPr>
            <w:tcW w:w="0" w:type="auto"/>
          </w:tcPr>
          <w:p w:rsidR="00267C47" w:rsidRDefault="00267C47" w:rsidP="00A3751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TOTAL</w:t>
            </w:r>
          </w:p>
        </w:tc>
        <w:tc>
          <w:tcPr>
            <w:tcW w:w="0" w:type="auto"/>
          </w:tcPr>
          <w:p w:rsidR="00267C47" w:rsidRDefault="009E2F1E" w:rsidP="00A3751B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$ 26, 605, 7</w:t>
            </w:r>
            <w:r w:rsidR="00267C47">
              <w:rPr>
                <w:rFonts w:cs="Calibri"/>
              </w:rPr>
              <w:t>00</w:t>
            </w:r>
          </w:p>
        </w:tc>
      </w:tr>
    </w:tbl>
    <w:p w:rsidR="009D3C4B" w:rsidRDefault="009D3C4B" w:rsidP="009D3C4B">
      <w:pPr>
        <w:spacing w:after="0" w:line="240" w:lineRule="auto"/>
        <w:jc w:val="both"/>
        <w:rPr>
          <w:iCs/>
        </w:rPr>
      </w:pPr>
    </w:p>
    <w:p w:rsidR="009D3C4B" w:rsidRDefault="009D3C4B" w:rsidP="009D3C4B">
      <w:pPr>
        <w:spacing w:after="0" w:line="240" w:lineRule="auto"/>
        <w:jc w:val="both"/>
        <w:rPr>
          <w:iCs/>
        </w:rPr>
      </w:pPr>
      <w:r>
        <w:rPr>
          <w:iCs/>
        </w:rPr>
        <w:lastRenderedPageBreak/>
        <w:t xml:space="preserve">En ese sentido, el Director del CEDAI, a través del mismo escrito, solicita </w:t>
      </w:r>
      <w:r w:rsidR="00F00314">
        <w:rPr>
          <w:iCs/>
        </w:rPr>
        <w:t xml:space="preserve">al Pleno </w:t>
      </w:r>
      <w:r>
        <w:rPr>
          <w:iCs/>
        </w:rPr>
        <w:t xml:space="preserve">que el monto estimado de ingresos por la especialización en archivística, sea distribuido en los términos siguientes: </w:t>
      </w:r>
    </w:p>
    <w:p w:rsidR="009E2F1E" w:rsidRDefault="009E2F1E" w:rsidP="00C51ABD">
      <w:pPr>
        <w:spacing w:after="0" w:line="240" w:lineRule="auto"/>
        <w:jc w:val="both"/>
        <w:rPr>
          <w:iCs/>
        </w:rPr>
      </w:pPr>
    </w:p>
    <w:p w:rsidR="009E2F1E" w:rsidRDefault="009E2F1E" w:rsidP="00C51ABD">
      <w:pPr>
        <w:spacing w:after="0" w:line="240" w:lineRule="auto"/>
        <w:jc w:val="both"/>
      </w:pPr>
    </w:p>
    <w:tbl>
      <w:tblPr>
        <w:tblW w:w="874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0"/>
        <w:gridCol w:w="5461"/>
        <w:gridCol w:w="1500"/>
      </w:tblGrid>
      <w:tr w:rsidR="00041AD9" w:rsidTr="004457CA">
        <w:trPr>
          <w:trHeight w:val="553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1AD9" w:rsidRDefault="00041AD9" w:rsidP="004457C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CÓDIGO PRESUPUESTAL</w:t>
            </w:r>
          </w:p>
        </w:tc>
        <w:tc>
          <w:tcPr>
            <w:tcW w:w="5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41AD9" w:rsidRDefault="00041AD9" w:rsidP="004457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CONCEPTOS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1AD9" w:rsidRDefault="00041AD9" w:rsidP="004457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PRESUPUESTO</w:t>
            </w:r>
          </w:p>
        </w:tc>
      </w:tr>
      <w:tr w:rsidR="00041AD9" w:rsidTr="004457CA">
        <w:trPr>
          <w:trHeight w:val="405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1AD9" w:rsidRDefault="00041AD9" w:rsidP="004457CA">
            <w:pPr>
              <w:rPr>
                <w:rFonts w:ascii="Arial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>1000-1200-121-1211</w:t>
            </w:r>
          </w:p>
        </w:tc>
        <w:tc>
          <w:tcPr>
            <w:tcW w:w="5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41AD9" w:rsidRDefault="00041AD9" w:rsidP="004457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HONORARIOS ASIMILABLES A SALARIOS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1AD9" w:rsidRDefault="00041AD9" w:rsidP="004457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$23,900.00                   </w:t>
            </w:r>
          </w:p>
        </w:tc>
      </w:tr>
      <w:tr w:rsidR="00041AD9" w:rsidTr="004457CA">
        <w:trPr>
          <w:trHeight w:val="405"/>
        </w:trPr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9B3227" w:rsidRDefault="009B3227" w:rsidP="004457C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41AD9" w:rsidRDefault="00041AD9" w:rsidP="004457C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PROGRAMA 13869</w:t>
            </w:r>
          </w:p>
          <w:p w:rsidR="009378E1" w:rsidRDefault="009378E1" w:rsidP="004457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041AD9" w:rsidRDefault="00041AD9" w:rsidP="004457CA">
            <w:pPr>
              <w:rPr>
                <w:rFonts w:ascii="Arial" w:hAnsi="Arial" w:cs="Arial"/>
                <w:sz w:val="16"/>
                <w:szCs w:val="16"/>
              </w:rPr>
            </w:pPr>
          </w:p>
          <w:p w:rsidR="009378E1" w:rsidRDefault="009378E1" w:rsidP="004457CA">
            <w:pPr>
              <w:rPr>
                <w:rFonts w:ascii="Arial" w:hAnsi="Arial" w:cs="Arial"/>
                <w:sz w:val="16"/>
                <w:szCs w:val="16"/>
              </w:rPr>
            </w:pPr>
          </w:p>
          <w:p w:rsidR="009378E1" w:rsidRDefault="009378E1" w:rsidP="004457C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041AD9" w:rsidRDefault="00041AD9" w:rsidP="004457CA">
            <w:pPr>
              <w:rPr>
                <w:sz w:val="20"/>
                <w:szCs w:val="20"/>
                <w:lang w:eastAsia="es-MX"/>
              </w:rPr>
            </w:pPr>
          </w:p>
        </w:tc>
      </w:tr>
      <w:tr w:rsidR="00041AD9" w:rsidTr="004457CA">
        <w:trPr>
          <w:trHeight w:val="405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1AD9" w:rsidRDefault="00041AD9" w:rsidP="004457CA">
            <w:pPr>
              <w:jc w:val="both"/>
              <w:rPr>
                <w:rFonts w:ascii="Arial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CÓDIGO PRESUPUESTAL</w:t>
            </w:r>
          </w:p>
        </w:tc>
        <w:tc>
          <w:tcPr>
            <w:tcW w:w="5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41AD9" w:rsidRDefault="00041AD9" w:rsidP="004457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CONCEPTOS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1AD9" w:rsidRDefault="00041AD9" w:rsidP="004457CA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PRESUPUESTO</w:t>
            </w:r>
          </w:p>
        </w:tc>
      </w:tr>
      <w:tr w:rsidR="00041AD9" w:rsidTr="004457CA">
        <w:trPr>
          <w:trHeight w:val="696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1AD9" w:rsidRDefault="00041AD9" w:rsidP="004457CA">
            <w:pPr>
              <w:rPr>
                <w:rFonts w:ascii="Arial" w:hAnsi="Arial" w:cs="Arial"/>
                <w:sz w:val="16"/>
                <w:szCs w:val="16"/>
                <w:lang w:val="es-ES" w:eastAsia="ar-SA"/>
              </w:rPr>
            </w:pPr>
            <w:r>
              <w:rPr>
                <w:rFonts w:ascii="Arial" w:hAnsi="Arial" w:cs="Arial"/>
                <w:sz w:val="16"/>
                <w:szCs w:val="16"/>
              </w:rPr>
              <w:t>2000-2200-221-2211</w:t>
            </w:r>
          </w:p>
        </w:tc>
        <w:tc>
          <w:tcPr>
            <w:tcW w:w="5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41AD9" w:rsidRDefault="00041AD9" w:rsidP="004457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PRODUCTOS ALIMENTICIOS PARA PERSONAS DERIVADO DE LA PRESTACIÓN DE SERVICIOS PÚBLICOS EN UNIDADES DE SALUD, EDUCATIVAS, DE READAPTACIÓN SOCIAL Y OTRAS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1AD9" w:rsidRDefault="00041AD9" w:rsidP="004457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$20,000.00 </w:t>
            </w:r>
          </w:p>
        </w:tc>
      </w:tr>
      <w:tr w:rsidR="00041AD9" w:rsidTr="004457CA">
        <w:trPr>
          <w:trHeight w:val="45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1AD9" w:rsidRDefault="00041AD9" w:rsidP="004457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3000-3300-331-3311</w:t>
            </w:r>
          </w:p>
        </w:tc>
        <w:tc>
          <w:tcPr>
            <w:tcW w:w="5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41AD9" w:rsidRDefault="00041AD9" w:rsidP="004457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SERVICIOS LEGALES, DE CONTABILIDAD, AUDITORÍA Y RELACIONADOS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41AD9" w:rsidRDefault="00041AD9" w:rsidP="004457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$3,100.00         </w:t>
            </w:r>
          </w:p>
        </w:tc>
      </w:tr>
      <w:tr w:rsidR="00041AD9" w:rsidTr="004457CA">
        <w:trPr>
          <w:trHeight w:val="678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1AD9" w:rsidRDefault="00041AD9" w:rsidP="004457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3000-3300-336-3361</w:t>
            </w:r>
          </w:p>
        </w:tc>
        <w:tc>
          <w:tcPr>
            <w:tcW w:w="5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41AD9" w:rsidRDefault="00041AD9" w:rsidP="004457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IMPRESIÓN Y ELABORACIÓN DE MATERIAL INFORMATIVO DERIVADO DE LA OPERACIÓN Y ADMINISTRACIÓN DE LAS DEPENDENCIAS Y ENTIDADES DE LA ADMINISTRACIÓN PÚBLICA ESTATAL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1AD9" w:rsidRDefault="00041AD9" w:rsidP="004457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$3,000.00 </w:t>
            </w:r>
          </w:p>
        </w:tc>
      </w:tr>
      <w:tr w:rsidR="00041AD9" w:rsidTr="004457CA">
        <w:trPr>
          <w:trHeight w:val="349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1AD9" w:rsidRDefault="00041AD9" w:rsidP="004457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3000-3700-371-3711</w:t>
            </w:r>
          </w:p>
        </w:tc>
        <w:tc>
          <w:tcPr>
            <w:tcW w:w="5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41AD9" w:rsidRPr="00F00314" w:rsidRDefault="00041AD9" w:rsidP="00F0031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F00314">
              <w:rPr>
                <w:rFonts w:ascii="Arial" w:hAnsi="Arial" w:cs="Arial"/>
                <w:sz w:val="16"/>
                <w:szCs w:val="16"/>
                <w:lang w:eastAsia="es-MX"/>
              </w:rPr>
              <w:t>PASAJES NACIONALES AÉREOS PARA SERVIDORES PÚBLICOS DE MANDO</w:t>
            </w:r>
            <w:r w:rsidR="00F00314">
              <w:rPr>
                <w:rFonts w:ascii="Arial" w:hAnsi="Arial" w:cs="Arial"/>
                <w:sz w:val="16"/>
                <w:szCs w:val="16"/>
                <w:lang w:eastAsia="es-MX"/>
              </w:rPr>
              <w:t xml:space="preserve"> </w:t>
            </w:r>
            <w:r w:rsidRPr="00F00314">
              <w:rPr>
                <w:rFonts w:ascii="Arial" w:hAnsi="Arial" w:cs="Arial"/>
                <w:sz w:val="16"/>
                <w:szCs w:val="16"/>
                <w:lang w:eastAsia="es-MX"/>
              </w:rPr>
              <w:t>EN EL DESEMPEÑO DE COMISIÓN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1AD9" w:rsidRDefault="00041AD9" w:rsidP="004457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$9,800.00</w:t>
            </w:r>
          </w:p>
        </w:tc>
      </w:tr>
      <w:tr w:rsidR="00041AD9" w:rsidTr="004457CA">
        <w:trPr>
          <w:trHeight w:val="349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1AD9" w:rsidRDefault="00041AD9" w:rsidP="004457C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041AD9" w:rsidRPr="00F00314" w:rsidRDefault="00F00314" w:rsidP="00F00314">
            <w:pPr>
              <w:jc w:val="right"/>
              <w:rPr>
                <w:b/>
                <w:sz w:val="20"/>
                <w:szCs w:val="20"/>
                <w:lang w:eastAsia="es-MX"/>
              </w:rPr>
            </w:pPr>
            <w:r>
              <w:rPr>
                <w:b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41AD9" w:rsidRDefault="00041AD9" w:rsidP="004457CA">
            <w:pPr>
              <w:rPr>
                <w:rFonts w:ascii="Arial" w:hAnsi="Arial" w:cs="Arial"/>
                <w:b/>
                <w:bCs/>
                <w:sz w:val="16"/>
                <w:szCs w:val="16"/>
                <w:lang w:val="es-ES" w:eastAsia="ar-SA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$59,800.00</w:t>
            </w:r>
          </w:p>
        </w:tc>
      </w:tr>
    </w:tbl>
    <w:p w:rsidR="00F2566A" w:rsidRDefault="00F2566A" w:rsidP="003403D7">
      <w:pPr>
        <w:spacing w:after="0" w:line="240" w:lineRule="auto"/>
        <w:jc w:val="both"/>
      </w:pPr>
    </w:p>
    <w:p w:rsidR="00650FA5" w:rsidRDefault="00650FA5" w:rsidP="00A40AA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222222"/>
          <w:lang w:eastAsia="es-MX"/>
        </w:rPr>
      </w:pPr>
    </w:p>
    <w:p w:rsidR="00180856" w:rsidRDefault="00650FA5" w:rsidP="002D2C4D">
      <w:pPr>
        <w:spacing w:after="0"/>
        <w:jc w:val="both"/>
      </w:pPr>
      <w:r w:rsidRPr="002D2C4D">
        <w:t xml:space="preserve">Por lo anteriormente expuesto y fundado, </w:t>
      </w:r>
      <w:r w:rsidR="002D2C4D" w:rsidRPr="002D2C4D">
        <w:t xml:space="preserve">y después de un análisis minucioso realizado a la constancia recibida, </w:t>
      </w:r>
      <w:r w:rsidRPr="002D2C4D">
        <w:t>el Pleno del Instituto Estatal de Transparencia, Acceso a la Información Pública y Protección de Datos Personales, emite el siguiente:</w:t>
      </w:r>
    </w:p>
    <w:p w:rsidR="003403D7" w:rsidRDefault="003403D7" w:rsidP="003403D7">
      <w:pPr>
        <w:spacing w:after="0" w:line="240" w:lineRule="auto"/>
        <w:jc w:val="both"/>
      </w:pPr>
    </w:p>
    <w:p w:rsidR="009378E1" w:rsidRPr="003403D7" w:rsidRDefault="009378E1" w:rsidP="003403D7">
      <w:pPr>
        <w:spacing w:after="0" w:line="240" w:lineRule="auto"/>
        <w:jc w:val="both"/>
      </w:pPr>
    </w:p>
    <w:p w:rsidR="0070462F" w:rsidRDefault="0070462F" w:rsidP="003403D7">
      <w:pPr>
        <w:spacing w:after="0" w:line="240" w:lineRule="auto"/>
        <w:jc w:val="center"/>
        <w:rPr>
          <w:b/>
          <w:spacing w:val="20"/>
        </w:rPr>
      </w:pPr>
      <w:r w:rsidRPr="007C4A19">
        <w:rPr>
          <w:b/>
          <w:spacing w:val="20"/>
        </w:rPr>
        <w:t>ACUERDO</w:t>
      </w:r>
    </w:p>
    <w:p w:rsidR="009B3227" w:rsidRDefault="009B3227" w:rsidP="003403D7">
      <w:pPr>
        <w:spacing w:after="0" w:line="240" w:lineRule="auto"/>
        <w:jc w:val="center"/>
        <w:rPr>
          <w:b/>
          <w:spacing w:val="20"/>
        </w:rPr>
      </w:pPr>
    </w:p>
    <w:p w:rsidR="003403D7" w:rsidRPr="007C4A19" w:rsidRDefault="003403D7" w:rsidP="003403D7">
      <w:pPr>
        <w:spacing w:after="0" w:line="240" w:lineRule="auto"/>
        <w:jc w:val="center"/>
      </w:pPr>
    </w:p>
    <w:p w:rsidR="00C2641A" w:rsidRPr="00F00314" w:rsidRDefault="0070462F" w:rsidP="003403D7">
      <w:pPr>
        <w:spacing w:after="0" w:line="240" w:lineRule="auto"/>
        <w:jc w:val="both"/>
      </w:pPr>
      <w:r w:rsidRPr="007C4A19">
        <w:rPr>
          <w:b/>
        </w:rPr>
        <w:t>PRIMERO.-</w:t>
      </w:r>
      <w:r w:rsidRPr="007C4A19">
        <w:t xml:space="preserve"> Se procede </w:t>
      </w:r>
      <w:r w:rsidR="001771C3" w:rsidRPr="007C4A19">
        <w:t xml:space="preserve">a autorizar </w:t>
      </w:r>
      <w:r w:rsidR="00041AD9">
        <w:rPr>
          <w:iCs/>
        </w:rPr>
        <w:t>la ampliación de ingresos presupuestales derivados de cuotas de inscripción por la Especialización de A</w:t>
      </w:r>
      <w:r w:rsidR="00041AD9" w:rsidRPr="007C4A19">
        <w:rPr>
          <w:iCs/>
        </w:rPr>
        <w:t>rchivos</w:t>
      </w:r>
      <w:r w:rsidRPr="007C4A19">
        <w:t>,</w:t>
      </w:r>
      <w:r w:rsidR="009B3227">
        <w:t xml:space="preserve"> así como la ampliación al presupuesto de egresos autorizado 2016</w:t>
      </w:r>
      <w:r w:rsidR="002D2C4D">
        <w:t xml:space="preserve"> y distribuirlo en las partidas presupuestales propuestas</w:t>
      </w:r>
      <w:r w:rsidRPr="007C4A19">
        <w:t xml:space="preserve"> en</w:t>
      </w:r>
      <w:r w:rsidR="002D2C4D">
        <w:t xml:space="preserve"> los términos manifestados</w:t>
      </w:r>
      <w:r w:rsidR="004B7219" w:rsidRPr="007C4A19">
        <w:t xml:space="preserve"> por la Unidad Administrativa responsable</w:t>
      </w:r>
      <w:r w:rsidRPr="007C4A19">
        <w:t xml:space="preserve"> del </w:t>
      </w:r>
      <w:r w:rsidR="001771C3" w:rsidRPr="007C4A19">
        <w:t>ingreso</w:t>
      </w:r>
      <w:r w:rsidR="004B7219" w:rsidRPr="007C4A19">
        <w:t>, anteriormente citada</w:t>
      </w:r>
      <w:r w:rsidRPr="007C4A19">
        <w:t>.</w:t>
      </w:r>
    </w:p>
    <w:p w:rsidR="009D3C4B" w:rsidRDefault="009D3C4B" w:rsidP="003403D7">
      <w:pPr>
        <w:spacing w:after="0" w:line="240" w:lineRule="auto"/>
        <w:jc w:val="both"/>
        <w:rPr>
          <w:b/>
        </w:rPr>
      </w:pPr>
    </w:p>
    <w:p w:rsidR="0070462F" w:rsidRPr="00CE0C1B" w:rsidRDefault="0070462F" w:rsidP="003403D7">
      <w:pPr>
        <w:spacing w:after="0" w:line="240" w:lineRule="auto"/>
        <w:jc w:val="both"/>
        <w:rPr>
          <w:rFonts w:cstheme="minorHAnsi"/>
        </w:rPr>
      </w:pPr>
      <w:r w:rsidRPr="00CE0C1B">
        <w:rPr>
          <w:rFonts w:cstheme="minorHAnsi"/>
          <w:b/>
        </w:rPr>
        <w:lastRenderedPageBreak/>
        <w:t xml:space="preserve">SEGUNDO.- </w:t>
      </w:r>
      <w:r w:rsidRPr="00CE0C1B">
        <w:rPr>
          <w:rFonts w:cstheme="minorHAnsi"/>
        </w:rPr>
        <w:t xml:space="preserve">Remítase a la C.P. Virginia Rosalía Angulo Vázquez, Directora de Administración y Finanzas del </w:t>
      </w:r>
      <w:r w:rsidR="005106A5" w:rsidRPr="00CE0C1B">
        <w:rPr>
          <w:rFonts w:cstheme="minorHAnsi"/>
        </w:rPr>
        <w:t xml:space="preserve">Instituto Estatal de Transparencia, Acceso a la Información Pública y Protección de Datos Personales, </w:t>
      </w:r>
      <w:r w:rsidRPr="00CE0C1B">
        <w:rPr>
          <w:rFonts w:cstheme="minorHAnsi"/>
        </w:rPr>
        <w:t>copia</w:t>
      </w:r>
      <w:r w:rsidR="00222050" w:rsidRPr="00CE0C1B">
        <w:rPr>
          <w:rFonts w:cstheme="minorHAnsi"/>
        </w:rPr>
        <w:t xml:space="preserve"> del presente</w:t>
      </w:r>
      <w:r w:rsidRPr="00CE0C1B">
        <w:rPr>
          <w:rFonts w:cstheme="minorHAnsi"/>
        </w:rPr>
        <w:t>, lo anterior</w:t>
      </w:r>
      <w:r w:rsidR="00DF440E" w:rsidRPr="00CE0C1B">
        <w:rPr>
          <w:rFonts w:cstheme="minorHAnsi"/>
        </w:rPr>
        <w:t>,</w:t>
      </w:r>
      <w:r w:rsidRPr="00CE0C1B">
        <w:rPr>
          <w:rFonts w:cstheme="minorHAnsi"/>
        </w:rPr>
        <w:t xml:space="preserve"> para que en el ejercicio de sus funciones se sirva en dar trámite oportuno al presente acuerdo.</w:t>
      </w:r>
    </w:p>
    <w:p w:rsidR="003403D7" w:rsidRPr="00CE0C1B" w:rsidRDefault="003403D7" w:rsidP="003403D7">
      <w:pPr>
        <w:spacing w:after="0" w:line="240" w:lineRule="auto"/>
        <w:jc w:val="both"/>
        <w:rPr>
          <w:rFonts w:cstheme="minorHAnsi"/>
        </w:rPr>
      </w:pPr>
    </w:p>
    <w:p w:rsidR="003403D7" w:rsidRPr="007C4A19" w:rsidRDefault="003403D7" w:rsidP="003403D7">
      <w:pPr>
        <w:spacing w:after="0" w:line="240" w:lineRule="auto"/>
        <w:jc w:val="both"/>
      </w:pPr>
    </w:p>
    <w:p w:rsidR="00874401" w:rsidRPr="007C4A19" w:rsidRDefault="00335EC4" w:rsidP="003403D7">
      <w:pPr>
        <w:spacing w:after="0" w:line="240" w:lineRule="auto"/>
        <w:jc w:val="both"/>
      </w:pPr>
      <w:r w:rsidRPr="007C4A19">
        <w:t xml:space="preserve">Así lo acordó y firma el </w:t>
      </w:r>
      <w:r w:rsidR="00617C85" w:rsidRPr="007C4A19">
        <w:t>Pleno</w:t>
      </w:r>
      <w:r w:rsidRPr="007C4A19">
        <w:t xml:space="preserve"> del Instituto</w:t>
      </w:r>
      <w:r w:rsidR="00877C57" w:rsidRPr="007C4A19">
        <w:t>:</w:t>
      </w:r>
    </w:p>
    <w:p w:rsidR="004D3044" w:rsidRDefault="004D3044" w:rsidP="003403D7">
      <w:pPr>
        <w:spacing w:after="0" w:line="240" w:lineRule="auto"/>
        <w:jc w:val="both"/>
      </w:pPr>
    </w:p>
    <w:p w:rsidR="009378E1" w:rsidRPr="007C4A19" w:rsidRDefault="009378E1" w:rsidP="003403D7">
      <w:pPr>
        <w:spacing w:after="0" w:line="240" w:lineRule="auto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8291C" w:rsidRPr="00104CF1" w:rsidTr="00CB3BD6">
        <w:tc>
          <w:tcPr>
            <w:tcW w:w="8828" w:type="dxa"/>
            <w:gridSpan w:val="2"/>
            <w:shd w:val="clear" w:color="auto" w:fill="auto"/>
          </w:tcPr>
          <w:p w:rsidR="0078291C" w:rsidRPr="00104CF1" w:rsidRDefault="0078291C" w:rsidP="00CB3BD6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78291C" w:rsidRPr="00104CF1" w:rsidRDefault="0078291C" w:rsidP="00CB3BD6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104CF1">
              <w:rPr>
                <w:rFonts w:cs="Arial"/>
                <w:b/>
                <w:sz w:val="24"/>
                <w:szCs w:val="24"/>
              </w:rPr>
              <w:t>(RÚBRICA)</w:t>
            </w:r>
          </w:p>
          <w:p w:rsidR="0078291C" w:rsidRPr="00104CF1" w:rsidRDefault="0078291C" w:rsidP="00CB3BD6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104CF1">
              <w:rPr>
                <w:rFonts w:cs="Arial"/>
                <w:b/>
                <w:bCs/>
                <w:sz w:val="24"/>
                <w:szCs w:val="24"/>
              </w:rPr>
              <w:t>LICDA. SUSANA AGUILAR COVARRUBIAS</w:t>
            </w:r>
          </w:p>
          <w:p w:rsidR="0078291C" w:rsidRPr="00104CF1" w:rsidRDefault="0078291C" w:rsidP="00CB3BD6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104CF1">
              <w:rPr>
                <w:rFonts w:cs="Arial"/>
                <w:b/>
                <w:sz w:val="24"/>
                <w:szCs w:val="24"/>
              </w:rPr>
              <w:t>COMISIONADA PRESIDENTA</w:t>
            </w:r>
          </w:p>
        </w:tc>
      </w:tr>
      <w:tr w:rsidR="0078291C" w:rsidRPr="00104CF1" w:rsidTr="00CB3BD6">
        <w:tc>
          <w:tcPr>
            <w:tcW w:w="4414" w:type="dxa"/>
            <w:shd w:val="clear" w:color="auto" w:fill="auto"/>
          </w:tcPr>
          <w:p w:rsidR="0078291C" w:rsidRPr="00104CF1" w:rsidRDefault="0078291C" w:rsidP="00CB3BD6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  <w:p w:rsidR="0078291C" w:rsidRDefault="0078291C" w:rsidP="00CB3BD6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  <w:p w:rsidR="0078291C" w:rsidRPr="00104CF1" w:rsidRDefault="0078291C" w:rsidP="00CB3BD6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  <w:p w:rsidR="0078291C" w:rsidRPr="00104CF1" w:rsidRDefault="0078291C" w:rsidP="00CB3BD6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104CF1">
              <w:rPr>
                <w:rFonts w:cs="Arial"/>
                <w:b/>
                <w:sz w:val="24"/>
                <w:szCs w:val="24"/>
              </w:rPr>
              <w:t>(RÚBRICA)</w:t>
            </w:r>
          </w:p>
          <w:p w:rsidR="0078291C" w:rsidRPr="00104CF1" w:rsidRDefault="0078291C" w:rsidP="00CB3BD6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104CF1">
              <w:rPr>
                <w:rFonts w:cs="Arial"/>
                <w:b/>
                <w:sz w:val="24"/>
                <w:szCs w:val="24"/>
              </w:rPr>
              <w:t>ING. VICTOR MANUEL MAY VERA</w:t>
            </w:r>
          </w:p>
          <w:p w:rsidR="0078291C" w:rsidRPr="00104CF1" w:rsidRDefault="0078291C" w:rsidP="00CB3BD6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104CF1">
              <w:rPr>
                <w:rFonts w:cs="Arial"/>
                <w:b/>
                <w:bCs/>
                <w:sz w:val="24"/>
                <w:szCs w:val="24"/>
              </w:rPr>
              <w:t>COMISIONADO</w:t>
            </w:r>
          </w:p>
        </w:tc>
        <w:tc>
          <w:tcPr>
            <w:tcW w:w="4414" w:type="dxa"/>
            <w:shd w:val="clear" w:color="auto" w:fill="auto"/>
          </w:tcPr>
          <w:p w:rsidR="0078291C" w:rsidRPr="00104CF1" w:rsidRDefault="0078291C" w:rsidP="00CB3BD6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  <w:p w:rsidR="0078291C" w:rsidRDefault="0078291C" w:rsidP="00CB3BD6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  <w:p w:rsidR="0078291C" w:rsidRPr="00104CF1" w:rsidRDefault="0078291C" w:rsidP="00CB3BD6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78291C" w:rsidRPr="00104CF1" w:rsidRDefault="0078291C" w:rsidP="00CB3BD6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104CF1">
              <w:rPr>
                <w:rFonts w:cs="Arial"/>
                <w:b/>
                <w:sz w:val="24"/>
                <w:szCs w:val="24"/>
              </w:rPr>
              <w:t>(RÚBRICA)</w:t>
            </w:r>
          </w:p>
          <w:p w:rsidR="0078291C" w:rsidRPr="00104CF1" w:rsidRDefault="0078291C" w:rsidP="00CB3BD6">
            <w:pPr>
              <w:spacing w:after="0" w:line="240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104CF1">
              <w:rPr>
                <w:rFonts w:cs="Arial"/>
                <w:b/>
                <w:bCs/>
                <w:sz w:val="24"/>
                <w:szCs w:val="24"/>
              </w:rPr>
              <w:t>LICDA. MARÍA EUGENIA SANSORES RUZ</w:t>
            </w:r>
          </w:p>
          <w:p w:rsidR="0078291C" w:rsidRPr="00104CF1" w:rsidRDefault="0078291C" w:rsidP="00CB3BD6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104CF1">
              <w:rPr>
                <w:rFonts w:cs="Arial"/>
                <w:b/>
                <w:bCs/>
                <w:sz w:val="24"/>
                <w:szCs w:val="24"/>
              </w:rPr>
              <w:t>COMISIONADA</w:t>
            </w:r>
          </w:p>
        </w:tc>
      </w:tr>
    </w:tbl>
    <w:p w:rsidR="00874401" w:rsidRPr="007C4A19" w:rsidRDefault="00874401" w:rsidP="003403D7">
      <w:pPr>
        <w:spacing w:after="0" w:line="240" w:lineRule="auto"/>
        <w:jc w:val="center"/>
        <w:rPr>
          <w:rFonts w:cs="Arial"/>
          <w:b/>
        </w:rPr>
      </w:pPr>
    </w:p>
    <w:p w:rsidR="00874401" w:rsidRPr="007C4A19" w:rsidRDefault="00874401" w:rsidP="003403D7">
      <w:pPr>
        <w:spacing w:after="0" w:line="240" w:lineRule="auto"/>
      </w:pPr>
    </w:p>
    <w:p w:rsidR="0086649F" w:rsidRPr="007C4A19" w:rsidRDefault="0086649F" w:rsidP="003403D7">
      <w:pPr>
        <w:spacing w:after="0" w:line="240" w:lineRule="auto"/>
      </w:pPr>
    </w:p>
    <w:p w:rsidR="0086649F" w:rsidRPr="007C4A19" w:rsidRDefault="0086649F" w:rsidP="003403D7">
      <w:pPr>
        <w:spacing w:after="0" w:line="240" w:lineRule="auto"/>
      </w:pPr>
    </w:p>
    <w:p w:rsidR="0086649F" w:rsidRPr="007C4A19" w:rsidRDefault="0086649F" w:rsidP="003403D7">
      <w:pPr>
        <w:spacing w:after="0" w:line="240" w:lineRule="auto"/>
      </w:pPr>
    </w:p>
    <w:p w:rsidR="0086649F" w:rsidRPr="007C4A19" w:rsidRDefault="0086649F" w:rsidP="003403D7">
      <w:pPr>
        <w:spacing w:after="0" w:line="240" w:lineRule="auto"/>
      </w:pPr>
    </w:p>
    <w:p w:rsidR="0086649F" w:rsidRPr="007C4A19" w:rsidRDefault="0086649F" w:rsidP="003403D7">
      <w:pPr>
        <w:spacing w:after="0" w:line="240" w:lineRule="auto"/>
      </w:pPr>
    </w:p>
    <w:sectPr w:rsidR="0086649F" w:rsidRPr="007C4A19">
      <w:headerReference w:type="default" r:id="rId9"/>
      <w:footerReference w:type="default" r:id="rId10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044" w:rsidRDefault="004D3044" w:rsidP="004D3044">
      <w:pPr>
        <w:spacing w:after="0" w:line="240" w:lineRule="auto"/>
      </w:pPr>
      <w:r>
        <w:separator/>
      </w:r>
    </w:p>
  </w:endnote>
  <w:endnote w:type="continuationSeparator" w:id="0">
    <w:p w:rsidR="004D3044" w:rsidRDefault="004D3044" w:rsidP="004D3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26947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D4C16" w:rsidRDefault="00DD4C16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8291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8291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D4C16" w:rsidRDefault="00DD4C1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044" w:rsidRDefault="004D3044" w:rsidP="004D3044">
      <w:pPr>
        <w:spacing w:after="0" w:line="240" w:lineRule="auto"/>
      </w:pPr>
      <w:r>
        <w:separator/>
      </w:r>
    </w:p>
  </w:footnote>
  <w:footnote w:type="continuationSeparator" w:id="0">
    <w:p w:rsidR="004D3044" w:rsidRDefault="004D3044" w:rsidP="004D3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044" w:rsidRPr="00DD4C16" w:rsidRDefault="004D3044">
    <w:pPr>
      <w:pStyle w:val="Encabezado"/>
      <w:rPr>
        <w:sz w:val="18"/>
        <w:szCs w:val="18"/>
      </w:rPr>
    </w:pPr>
    <w:r w:rsidRPr="00DD4C16">
      <w:rPr>
        <w:noProof/>
        <w:sz w:val="18"/>
        <w:szCs w:val="18"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-146685</wp:posOffset>
          </wp:positionH>
          <wp:positionV relativeFrom="paragraph">
            <wp:posOffset>-120650</wp:posOffset>
          </wp:positionV>
          <wp:extent cx="6045096" cy="1017917"/>
          <wp:effectExtent l="0" t="0" r="0" b="0"/>
          <wp:wrapTight wrapText="bothSides">
            <wp:wrapPolygon edited="0">
              <wp:start x="0" y="0"/>
              <wp:lineTo x="0" y="21021"/>
              <wp:lineTo x="21512" y="21021"/>
              <wp:lineTo x="21512" y="0"/>
              <wp:lineTo x="0" y="0"/>
            </wp:wrapPolygon>
          </wp:wrapTight>
          <wp:docPr id="1" name="Imagen 1" descr="\\NASINAIP2\ApoyoPlenario\CAPAA2016\LOGOS\logos 30Junio16\LogoINAI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ASINAIP2\ApoyoPlenario\CAPAA2016\LOGOS\logos 30Junio16\LogoINAIP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096" cy="1017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21D07"/>
    <w:multiLevelType w:val="hybridMultilevel"/>
    <w:tmpl w:val="B148C0DA"/>
    <w:lvl w:ilvl="0" w:tplc="F83CC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2157E"/>
    <w:multiLevelType w:val="hybridMultilevel"/>
    <w:tmpl w:val="486EF40A"/>
    <w:lvl w:ilvl="0" w:tplc="F83CC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08D"/>
    <w:rsid w:val="000133FD"/>
    <w:rsid w:val="000251B3"/>
    <w:rsid w:val="00041AD9"/>
    <w:rsid w:val="000611A1"/>
    <w:rsid w:val="000658CA"/>
    <w:rsid w:val="000C45EB"/>
    <w:rsid w:val="000D14E5"/>
    <w:rsid w:val="000F3BB3"/>
    <w:rsid w:val="000F6237"/>
    <w:rsid w:val="00121B47"/>
    <w:rsid w:val="0014196D"/>
    <w:rsid w:val="001771C3"/>
    <w:rsid w:val="00180856"/>
    <w:rsid w:val="00195959"/>
    <w:rsid w:val="001A1DB4"/>
    <w:rsid w:val="001B2ECE"/>
    <w:rsid w:val="001B6B69"/>
    <w:rsid w:val="001E51CA"/>
    <w:rsid w:val="00222050"/>
    <w:rsid w:val="002253CB"/>
    <w:rsid w:val="00250578"/>
    <w:rsid w:val="00267C47"/>
    <w:rsid w:val="0027208D"/>
    <w:rsid w:val="002A2FA0"/>
    <w:rsid w:val="002C1685"/>
    <w:rsid w:val="002D2C4D"/>
    <w:rsid w:val="002F7DA4"/>
    <w:rsid w:val="00335EC4"/>
    <w:rsid w:val="003403D7"/>
    <w:rsid w:val="0037755D"/>
    <w:rsid w:val="003874C2"/>
    <w:rsid w:val="003B4FF1"/>
    <w:rsid w:val="003B639B"/>
    <w:rsid w:val="00402A71"/>
    <w:rsid w:val="004430D7"/>
    <w:rsid w:val="00470320"/>
    <w:rsid w:val="00474717"/>
    <w:rsid w:val="004B1CFD"/>
    <w:rsid w:val="004B7219"/>
    <w:rsid w:val="004D3044"/>
    <w:rsid w:val="004F394A"/>
    <w:rsid w:val="004F7B98"/>
    <w:rsid w:val="005106A5"/>
    <w:rsid w:val="0060542E"/>
    <w:rsid w:val="0061746A"/>
    <w:rsid w:val="00617C85"/>
    <w:rsid w:val="00650FA5"/>
    <w:rsid w:val="0068414C"/>
    <w:rsid w:val="006D40AA"/>
    <w:rsid w:val="006E503D"/>
    <w:rsid w:val="006E51D2"/>
    <w:rsid w:val="0070462F"/>
    <w:rsid w:val="00704F7B"/>
    <w:rsid w:val="0078291C"/>
    <w:rsid w:val="00792AFE"/>
    <w:rsid w:val="007B5104"/>
    <w:rsid w:val="007C4A19"/>
    <w:rsid w:val="007D019D"/>
    <w:rsid w:val="007D1EFD"/>
    <w:rsid w:val="00811BD3"/>
    <w:rsid w:val="008138EF"/>
    <w:rsid w:val="00823CE0"/>
    <w:rsid w:val="00837E42"/>
    <w:rsid w:val="0085041A"/>
    <w:rsid w:val="00860AAD"/>
    <w:rsid w:val="0086649F"/>
    <w:rsid w:val="00874401"/>
    <w:rsid w:val="00877C57"/>
    <w:rsid w:val="00882BF4"/>
    <w:rsid w:val="00892C81"/>
    <w:rsid w:val="008C6C7A"/>
    <w:rsid w:val="008E798C"/>
    <w:rsid w:val="008F622B"/>
    <w:rsid w:val="009206A7"/>
    <w:rsid w:val="009378E1"/>
    <w:rsid w:val="009B25B4"/>
    <w:rsid w:val="009B3227"/>
    <w:rsid w:val="009C2AAE"/>
    <w:rsid w:val="009D3C4B"/>
    <w:rsid w:val="009E2F1E"/>
    <w:rsid w:val="00A02741"/>
    <w:rsid w:val="00A10859"/>
    <w:rsid w:val="00A31ED0"/>
    <w:rsid w:val="00A37FF8"/>
    <w:rsid w:val="00A40AA6"/>
    <w:rsid w:val="00A5615E"/>
    <w:rsid w:val="00A67F45"/>
    <w:rsid w:val="00AD2727"/>
    <w:rsid w:val="00B70343"/>
    <w:rsid w:val="00BD4753"/>
    <w:rsid w:val="00BE00E8"/>
    <w:rsid w:val="00C00AA1"/>
    <w:rsid w:val="00C21697"/>
    <w:rsid w:val="00C262D6"/>
    <w:rsid w:val="00C2641A"/>
    <w:rsid w:val="00C51ABD"/>
    <w:rsid w:val="00CB216A"/>
    <w:rsid w:val="00CC2C81"/>
    <w:rsid w:val="00CE0C1B"/>
    <w:rsid w:val="00CE532C"/>
    <w:rsid w:val="00D02924"/>
    <w:rsid w:val="00D476B4"/>
    <w:rsid w:val="00D77B93"/>
    <w:rsid w:val="00D8791E"/>
    <w:rsid w:val="00D909B8"/>
    <w:rsid w:val="00D93BB7"/>
    <w:rsid w:val="00DB4C34"/>
    <w:rsid w:val="00DC11F1"/>
    <w:rsid w:val="00DD1628"/>
    <w:rsid w:val="00DD4C16"/>
    <w:rsid w:val="00DF11FA"/>
    <w:rsid w:val="00DF440E"/>
    <w:rsid w:val="00E22809"/>
    <w:rsid w:val="00E27DDD"/>
    <w:rsid w:val="00E94408"/>
    <w:rsid w:val="00E97937"/>
    <w:rsid w:val="00EB417C"/>
    <w:rsid w:val="00ED4306"/>
    <w:rsid w:val="00F00314"/>
    <w:rsid w:val="00F04F4B"/>
    <w:rsid w:val="00F11C02"/>
    <w:rsid w:val="00F148A8"/>
    <w:rsid w:val="00F2566A"/>
    <w:rsid w:val="00F300F0"/>
    <w:rsid w:val="00F34418"/>
    <w:rsid w:val="00F95C66"/>
    <w:rsid w:val="00FC5BC5"/>
    <w:rsid w:val="00FE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0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27208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77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7C5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617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30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4D30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3044"/>
  </w:style>
  <w:style w:type="paragraph" w:styleId="Piedepgina">
    <w:name w:val="footer"/>
    <w:basedOn w:val="Normal"/>
    <w:link w:val="PiedepginaCar"/>
    <w:uiPriority w:val="99"/>
    <w:unhideWhenUsed/>
    <w:rsid w:val="004D30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3044"/>
  </w:style>
  <w:style w:type="character" w:customStyle="1" w:styleId="apple-converted-space">
    <w:name w:val="apple-converted-space"/>
    <w:basedOn w:val="Fuentedeprrafopredeter"/>
    <w:rsid w:val="00792A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0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27208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77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7C5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617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30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4D30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3044"/>
  </w:style>
  <w:style w:type="paragraph" w:styleId="Piedepgina">
    <w:name w:val="footer"/>
    <w:basedOn w:val="Normal"/>
    <w:link w:val="PiedepginaCar"/>
    <w:uiPriority w:val="99"/>
    <w:unhideWhenUsed/>
    <w:rsid w:val="004D30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3044"/>
  </w:style>
  <w:style w:type="character" w:customStyle="1" w:styleId="apple-converted-space">
    <w:name w:val="apple-converted-space"/>
    <w:basedOn w:val="Fuentedeprrafopredeter"/>
    <w:rsid w:val="00792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8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47130-3E21-41F4-A2ED-0971C5C9F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5</Pages>
  <Words>1459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Apoyo Plenario</dc:creator>
  <cp:keywords/>
  <dc:description/>
  <cp:lastModifiedBy>Apoyo Plenario</cp:lastModifiedBy>
  <cp:revision>53</cp:revision>
  <cp:lastPrinted>2016-10-11T17:17:00Z</cp:lastPrinted>
  <dcterms:created xsi:type="dcterms:W3CDTF">2016-05-17T15:08:00Z</dcterms:created>
  <dcterms:modified xsi:type="dcterms:W3CDTF">2016-12-12T16:48:00Z</dcterms:modified>
</cp:coreProperties>
</file>