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0C" w:rsidRPr="00615AA9" w:rsidRDefault="0027208D" w:rsidP="00615AA9">
      <w:pPr>
        <w:spacing w:after="0"/>
        <w:jc w:val="center"/>
        <w:rPr>
          <w:b/>
          <w:sz w:val="16"/>
          <w:szCs w:val="16"/>
        </w:rPr>
      </w:pPr>
      <w:r w:rsidRPr="00615AA9">
        <w:rPr>
          <w:b/>
          <w:sz w:val="16"/>
          <w:szCs w:val="16"/>
        </w:rPr>
        <w:t>A</w:t>
      </w:r>
      <w:r w:rsidR="005F2447" w:rsidRPr="00615AA9">
        <w:rPr>
          <w:b/>
          <w:sz w:val="16"/>
          <w:szCs w:val="16"/>
        </w:rPr>
        <w:t>CUERDO DEL PLENO</w:t>
      </w:r>
    </w:p>
    <w:p w:rsidR="0027208D" w:rsidRPr="00615AA9" w:rsidRDefault="0027208D" w:rsidP="00D7060C">
      <w:pPr>
        <w:spacing w:after="0"/>
        <w:jc w:val="both"/>
        <w:rPr>
          <w:sz w:val="16"/>
          <w:szCs w:val="16"/>
        </w:rPr>
      </w:pPr>
      <w:r w:rsidRPr="00615AA9">
        <w:rPr>
          <w:sz w:val="16"/>
          <w:szCs w:val="16"/>
        </w:rPr>
        <w:t>En la ciudad de Mérida, Yucatán, siendo las</w:t>
      </w:r>
      <w:r w:rsidR="0070462F" w:rsidRPr="00615AA9">
        <w:rPr>
          <w:sz w:val="16"/>
          <w:szCs w:val="16"/>
        </w:rPr>
        <w:t xml:space="preserve"> </w:t>
      </w:r>
      <w:r w:rsidR="005F2447" w:rsidRPr="00615AA9">
        <w:rPr>
          <w:sz w:val="16"/>
          <w:szCs w:val="16"/>
        </w:rPr>
        <w:t>13</w:t>
      </w:r>
      <w:r w:rsidR="0070462F" w:rsidRPr="00615AA9">
        <w:rPr>
          <w:sz w:val="16"/>
          <w:szCs w:val="16"/>
        </w:rPr>
        <w:t xml:space="preserve"> horas</w:t>
      </w:r>
      <w:r w:rsidR="00456B7F" w:rsidRPr="00615AA9">
        <w:rPr>
          <w:sz w:val="16"/>
          <w:szCs w:val="16"/>
        </w:rPr>
        <w:t xml:space="preserve"> con </w:t>
      </w:r>
      <w:r w:rsidR="005F2447" w:rsidRPr="00615AA9">
        <w:rPr>
          <w:sz w:val="16"/>
          <w:szCs w:val="16"/>
        </w:rPr>
        <w:t>25</w:t>
      </w:r>
      <w:r w:rsidR="00456B7F" w:rsidRPr="00615AA9">
        <w:rPr>
          <w:sz w:val="16"/>
          <w:szCs w:val="16"/>
        </w:rPr>
        <w:t xml:space="preserve"> minutos</w:t>
      </w:r>
      <w:r w:rsidRPr="00615AA9">
        <w:rPr>
          <w:sz w:val="16"/>
          <w:szCs w:val="16"/>
        </w:rPr>
        <w:t xml:space="preserve">, del día </w:t>
      </w:r>
      <w:r w:rsidR="00C229DC" w:rsidRPr="00615AA9">
        <w:rPr>
          <w:sz w:val="16"/>
          <w:szCs w:val="16"/>
        </w:rPr>
        <w:t>2</w:t>
      </w:r>
      <w:r w:rsidR="005F2447" w:rsidRPr="00615AA9">
        <w:rPr>
          <w:sz w:val="16"/>
          <w:szCs w:val="16"/>
        </w:rPr>
        <w:t>5</w:t>
      </w:r>
      <w:r w:rsidR="0040053F" w:rsidRPr="00615AA9">
        <w:rPr>
          <w:sz w:val="16"/>
          <w:szCs w:val="16"/>
        </w:rPr>
        <w:t xml:space="preserve"> de </w:t>
      </w:r>
      <w:r w:rsidR="0048125D" w:rsidRPr="00615AA9">
        <w:rPr>
          <w:sz w:val="16"/>
          <w:szCs w:val="16"/>
        </w:rPr>
        <w:t>mayo</w:t>
      </w:r>
      <w:r w:rsidR="00456B7F" w:rsidRPr="00615AA9">
        <w:rPr>
          <w:sz w:val="16"/>
          <w:szCs w:val="16"/>
        </w:rPr>
        <w:t xml:space="preserve"> de 2016</w:t>
      </w:r>
      <w:r w:rsidRPr="00615AA9">
        <w:rPr>
          <w:sz w:val="16"/>
          <w:szCs w:val="16"/>
        </w:rPr>
        <w:t>,</w:t>
      </w:r>
      <w:r w:rsidR="00BC2FF0" w:rsidRPr="00615AA9">
        <w:rPr>
          <w:sz w:val="16"/>
          <w:szCs w:val="16"/>
        </w:rPr>
        <w:t xml:space="preserve"> encontrándose reunidos los integrantes del </w:t>
      </w:r>
      <w:r w:rsidR="000B6FDD" w:rsidRPr="00615AA9">
        <w:rPr>
          <w:sz w:val="16"/>
          <w:szCs w:val="16"/>
        </w:rPr>
        <w:t>Pleno</w:t>
      </w:r>
      <w:r w:rsidR="000251B3" w:rsidRPr="00615AA9">
        <w:rPr>
          <w:sz w:val="16"/>
          <w:szCs w:val="16"/>
        </w:rPr>
        <w:t xml:space="preserve"> del Instituto </w:t>
      </w:r>
      <w:r w:rsidR="000B6FDD" w:rsidRPr="00615AA9">
        <w:rPr>
          <w:sz w:val="16"/>
          <w:szCs w:val="16"/>
        </w:rPr>
        <w:t>Estatal de Transparencia</w:t>
      </w:r>
      <w:r w:rsidR="000251B3" w:rsidRPr="00615AA9">
        <w:rPr>
          <w:sz w:val="16"/>
          <w:szCs w:val="16"/>
        </w:rPr>
        <w:t>,</w:t>
      </w:r>
      <w:r w:rsidR="000B6FDD" w:rsidRPr="00615AA9">
        <w:rPr>
          <w:sz w:val="16"/>
          <w:szCs w:val="16"/>
        </w:rPr>
        <w:t xml:space="preserve"> Acceso a la Información Pública y Protección de Datos Personales,</w:t>
      </w:r>
      <w:r w:rsidR="000251B3" w:rsidRPr="00615AA9">
        <w:rPr>
          <w:sz w:val="16"/>
          <w:szCs w:val="16"/>
        </w:rPr>
        <w:t xml:space="preserve"> </w:t>
      </w:r>
      <w:r w:rsidR="008300E4" w:rsidRPr="00615AA9">
        <w:rPr>
          <w:sz w:val="16"/>
          <w:szCs w:val="16"/>
        </w:rPr>
        <w:t xml:space="preserve">los </w:t>
      </w:r>
      <w:r w:rsidR="000B6FDD" w:rsidRPr="00615AA9">
        <w:rPr>
          <w:sz w:val="16"/>
          <w:szCs w:val="16"/>
        </w:rPr>
        <w:t>Comisionados</w:t>
      </w:r>
      <w:r w:rsidR="008300E4" w:rsidRPr="00615AA9">
        <w:rPr>
          <w:sz w:val="16"/>
          <w:szCs w:val="16"/>
        </w:rPr>
        <w:t xml:space="preserve"> </w:t>
      </w:r>
      <w:r w:rsidR="0048125D" w:rsidRPr="00615AA9">
        <w:rPr>
          <w:sz w:val="16"/>
          <w:szCs w:val="16"/>
        </w:rPr>
        <w:t xml:space="preserve">Licenciada en Derecho </w:t>
      </w:r>
      <w:r w:rsidR="0048125D" w:rsidRPr="00615AA9">
        <w:rPr>
          <w:rFonts w:eastAsia="Times New Roman" w:cs="Arial"/>
          <w:sz w:val="16"/>
          <w:szCs w:val="16"/>
          <w:lang w:val="es-ES" w:eastAsia="ar-SA"/>
        </w:rPr>
        <w:t>Susana Aguilar Covarrubias,</w:t>
      </w:r>
      <w:r w:rsidR="0048125D" w:rsidRPr="00615AA9">
        <w:rPr>
          <w:sz w:val="16"/>
          <w:szCs w:val="16"/>
        </w:rPr>
        <w:t xml:space="preserve"> el </w:t>
      </w:r>
      <w:r w:rsidR="008300E4" w:rsidRPr="00615AA9">
        <w:rPr>
          <w:sz w:val="16"/>
          <w:szCs w:val="16"/>
        </w:rPr>
        <w:t>I</w:t>
      </w:r>
      <w:r w:rsidR="001C35CB" w:rsidRPr="00615AA9">
        <w:rPr>
          <w:sz w:val="16"/>
          <w:szCs w:val="16"/>
        </w:rPr>
        <w:t>ngeniero</w:t>
      </w:r>
      <w:r w:rsidR="008300E4" w:rsidRPr="00615AA9">
        <w:rPr>
          <w:rFonts w:eastAsia="Times New Roman" w:cs="Arial"/>
          <w:sz w:val="16"/>
          <w:szCs w:val="16"/>
          <w:lang w:val="es-ES" w:eastAsia="ar-SA"/>
        </w:rPr>
        <w:t xml:space="preserve"> </w:t>
      </w:r>
      <w:r w:rsidR="000B6FDD" w:rsidRPr="00615AA9">
        <w:rPr>
          <w:rFonts w:eastAsia="Times New Roman" w:cs="Arial"/>
          <w:sz w:val="16"/>
          <w:szCs w:val="16"/>
          <w:lang w:val="es-ES" w:eastAsia="ar-SA"/>
        </w:rPr>
        <w:t xml:space="preserve">Civil </w:t>
      </w:r>
      <w:r w:rsidR="0048125D" w:rsidRPr="00615AA9">
        <w:rPr>
          <w:rFonts w:eastAsia="Times New Roman" w:cs="Arial"/>
          <w:sz w:val="16"/>
          <w:szCs w:val="16"/>
          <w:lang w:val="es-ES" w:eastAsia="ar-SA"/>
        </w:rPr>
        <w:t>Víctor Manuel May Vera y la Licenciada en Derecho</w:t>
      </w:r>
      <w:r w:rsidR="008300E4" w:rsidRPr="00615AA9">
        <w:rPr>
          <w:rFonts w:eastAsia="Times New Roman" w:cs="Arial"/>
          <w:sz w:val="16"/>
          <w:szCs w:val="16"/>
          <w:lang w:val="es-ES" w:eastAsia="ar-SA"/>
        </w:rPr>
        <w:t xml:space="preserve"> María Eugenia Sansores Ruz, C</w:t>
      </w:r>
      <w:r w:rsidR="000B6FDD" w:rsidRPr="00615AA9">
        <w:rPr>
          <w:rFonts w:eastAsia="Times New Roman" w:cs="Arial"/>
          <w:sz w:val="16"/>
          <w:szCs w:val="16"/>
          <w:lang w:val="es-ES" w:eastAsia="ar-SA"/>
        </w:rPr>
        <w:t>omisionad</w:t>
      </w:r>
      <w:r w:rsidR="0048125D" w:rsidRPr="00615AA9">
        <w:rPr>
          <w:rFonts w:eastAsia="Times New Roman" w:cs="Arial"/>
          <w:sz w:val="16"/>
          <w:szCs w:val="16"/>
          <w:lang w:val="es-ES" w:eastAsia="ar-SA"/>
        </w:rPr>
        <w:t>a</w:t>
      </w:r>
      <w:r w:rsidR="008300E4" w:rsidRPr="00615AA9">
        <w:rPr>
          <w:rFonts w:eastAsia="Times New Roman" w:cs="Arial"/>
          <w:sz w:val="16"/>
          <w:szCs w:val="16"/>
          <w:lang w:val="es-ES" w:eastAsia="ar-SA"/>
        </w:rPr>
        <w:t xml:space="preserve"> President</w:t>
      </w:r>
      <w:r w:rsidR="002D2335" w:rsidRPr="00615AA9">
        <w:rPr>
          <w:rFonts w:eastAsia="Times New Roman" w:cs="Arial"/>
          <w:sz w:val="16"/>
          <w:szCs w:val="16"/>
          <w:lang w:val="es-ES" w:eastAsia="ar-SA"/>
        </w:rPr>
        <w:t>a</w:t>
      </w:r>
      <w:r w:rsidR="008300E4" w:rsidRPr="00615AA9">
        <w:rPr>
          <w:rFonts w:eastAsia="Times New Roman" w:cs="Arial"/>
          <w:sz w:val="16"/>
          <w:szCs w:val="16"/>
          <w:lang w:val="es-ES" w:eastAsia="ar-SA"/>
        </w:rPr>
        <w:t xml:space="preserve"> y Co</w:t>
      </w:r>
      <w:r w:rsidR="000B6FDD" w:rsidRPr="00615AA9">
        <w:rPr>
          <w:rFonts w:eastAsia="Times New Roman" w:cs="Arial"/>
          <w:sz w:val="16"/>
          <w:szCs w:val="16"/>
          <w:lang w:val="es-ES" w:eastAsia="ar-SA"/>
        </w:rPr>
        <w:t>misionad</w:t>
      </w:r>
      <w:r w:rsidR="0048125D" w:rsidRPr="00615AA9">
        <w:rPr>
          <w:rFonts w:eastAsia="Times New Roman" w:cs="Arial"/>
          <w:sz w:val="16"/>
          <w:szCs w:val="16"/>
          <w:lang w:val="es-ES" w:eastAsia="ar-SA"/>
        </w:rPr>
        <w:t>o</w:t>
      </w:r>
      <w:r w:rsidR="000B6FDD" w:rsidRPr="00615AA9">
        <w:rPr>
          <w:rFonts w:eastAsia="Times New Roman" w:cs="Arial"/>
          <w:sz w:val="16"/>
          <w:szCs w:val="16"/>
          <w:lang w:val="es-ES" w:eastAsia="ar-SA"/>
        </w:rPr>
        <w:t>s</w:t>
      </w:r>
      <w:r w:rsidR="008300E4" w:rsidRPr="00615AA9">
        <w:rPr>
          <w:rFonts w:eastAsia="Times New Roman" w:cs="Arial"/>
          <w:sz w:val="16"/>
          <w:szCs w:val="16"/>
          <w:lang w:val="es-ES" w:eastAsia="ar-SA"/>
        </w:rPr>
        <w:t xml:space="preserve">, respectivamente, </w:t>
      </w:r>
      <w:r w:rsidR="000B6FDD" w:rsidRPr="00615AA9">
        <w:rPr>
          <w:sz w:val="16"/>
          <w:szCs w:val="16"/>
        </w:rPr>
        <w:t>emiten</w:t>
      </w:r>
      <w:r w:rsidRPr="00615AA9">
        <w:rPr>
          <w:sz w:val="16"/>
          <w:szCs w:val="16"/>
        </w:rPr>
        <w:t xml:space="preserve"> el presente acuerdo de conformidad con los siguientes</w:t>
      </w:r>
      <w:r w:rsidR="00F954ED" w:rsidRPr="00615AA9">
        <w:rPr>
          <w:sz w:val="16"/>
          <w:szCs w:val="16"/>
        </w:rPr>
        <w:t xml:space="preserve"> antecedentes y considerandos:</w:t>
      </w:r>
    </w:p>
    <w:p w:rsidR="00F954ED" w:rsidRPr="00615AA9" w:rsidRDefault="00F954ED" w:rsidP="00D7060C">
      <w:pPr>
        <w:spacing w:after="0"/>
        <w:jc w:val="both"/>
        <w:rPr>
          <w:b/>
          <w:sz w:val="16"/>
          <w:szCs w:val="16"/>
        </w:rPr>
      </w:pPr>
    </w:p>
    <w:p w:rsidR="00D7060C" w:rsidRPr="00615AA9" w:rsidRDefault="00F954ED" w:rsidP="00615AA9">
      <w:pPr>
        <w:spacing w:after="0"/>
        <w:jc w:val="center"/>
        <w:rPr>
          <w:b/>
          <w:sz w:val="16"/>
          <w:szCs w:val="16"/>
        </w:rPr>
      </w:pPr>
      <w:r w:rsidRPr="00615AA9">
        <w:rPr>
          <w:b/>
          <w:sz w:val="16"/>
          <w:szCs w:val="16"/>
        </w:rPr>
        <w:t>ANTECEDENTES</w:t>
      </w:r>
    </w:p>
    <w:p w:rsidR="00033E35" w:rsidRPr="00615AA9" w:rsidRDefault="0027208D" w:rsidP="00D7060C">
      <w:pPr>
        <w:spacing w:after="0"/>
        <w:jc w:val="both"/>
        <w:rPr>
          <w:rFonts w:eastAsia="Arial" w:cs="Arial"/>
          <w:sz w:val="16"/>
          <w:szCs w:val="16"/>
        </w:rPr>
      </w:pPr>
      <w:r w:rsidRPr="00615AA9">
        <w:rPr>
          <w:b/>
          <w:sz w:val="16"/>
          <w:szCs w:val="16"/>
        </w:rPr>
        <w:t>PRIMERO.-</w:t>
      </w:r>
      <w:r w:rsidRPr="00615AA9">
        <w:rPr>
          <w:sz w:val="16"/>
          <w:szCs w:val="16"/>
        </w:rPr>
        <w:t xml:space="preserve"> </w:t>
      </w:r>
      <w:r w:rsidR="003206AF" w:rsidRPr="00615AA9">
        <w:rPr>
          <w:rFonts w:eastAsia="Arial" w:cs="Arial"/>
          <w:sz w:val="16"/>
          <w:szCs w:val="16"/>
        </w:rPr>
        <w:t>El 7 de febrero de 201</w:t>
      </w:r>
      <w:r w:rsidR="00164348" w:rsidRPr="00615AA9">
        <w:rPr>
          <w:rFonts w:eastAsia="Arial" w:cs="Arial"/>
          <w:sz w:val="16"/>
          <w:szCs w:val="16"/>
        </w:rPr>
        <w:t>4, se publicó en el Diario Oficial de la Federación el Decreto por el que se reforman y adicionan diversas disposiciones de la Constitución Política de los Estados Unidos Mexicanos</w:t>
      </w:r>
      <w:r w:rsidR="00033E35" w:rsidRPr="00615AA9">
        <w:rPr>
          <w:rFonts w:eastAsia="Arial" w:cs="Arial"/>
          <w:sz w:val="16"/>
          <w:szCs w:val="16"/>
        </w:rPr>
        <w:t xml:space="preserve">, en materia de Transparencia. En dicho decreto, en su transitorio segundo, se constriñe al Congreso de la Unión a expedir la Ley </w:t>
      </w:r>
      <w:r w:rsidR="004E4823" w:rsidRPr="00615AA9">
        <w:rPr>
          <w:rFonts w:eastAsia="Arial" w:cs="Arial"/>
          <w:sz w:val="16"/>
          <w:szCs w:val="16"/>
        </w:rPr>
        <w:t>reglamentaria</w:t>
      </w:r>
      <w:r w:rsidR="00033E35" w:rsidRPr="00615AA9">
        <w:rPr>
          <w:rFonts w:eastAsia="Arial" w:cs="Arial"/>
          <w:sz w:val="16"/>
          <w:szCs w:val="16"/>
        </w:rPr>
        <w:t xml:space="preserve"> del artículo 6 constitucional, en el plazo de un año contado a partir de la fecha de publicación de dicho Decreto.</w:t>
      </w:r>
    </w:p>
    <w:p w:rsidR="00D7060C" w:rsidRPr="00615AA9" w:rsidRDefault="00D7060C" w:rsidP="00D7060C">
      <w:pPr>
        <w:spacing w:after="0"/>
        <w:jc w:val="both"/>
        <w:rPr>
          <w:sz w:val="16"/>
          <w:szCs w:val="16"/>
        </w:rPr>
      </w:pPr>
    </w:p>
    <w:p w:rsidR="00884AEF" w:rsidRPr="00615AA9" w:rsidRDefault="00033E35" w:rsidP="00D7060C">
      <w:pPr>
        <w:spacing w:after="0"/>
        <w:jc w:val="both"/>
        <w:rPr>
          <w:rFonts w:eastAsia="Arial" w:cs="Arial"/>
          <w:b/>
          <w:sz w:val="16"/>
          <w:szCs w:val="16"/>
        </w:rPr>
      </w:pPr>
      <w:r w:rsidRPr="00615AA9">
        <w:rPr>
          <w:rFonts w:eastAsia="Arial" w:cs="Arial"/>
          <w:b/>
          <w:sz w:val="16"/>
          <w:szCs w:val="16"/>
        </w:rPr>
        <w:t>SEGUNDO.-</w:t>
      </w:r>
      <w:r w:rsidR="00B8379A" w:rsidRPr="00615AA9">
        <w:rPr>
          <w:rFonts w:eastAsia="Arial" w:cs="Arial"/>
          <w:b/>
          <w:sz w:val="16"/>
          <w:szCs w:val="16"/>
        </w:rPr>
        <w:t xml:space="preserve"> </w:t>
      </w:r>
      <w:r w:rsidR="00547796" w:rsidRPr="00615AA9">
        <w:rPr>
          <w:rFonts w:eastAsia="Arial" w:cs="Arial"/>
          <w:sz w:val="16"/>
          <w:szCs w:val="16"/>
        </w:rPr>
        <w:t>El 4 de mayo de 2015, se publicó en el Diario Ofic</w:t>
      </w:r>
      <w:r w:rsidR="00AF0629" w:rsidRPr="00615AA9">
        <w:rPr>
          <w:rFonts w:eastAsia="Arial" w:cs="Arial"/>
          <w:sz w:val="16"/>
          <w:szCs w:val="16"/>
        </w:rPr>
        <w:t xml:space="preserve">ial de la Federación el Decreto </w:t>
      </w:r>
      <w:r w:rsidR="00547796" w:rsidRPr="00615AA9">
        <w:rPr>
          <w:rFonts w:eastAsia="Arial" w:cs="Arial"/>
          <w:sz w:val="16"/>
          <w:szCs w:val="16"/>
        </w:rPr>
        <w:t xml:space="preserve">por el que se expide la Ley General de Transparencia y Acceso a la Información Pública, </w:t>
      </w:r>
      <w:r w:rsidR="004C237D" w:rsidRPr="00615AA9">
        <w:rPr>
          <w:rFonts w:eastAsia="Arial" w:cs="Arial"/>
          <w:sz w:val="16"/>
          <w:szCs w:val="16"/>
        </w:rPr>
        <w:t>L</w:t>
      </w:r>
      <w:r w:rsidR="00547796" w:rsidRPr="00615AA9">
        <w:rPr>
          <w:rFonts w:eastAsia="Arial" w:cs="Arial"/>
          <w:sz w:val="16"/>
          <w:szCs w:val="16"/>
        </w:rPr>
        <w:t>ey reglamentaria del artículo 6 constitucional. Dicha Ley, en su transitorio quinto, le concede a la</w:t>
      </w:r>
      <w:r w:rsidR="00AE2CE5" w:rsidRPr="00615AA9">
        <w:rPr>
          <w:rFonts w:eastAsia="Arial" w:cs="Arial"/>
          <w:sz w:val="16"/>
          <w:szCs w:val="16"/>
        </w:rPr>
        <w:t>s</w:t>
      </w:r>
      <w:r w:rsidR="00547796" w:rsidRPr="00615AA9">
        <w:rPr>
          <w:rFonts w:eastAsia="Arial" w:cs="Arial"/>
          <w:sz w:val="16"/>
          <w:szCs w:val="16"/>
        </w:rPr>
        <w:t xml:space="preserve"> Legislaturas de los Estados</w:t>
      </w:r>
      <w:r w:rsidR="00884AEF" w:rsidRPr="00615AA9">
        <w:rPr>
          <w:rFonts w:eastAsia="Arial" w:cs="Arial"/>
          <w:sz w:val="16"/>
          <w:szCs w:val="16"/>
        </w:rPr>
        <w:t>, el plazo de un año, contado a partir de la entrada en vigor de dicho Decreto, para armonizar las leyes relativas conforme a lo establecido en la Ley general.</w:t>
      </w:r>
    </w:p>
    <w:p w:rsidR="00D7060C" w:rsidRPr="00615AA9" w:rsidRDefault="00D7060C" w:rsidP="00D7060C">
      <w:pPr>
        <w:spacing w:after="0"/>
        <w:jc w:val="both"/>
        <w:rPr>
          <w:rFonts w:eastAsia="Arial" w:cs="Arial"/>
          <w:b/>
          <w:sz w:val="16"/>
          <w:szCs w:val="16"/>
        </w:rPr>
      </w:pPr>
    </w:p>
    <w:p w:rsidR="00DE75EE" w:rsidRPr="00615AA9" w:rsidRDefault="00DE75EE" w:rsidP="00D7060C">
      <w:pPr>
        <w:spacing w:after="0"/>
        <w:jc w:val="both"/>
        <w:rPr>
          <w:rFonts w:eastAsia="Arial" w:cs="Arial"/>
          <w:sz w:val="16"/>
          <w:szCs w:val="16"/>
        </w:rPr>
      </w:pPr>
      <w:r w:rsidRPr="00615AA9">
        <w:rPr>
          <w:rFonts w:eastAsia="Arial" w:cs="Arial"/>
          <w:b/>
          <w:sz w:val="16"/>
          <w:szCs w:val="16"/>
        </w:rPr>
        <w:t>TERCERO.-</w:t>
      </w:r>
      <w:r w:rsidR="00B8379A" w:rsidRPr="00615AA9">
        <w:rPr>
          <w:rFonts w:eastAsia="Arial" w:cs="Arial"/>
          <w:b/>
          <w:sz w:val="16"/>
          <w:szCs w:val="16"/>
        </w:rPr>
        <w:t xml:space="preserve"> </w:t>
      </w:r>
      <w:r w:rsidR="00B317A2" w:rsidRPr="00615AA9">
        <w:rPr>
          <w:rFonts w:eastAsia="Arial" w:cs="Arial"/>
          <w:sz w:val="16"/>
          <w:szCs w:val="16"/>
        </w:rPr>
        <w:t xml:space="preserve">El 20 de abril de 2016, se publicó en el Diario Oficial del Gobierno del Estado de Yucatán el Decreto 380/2016, por el que se modifica la Constitución Política del Estado de Yucatán, en materia de anticorrupción y transparencia. </w:t>
      </w:r>
      <w:r w:rsidR="00105A11" w:rsidRPr="00615AA9">
        <w:rPr>
          <w:rFonts w:eastAsia="Arial" w:cs="Arial"/>
          <w:sz w:val="16"/>
          <w:szCs w:val="16"/>
        </w:rPr>
        <w:t xml:space="preserve">A través de dicha modificación, se sientan las bases </w:t>
      </w:r>
      <w:r w:rsidR="004C237D" w:rsidRPr="00615AA9">
        <w:rPr>
          <w:rFonts w:eastAsia="Arial" w:cs="Arial"/>
          <w:sz w:val="16"/>
          <w:szCs w:val="16"/>
        </w:rPr>
        <w:t>de</w:t>
      </w:r>
      <w:r w:rsidR="00105A11" w:rsidRPr="00615AA9">
        <w:rPr>
          <w:rFonts w:eastAsia="Arial" w:cs="Arial"/>
          <w:sz w:val="16"/>
          <w:szCs w:val="16"/>
        </w:rPr>
        <w:t xml:space="preserve"> la homologación de </w:t>
      </w:r>
      <w:r w:rsidR="00C039CA" w:rsidRPr="00615AA9">
        <w:rPr>
          <w:rFonts w:eastAsia="Arial" w:cs="Arial"/>
          <w:sz w:val="16"/>
          <w:szCs w:val="16"/>
        </w:rPr>
        <w:t>la legislación estatal</w:t>
      </w:r>
      <w:r w:rsidR="00105A11" w:rsidRPr="00615AA9">
        <w:rPr>
          <w:rFonts w:eastAsia="Arial" w:cs="Arial"/>
          <w:sz w:val="16"/>
          <w:szCs w:val="16"/>
        </w:rPr>
        <w:t xml:space="preserve">, acorde a lo dispuesto en la Ley </w:t>
      </w:r>
      <w:r w:rsidR="004C237D" w:rsidRPr="00615AA9">
        <w:rPr>
          <w:rFonts w:eastAsia="Arial" w:cs="Arial"/>
          <w:sz w:val="16"/>
          <w:szCs w:val="16"/>
        </w:rPr>
        <w:t>g</w:t>
      </w:r>
      <w:r w:rsidR="00105A11" w:rsidRPr="00615AA9">
        <w:rPr>
          <w:rFonts w:eastAsia="Arial" w:cs="Arial"/>
          <w:sz w:val="16"/>
          <w:szCs w:val="16"/>
        </w:rPr>
        <w:t>eneral, Ley reglamentaria del artículo 6 constitucional.</w:t>
      </w:r>
    </w:p>
    <w:p w:rsidR="00D7060C" w:rsidRPr="00615AA9" w:rsidRDefault="00D7060C" w:rsidP="00D7060C">
      <w:pPr>
        <w:spacing w:after="0"/>
        <w:jc w:val="both"/>
        <w:rPr>
          <w:rFonts w:eastAsia="Arial" w:cs="Arial"/>
          <w:b/>
          <w:sz w:val="16"/>
          <w:szCs w:val="16"/>
        </w:rPr>
      </w:pPr>
    </w:p>
    <w:p w:rsidR="00FA1BBA" w:rsidRPr="00615AA9" w:rsidRDefault="00810E9D" w:rsidP="00D7060C">
      <w:pPr>
        <w:spacing w:after="0"/>
        <w:jc w:val="both"/>
        <w:rPr>
          <w:rFonts w:eastAsia="Arial" w:cs="Arial"/>
          <w:sz w:val="16"/>
          <w:szCs w:val="16"/>
        </w:rPr>
      </w:pPr>
      <w:r w:rsidRPr="00615AA9">
        <w:rPr>
          <w:rFonts w:eastAsia="Arial" w:cs="Arial"/>
          <w:b/>
          <w:sz w:val="16"/>
          <w:szCs w:val="16"/>
        </w:rPr>
        <w:t>CUARTO.-</w:t>
      </w:r>
      <w:r w:rsidR="00FA1BBA" w:rsidRPr="00615AA9">
        <w:rPr>
          <w:rFonts w:eastAsia="Arial" w:cs="Arial"/>
          <w:sz w:val="16"/>
          <w:szCs w:val="16"/>
        </w:rPr>
        <w:t xml:space="preserve"> El 2 de mayo de 2016, se publicó en el Diario Oficial del Gobierno del Estado, el Decreto 388/2016, por el que se expide la Ley de Transparencia y Acceso a la Información Pública del Estado de Yucatán, </w:t>
      </w:r>
      <w:r w:rsidRPr="00615AA9">
        <w:rPr>
          <w:rFonts w:eastAsia="Arial" w:cs="Arial"/>
          <w:sz w:val="16"/>
          <w:szCs w:val="16"/>
        </w:rPr>
        <w:t>a través de dicha publicación se dio cumplimiento a lo establecido en el transitorio quinto de la Ley General de Transparencia y Acceso a la Información Pública</w:t>
      </w:r>
      <w:r w:rsidR="003968AE" w:rsidRPr="00615AA9">
        <w:rPr>
          <w:rFonts w:eastAsia="Arial" w:cs="Arial"/>
          <w:sz w:val="16"/>
          <w:szCs w:val="16"/>
        </w:rPr>
        <w:t>, la homologación de la Ley estatal conforme a lo dispuesto en la citada Ley general.</w:t>
      </w:r>
    </w:p>
    <w:p w:rsidR="00D7060C" w:rsidRPr="00615AA9" w:rsidRDefault="00D7060C" w:rsidP="00D7060C">
      <w:pPr>
        <w:spacing w:after="0"/>
        <w:jc w:val="both"/>
        <w:rPr>
          <w:rFonts w:eastAsia="Arial" w:cs="Arial"/>
          <w:b/>
          <w:sz w:val="16"/>
          <w:szCs w:val="16"/>
        </w:rPr>
      </w:pPr>
    </w:p>
    <w:p w:rsidR="003A24B7" w:rsidRPr="00615AA9" w:rsidRDefault="003A24B7" w:rsidP="00D7060C">
      <w:pPr>
        <w:spacing w:after="0"/>
        <w:jc w:val="both"/>
        <w:rPr>
          <w:rFonts w:eastAsia="Arial" w:cs="Arial"/>
          <w:sz w:val="16"/>
          <w:szCs w:val="16"/>
        </w:rPr>
      </w:pPr>
      <w:r w:rsidRPr="00615AA9">
        <w:rPr>
          <w:rFonts w:eastAsia="Arial" w:cs="Arial"/>
          <w:b/>
          <w:sz w:val="16"/>
          <w:szCs w:val="16"/>
        </w:rPr>
        <w:t>QUINTO.</w:t>
      </w:r>
      <w:r w:rsidR="00DB6CA9" w:rsidRPr="00615AA9">
        <w:rPr>
          <w:rFonts w:eastAsia="Arial" w:cs="Arial"/>
          <w:b/>
          <w:sz w:val="16"/>
          <w:szCs w:val="16"/>
        </w:rPr>
        <w:t xml:space="preserve">- </w:t>
      </w:r>
      <w:r w:rsidRPr="00615AA9">
        <w:rPr>
          <w:rFonts w:eastAsia="Arial" w:cs="Arial"/>
          <w:sz w:val="16"/>
          <w:szCs w:val="16"/>
        </w:rPr>
        <w:t xml:space="preserve">Que </w:t>
      </w:r>
      <w:r w:rsidR="00BC0790" w:rsidRPr="00615AA9">
        <w:rPr>
          <w:rFonts w:eastAsia="Arial" w:cs="Arial"/>
          <w:sz w:val="16"/>
          <w:szCs w:val="16"/>
        </w:rPr>
        <w:t xml:space="preserve">en </w:t>
      </w:r>
      <w:r w:rsidRPr="00615AA9">
        <w:rPr>
          <w:rFonts w:eastAsia="Arial" w:cs="Arial"/>
          <w:sz w:val="16"/>
          <w:szCs w:val="16"/>
        </w:rPr>
        <w:t xml:space="preserve">el artículo 6º constitucional en su apartado A, último párrafo, </w:t>
      </w:r>
      <w:r w:rsidR="009D38F3" w:rsidRPr="00615AA9">
        <w:rPr>
          <w:rFonts w:eastAsia="Arial" w:cs="Arial"/>
          <w:sz w:val="16"/>
          <w:szCs w:val="16"/>
        </w:rPr>
        <w:t xml:space="preserve">se </w:t>
      </w:r>
      <w:r w:rsidRPr="00615AA9">
        <w:rPr>
          <w:rFonts w:eastAsia="Arial" w:cs="Arial"/>
          <w:sz w:val="16"/>
          <w:szCs w:val="16"/>
        </w:rPr>
        <w:t>prevé las bases para la coordinación entre el organismo garante federal, la entidad de fiscalización superior de la federación, la entidad especializada en materia de archivos,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D7060C" w:rsidRPr="00615AA9" w:rsidRDefault="00D7060C" w:rsidP="00D7060C">
      <w:pPr>
        <w:spacing w:after="0"/>
        <w:jc w:val="both"/>
        <w:rPr>
          <w:rFonts w:eastAsia="Arial" w:cs="Arial"/>
          <w:sz w:val="16"/>
          <w:szCs w:val="16"/>
        </w:rPr>
      </w:pPr>
    </w:p>
    <w:p w:rsidR="003A24B7" w:rsidRPr="00615AA9" w:rsidRDefault="00BC0790" w:rsidP="00D7060C">
      <w:pPr>
        <w:spacing w:after="0"/>
        <w:jc w:val="both"/>
        <w:rPr>
          <w:rFonts w:eastAsia="Arial" w:cs="Arial"/>
          <w:sz w:val="16"/>
          <w:szCs w:val="16"/>
        </w:rPr>
      </w:pPr>
      <w:r w:rsidRPr="00615AA9">
        <w:rPr>
          <w:rFonts w:eastAsia="Arial" w:cs="Arial"/>
          <w:sz w:val="16"/>
          <w:szCs w:val="16"/>
        </w:rPr>
        <w:t>Tal y como ya se señaló anteriormente, e</w:t>
      </w:r>
      <w:r w:rsidR="00976784" w:rsidRPr="00615AA9">
        <w:rPr>
          <w:rFonts w:eastAsia="Arial" w:cs="Arial"/>
          <w:sz w:val="16"/>
          <w:szCs w:val="16"/>
        </w:rPr>
        <w:t xml:space="preserve">l 4 de mayo de 2015, se publicó en el Diario Oficial de la Federación la Ley General de Transparencia y Acceso a la Información Pública, la cual entró en vigor </w:t>
      </w:r>
      <w:r w:rsidR="003C7631" w:rsidRPr="00615AA9">
        <w:rPr>
          <w:rFonts w:eastAsia="Arial" w:cs="Arial"/>
          <w:sz w:val="16"/>
          <w:szCs w:val="16"/>
        </w:rPr>
        <w:t>al</w:t>
      </w:r>
      <w:r w:rsidR="00976784" w:rsidRPr="00615AA9">
        <w:rPr>
          <w:rFonts w:eastAsia="Arial" w:cs="Arial"/>
          <w:sz w:val="16"/>
          <w:szCs w:val="16"/>
        </w:rPr>
        <w:t xml:space="preserve"> </w:t>
      </w:r>
      <w:r w:rsidR="003C7631" w:rsidRPr="00615AA9">
        <w:rPr>
          <w:rFonts w:eastAsia="Arial" w:cs="Arial"/>
          <w:sz w:val="16"/>
          <w:szCs w:val="16"/>
        </w:rPr>
        <w:t xml:space="preserve">día </w:t>
      </w:r>
      <w:r w:rsidR="00976784" w:rsidRPr="00615AA9">
        <w:rPr>
          <w:rFonts w:eastAsia="Arial" w:cs="Arial"/>
          <w:sz w:val="16"/>
          <w:szCs w:val="16"/>
        </w:rPr>
        <w:t>siguiente</w:t>
      </w:r>
      <w:r w:rsidR="003C7631" w:rsidRPr="00615AA9">
        <w:rPr>
          <w:rFonts w:eastAsia="Arial" w:cs="Arial"/>
          <w:sz w:val="16"/>
          <w:szCs w:val="16"/>
        </w:rPr>
        <w:t xml:space="preserve"> de su publicación</w:t>
      </w:r>
      <w:r w:rsidRPr="00615AA9">
        <w:rPr>
          <w:rFonts w:eastAsia="Arial" w:cs="Arial"/>
          <w:sz w:val="16"/>
          <w:szCs w:val="16"/>
        </w:rPr>
        <w:t>.</w:t>
      </w:r>
      <w:r w:rsidR="00976784" w:rsidRPr="00615AA9">
        <w:rPr>
          <w:rFonts w:eastAsia="Arial" w:cs="Arial"/>
          <w:sz w:val="16"/>
          <w:szCs w:val="16"/>
        </w:rPr>
        <w:t xml:space="preserve"> </w:t>
      </w:r>
      <w:r w:rsidRPr="00615AA9">
        <w:rPr>
          <w:rFonts w:eastAsia="Arial" w:cs="Arial"/>
          <w:sz w:val="16"/>
          <w:szCs w:val="16"/>
        </w:rPr>
        <w:t>Dicha Ley general</w:t>
      </w:r>
      <w:r w:rsidR="00976784" w:rsidRPr="00615AA9">
        <w:rPr>
          <w:rFonts w:eastAsia="Arial" w:cs="Arial"/>
          <w:sz w:val="16"/>
          <w:szCs w:val="16"/>
        </w:rPr>
        <w:t xml:space="preserve"> estableció </w:t>
      </w:r>
      <w:r w:rsidRPr="00615AA9">
        <w:rPr>
          <w:rFonts w:eastAsia="Arial" w:cs="Arial"/>
          <w:sz w:val="16"/>
          <w:szCs w:val="16"/>
        </w:rPr>
        <w:t>en su transitorio undécimo, que el Consejo Nacional del Sistema Nacional de Transparencia, debía instalarse dentro de los 60 días naturales siguientes a la entrada en vigor de dicha Ley</w:t>
      </w:r>
      <w:r w:rsidR="00976784" w:rsidRPr="00615AA9">
        <w:rPr>
          <w:rFonts w:eastAsia="Arial" w:cs="Arial"/>
          <w:sz w:val="16"/>
          <w:szCs w:val="16"/>
        </w:rPr>
        <w:t>.</w:t>
      </w:r>
    </w:p>
    <w:p w:rsidR="00D7060C" w:rsidRPr="00615AA9" w:rsidRDefault="00D7060C" w:rsidP="00D7060C">
      <w:pPr>
        <w:spacing w:after="0"/>
        <w:jc w:val="both"/>
        <w:rPr>
          <w:rFonts w:eastAsia="Arial" w:cs="Arial"/>
          <w:sz w:val="16"/>
          <w:szCs w:val="16"/>
        </w:rPr>
      </w:pPr>
    </w:p>
    <w:p w:rsidR="00DB6CA9" w:rsidRPr="00615AA9" w:rsidRDefault="00BC0790" w:rsidP="00D7060C">
      <w:pPr>
        <w:spacing w:after="0"/>
        <w:jc w:val="both"/>
        <w:rPr>
          <w:rFonts w:eastAsia="Arial" w:cs="Arial"/>
          <w:sz w:val="16"/>
          <w:szCs w:val="16"/>
        </w:rPr>
      </w:pPr>
      <w:r w:rsidRPr="00615AA9">
        <w:rPr>
          <w:rFonts w:eastAsia="Arial" w:cs="Arial"/>
          <w:sz w:val="16"/>
          <w:szCs w:val="16"/>
        </w:rPr>
        <w:t>En cumplimiento de lo anterior, e</w:t>
      </w:r>
      <w:r w:rsidR="009E5E56" w:rsidRPr="00615AA9">
        <w:rPr>
          <w:rFonts w:eastAsia="Arial" w:cs="Arial"/>
          <w:sz w:val="16"/>
          <w:szCs w:val="16"/>
        </w:rPr>
        <w:t xml:space="preserve">l 23 de junio de 2015, quedó formalmente instalado el </w:t>
      </w:r>
      <w:r w:rsidR="00DB6CA9" w:rsidRPr="00615AA9">
        <w:rPr>
          <w:rFonts w:eastAsia="Arial" w:cs="Arial"/>
          <w:sz w:val="16"/>
          <w:szCs w:val="16"/>
        </w:rPr>
        <w:t>Sistema Nacional de Transparencia, Acceso a la Información Pública y Protección de Datos Personales</w:t>
      </w:r>
      <w:r w:rsidR="00BD2EBA" w:rsidRPr="00615AA9">
        <w:rPr>
          <w:rFonts w:eastAsia="Arial" w:cs="Arial"/>
          <w:sz w:val="16"/>
          <w:szCs w:val="16"/>
        </w:rPr>
        <w:t>, del cual este órgano garante es parte</w:t>
      </w:r>
      <w:r w:rsidR="00154346" w:rsidRPr="00615AA9">
        <w:rPr>
          <w:rFonts w:eastAsia="Arial" w:cs="Arial"/>
          <w:sz w:val="16"/>
          <w:szCs w:val="16"/>
        </w:rPr>
        <w:t>,</w:t>
      </w:r>
      <w:r w:rsidR="00BD2EBA" w:rsidRPr="00615AA9">
        <w:rPr>
          <w:rFonts w:eastAsia="Arial" w:cs="Arial"/>
          <w:sz w:val="16"/>
          <w:szCs w:val="16"/>
        </w:rPr>
        <w:t xml:space="preserve"> a través de sus comisionados</w:t>
      </w:r>
      <w:r w:rsidR="00DB6CA9" w:rsidRPr="00615AA9">
        <w:rPr>
          <w:rFonts w:eastAsia="Arial" w:cs="Arial"/>
          <w:sz w:val="16"/>
          <w:szCs w:val="16"/>
        </w:rPr>
        <w:t xml:space="preserve">, </w:t>
      </w:r>
      <w:r w:rsidR="009D38F3" w:rsidRPr="00615AA9">
        <w:rPr>
          <w:rFonts w:eastAsia="Arial" w:cs="Arial"/>
          <w:sz w:val="16"/>
          <w:szCs w:val="16"/>
        </w:rPr>
        <w:t>que</w:t>
      </w:r>
      <w:r w:rsidR="009E5E56" w:rsidRPr="00615AA9">
        <w:rPr>
          <w:rFonts w:eastAsia="Arial" w:cs="Arial"/>
          <w:sz w:val="16"/>
          <w:szCs w:val="16"/>
        </w:rPr>
        <w:t xml:space="preserve"> entre otras </w:t>
      </w:r>
      <w:r w:rsidR="003A24B7" w:rsidRPr="00615AA9">
        <w:rPr>
          <w:rFonts w:eastAsia="Arial" w:cs="Arial"/>
          <w:sz w:val="16"/>
          <w:szCs w:val="16"/>
        </w:rPr>
        <w:t xml:space="preserve">funciones </w:t>
      </w:r>
      <w:r w:rsidR="004C237D" w:rsidRPr="00615AA9">
        <w:rPr>
          <w:rFonts w:eastAsia="Arial" w:cs="Arial"/>
          <w:sz w:val="16"/>
          <w:szCs w:val="16"/>
        </w:rPr>
        <w:t>cuenta con</w:t>
      </w:r>
      <w:r w:rsidR="003A24B7" w:rsidRPr="00615AA9">
        <w:rPr>
          <w:rFonts w:eastAsia="Arial" w:cs="Arial"/>
          <w:sz w:val="16"/>
          <w:szCs w:val="16"/>
        </w:rPr>
        <w:t xml:space="preserve"> la de establecer lineamientos, instrumentos, objetivos, indicadores, metas, estrategias, códigos de buenas prácticas, modelos y políticas integrales, sistemáticas, continuas y evaluables, tend</w:t>
      </w:r>
      <w:r w:rsidR="004C237D" w:rsidRPr="00615AA9">
        <w:rPr>
          <w:rFonts w:eastAsia="Arial" w:cs="Arial"/>
          <w:sz w:val="16"/>
          <w:szCs w:val="16"/>
        </w:rPr>
        <w:t>i</w:t>
      </w:r>
      <w:r w:rsidR="003A24B7" w:rsidRPr="00615AA9">
        <w:rPr>
          <w:rFonts w:eastAsia="Arial" w:cs="Arial"/>
          <w:sz w:val="16"/>
          <w:szCs w:val="16"/>
        </w:rPr>
        <w:t xml:space="preserve">entes a cumplir con los objetivos de la Ley </w:t>
      </w:r>
      <w:r w:rsidR="004C237D" w:rsidRPr="00615AA9">
        <w:rPr>
          <w:rFonts w:eastAsia="Arial" w:cs="Arial"/>
          <w:sz w:val="16"/>
          <w:szCs w:val="16"/>
        </w:rPr>
        <w:t>g</w:t>
      </w:r>
      <w:r w:rsidR="003A24B7" w:rsidRPr="00615AA9">
        <w:rPr>
          <w:rFonts w:eastAsia="Arial" w:cs="Arial"/>
          <w:sz w:val="16"/>
          <w:szCs w:val="16"/>
        </w:rPr>
        <w:t>eneral, de conformidad con lo establecido en su artículo 31, fracción I.</w:t>
      </w:r>
    </w:p>
    <w:p w:rsidR="00D7060C" w:rsidRPr="00615AA9" w:rsidRDefault="00D7060C" w:rsidP="00D7060C">
      <w:pPr>
        <w:spacing w:after="0"/>
        <w:jc w:val="both"/>
        <w:rPr>
          <w:rFonts w:eastAsia="Arial" w:cs="Arial"/>
          <w:b/>
          <w:sz w:val="16"/>
          <w:szCs w:val="16"/>
        </w:rPr>
      </w:pPr>
    </w:p>
    <w:p w:rsidR="00BC0790" w:rsidRPr="00615AA9" w:rsidRDefault="00BC0790" w:rsidP="00D7060C">
      <w:pPr>
        <w:spacing w:after="0"/>
        <w:jc w:val="both"/>
        <w:rPr>
          <w:rFonts w:eastAsia="Arial" w:cs="Arial"/>
          <w:sz w:val="16"/>
          <w:szCs w:val="16"/>
        </w:rPr>
      </w:pPr>
      <w:r w:rsidRPr="00615AA9">
        <w:rPr>
          <w:rFonts w:eastAsia="Arial" w:cs="Arial"/>
          <w:b/>
          <w:sz w:val="16"/>
          <w:szCs w:val="16"/>
        </w:rPr>
        <w:t xml:space="preserve">SEXTO.- </w:t>
      </w:r>
      <w:r w:rsidR="00391D94" w:rsidRPr="00615AA9">
        <w:rPr>
          <w:rFonts w:eastAsia="Arial" w:cs="Arial"/>
          <w:sz w:val="16"/>
          <w:szCs w:val="16"/>
        </w:rPr>
        <w:t>El 4 de mayo de 2016, se publicaron</w:t>
      </w:r>
      <w:r w:rsidRPr="00615AA9">
        <w:rPr>
          <w:rFonts w:eastAsia="Arial" w:cs="Arial"/>
          <w:sz w:val="16"/>
          <w:szCs w:val="16"/>
        </w:rPr>
        <w:t xml:space="preserve"> en el Diario Oficial de la Federación</w:t>
      </w:r>
      <w:r w:rsidR="00391D94" w:rsidRPr="00615AA9">
        <w:rPr>
          <w:rFonts w:eastAsia="Arial" w:cs="Arial"/>
          <w:sz w:val="16"/>
          <w:szCs w:val="16"/>
        </w:rPr>
        <w:t>, los Lineamientos para la Implementación y Operación de la Plataforma Nacional de Transparencia, emitidos por el Sistema Nacional de Transparencia, Acceso a la Información Pública y Protección de Datos Personales, que tienen por objeto establecer las reglas de operación de la Plataforma Nacional de Transparencia, que garanticen su estabilidad y seguridad, promoviendo la homologación de procesos y la simplicidad del uso de los sistemas que conforman dicha Plataforma para los usuarios, garantizando en todo momento los derechos de acceso a la información y protección de datos personales en po</w:t>
      </w:r>
      <w:r w:rsidR="0040677D" w:rsidRPr="00615AA9">
        <w:rPr>
          <w:rFonts w:eastAsia="Arial" w:cs="Arial"/>
          <w:sz w:val="16"/>
          <w:szCs w:val="16"/>
        </w:rPr>
        <w:t xml:space="preserve">sesión de los sujetos obligados; Por lo que para estar en condiciones de dar cumplimiento a dichas disposiciones </w:t>
      </w:r>
      <w:r w:rsidR="0040677D" w:rsidRPr="00615AA9">
        <w:rPr>
          <w:rFonts w:eastAsia="Arial" w:cs="Arial"/>
          <w:sz w:val="16"/>
          <w:szCs w:val="16"/>
        </w:rPr>
        <w:lastRenderedPageBreak/>
        <w:t>normativas, este órgano garante se vio en la necesidad de adoptar el Sistema Infomex para la recepción y sustanciación de las solicitudes de acceso a la información y la protección de datos personales.</w:t>
      </w:r>
    </w:p>
    <w:p w:rsidR="00D7060C" w:rsidRPr="00615AA9" w:rsidRDefault="00D7060C" w:rsidP="00D7060C">
      <w:pPr>
        <w:spacing w:after="0"/>
        <w:jc w:val="both"/>
        <w:rPr>
          <w:rFonts w:eastAsia="Arial" w:cs="Arial"/>
          <w:b/>
          <w:sz w:val="16"/>
          <w:szCs w:val="16"/>
        </w:rPr>
      </w:pPr>
    </w:p>
    <w:p w:rsidR="002B7F4F" w:rsidRPr="00615AA9" w:rsidRDefault="00AB71CB" w:rsidP="002B7F4F">
      <w:pPr>
        <w:spacing w:after="0"/>
        <w:jc w:val="both"/>
        <w:rPr>
          <w:rFonts w:eastAsia="Arial" w:cs="Arial"/>
          <w:sz w:val="16"/>
          <w:szCs w:val="16"/>
        </w:rPr>
      </w:pPr>
      <w:r w:rsidRPr="00615AA9">
        <w:rPr>
          <w:rFonts w:eastAsia="Arial" w:cs="Arial"/>
          <w:b/>
          <w:sz w:val="16"/>
          <w:szCs w:val="16"/>
        </w:rPr>
        <w:t xml:space="preserve">SÉPTIMO.- </w:t>
      </w:r>
      <w:r w:rsidR="002B7F4F" w:rsidRPr="00615AA9">
        <w:rPr>
          <w:rFonts w:eastAsia="Arial" w:cs="Arial"/>
          <w:sz w:val="16"/>
          <w:szCs w:val="16"/>
        </w:rPr>
        <w:t xml:space="preserve">La Plataforma Nacional </w:t>
      </w:r>
      <w:r w:rsidR="004C237D" w:rsidRPr="00615AA9">
        <w:rPr>
          <w:rFonts w:eastAsia="Arial" w:cs="Arial"/>
          <w:sz w:val="16"/>
          <w:szCs w:val="16"/>
        </w:rPr>
        <w:t xml:space="preserve">de Transparencia </w:t>
      </w:r>
      <w:r w:rsidR="002B7F4F" w:rsidRPr="00615AA9">
        <w:rPr>
          <w:rFonts w:eastAsia="Arial" w:cs="Arial"/>
          <w:sz w:val="16"/>
          <w:szCs w:val="16"/>
        </w:rPr>
        <w:t>es el instrumento informático a través del cual se ejercerán los derechos</w:t>
      </w:r>
      <w:r w:rsidR="002B7F4F" w:rsidRPr="00615AA9">
        <w:rPr>
          <w:rFonts w:eastAsia="Arial"/>
          <w:sz w:val="16"/>
          <w:szCs w:val="16"/>
        </w:rPr>
        <w:t xml:space="preserve"> </w:t>
      </w:r>
      <w:r w:rsidR="002B7F4F" w:rsidRPr="00615AA9">
        <w:rPr>
          <w:rFonts w:eastAsia="Arial" w:cs="Arial"/>
          <w:sz w:val="16"/>
          <w:szCs w:val="16"/>
        </w:rPr>
        <w:t>de acceso a la información y de protección de datos personales en posesión de los sujetos obligados, así</w:t>
      </w:r>
      <w:r w:rsidR="002B7F4F" w:rsidRPr="00615AA9">
        <w:rPr>
          <w:rFonts w:eastAsia="Arial"/>
          <w:sz w:val="16"/>
          <w:szCs w:val="16"/>
        </w:rPr>
        <w:t xml:space="preserve"> </w:t>
      </w:r>
      <w:r w:rsidR="002B7F4F" w:rsidRPr="00615AA9">
        <w:rPr>
          <w:rFonts w:eastAsia="Arial" w:cs="Arial"/>
          <w:sz w:val="16"/>
          <w:szCs w:val="16"/>
        </w:rPr>
        <w:t>como su tutela, en medios electrónicos, de manera que garantice su uniformidad respecto de cualquier sujeto</w:t>
      </w:r>
      <w:r w:rsidR="002B7F4F" w:rsidRPr="00615AA9">
        <w:rPr>
          <w:rFonts w:eastAsia="Arial"/>
          <w:sz w:val="16"/>
          <w:szCs w:val="16"/>
        </w:rPr>
        <w:t xml:space="preserve"> </w:t>
      </w:r>
      <w:r w:rsidR="002B7F4F" w:rsidRPr="00615AA9">
        <w:rPr>
          <w:rFonts w:eastAsia="Arial" w:cs="Arial"/>
          <w:sz w:val="16"/>
          <w:szCs w:val="16"/>
        </w:rPr>
        <w:t>obligado, y sea el repositorio de información obligatoria de transparencia nacional; que estará conformada por el Sistema de Solicitudes de Acceso a la Información (SISAI); el Sistema de Gestión de Medios de Impugnación (SIGEMI); el Sistema de Portales de Obligaciones de Transparencia (SIPOT), y el Sistema de Comunicación entre Organismos Garantes y Sujetos Obligados (SICOM).</w:t>
      </w:r>
    </w:p>
    <w:p w:rsidR="002B7F4F" w:rsidRPr="00615AA9" w:rsidRDefault="002B7F4F" w:rsidP="00056D7A">
      <w:pPr>
        <w:spacing w:after="0"/>
        <w:jc w:val="both"/>
        <w:rPr>
          <w:rFonts w:eastAsia="Arial" w:cs="Arial"/>
          <w:b/>
          <w:sz w:val="16"/>
          <w:szCs w:val="16"/>
        </w:rPr>
      </w:pPr>
    </w:p>
    <w:p w:rsidR="002B7F4F" w:rsidRPr="00615AA9" w:rsidRDefault="002B7F4F" w:rsidP="00056D7A">
      <w:pPr>
        <w:spacing w:after="0"/>
        <w:jc w:val="both"/>
        <w:rPr>
          <w:rFonts w:eastAsia="Arial" w:cs="Arial"/>
          <w:sz w:val="16"/>
          <w:szCs w:val="16"/>
        </w:rPr>
      </w:pPr>
      <w:r w:rsidRPr="00615AA9">
        <w:rPr>
          <w:rFonts w:eastAsia="Arial" w:cs="Arial"/>
          <w:sz w:val="16"/>
          <w:szCs w:val="16"/>
        </w:rPr>
        <w:t xml:space="preserve">Dicho instrumento informático inició operaciones el 6 de mayo de 2016, por lo que este organismo autónomo se sumó </w:t>
      </w:r>
      <w:r w:rsidR="009B0264" w:rsidRPr="00615AA9">
        <w:rPr>
          <w:rFonts w:eastAsia="Arial" w:cs="Arial"/>
          <w:sz w:val="16"/>
          <w:szCs w:val="16"/>
        </w:rPr>
        <w:t xml:space="preserve">y está utilizando dicha Plataforma, desde el mismo 6 </w:t>
      </w:r>
      <w:r w:rsidRPr="00615AA9">
        <w:rPr>
          <w:rFonts w:eastAsia="Arial" w:cs="Arial"/>
          <w:sz w:val="16"/>
          <w:szCs w:val="16"/>
        </w:rPr>
        <w:t>de mayo de 2016.</w:t>
      </w:r>
    </w:p>
    <w:p w:rsidR="00056D7A" w:rsidRPr="00615AA9" w:rsidRDefault="00056D7A" w:rsidP="00056D7A">
      <w:pPr>
        <w:spacing w:after="0"/>
        <w:jc w:val="both"/>
        <w:rPr>
          <w:rFonts w:eastAsia="Arial" w:cs="Arial"/>
          <w:sz w:val="16"/>
          <w:szCs w:val="16"/>
        </w:rPr>
      </w:pPr>
    </w:p>
    <w:p w:rsidR="0096599A" w:rsidRPr="00615AA9" w:rsidRDefault="00056D7A" w:rsidP="002B7F4F">
      <w:pPr>
        <w:spacing w:after="0"/>
        <w:jc w:val="both"/>
        <w:rPr>
          <w:rFonts w:eastAsia="Arial" w:cs="Arial"/>
          <w:sz w:val="16"/>
          <w:szCs w:val="16"/>
        </w:rPr>
      </w:pPr>
      <w:r w:rsidRPr="00EC799F">
        <w:rPr>
          <w:rFonts w:eastAsia="Arial" w:cs="Arial"/>
          <w:sz w:val="16"/>
          <w:szCs w:val="16"/>
        </w:rPr>
        <w:t xml:space="preserve">La plataforma está disponible en el sitio electrónico </w:t>
      </w:r>
      <w:r w:rsidR="002B7F4F" w:rsidRPr="00F87F3E">
        <w:rPr>
          <w:rFonts w:eastAsia="Arial" w:cs="Arial"/>
          <w:sz w:val="16"/>
          <w:szCs w:val="16"/>
        </w:rPr>
        <w:t>www.plataformadetransparencia.org.mx</w:t>
      </w:r>
      <w:r w:rsidR="002B7F4F" w:rsidRPr="00EC799F">
        <w:rPr>
          <w:rFonts w:eastAsia="Arial" w:cs="Arial"/>
          <w:sz w:val="16"/>
          <w:szCs w:val="16"/>
        </w:rPr>
        <w:t xml:space="preserve"> y se puede acceder a ella desde el portal de este Instituto, así como de los siguientes sujetos obligados</w:t>
      </w:r>
      <w:r w:rsidR="00AF0629" w:rsidRPr="00EC799F">
        <w:rPr>
          <w:rFonts w:eastAsia="Arial" w:cs="Arial"/>
          <w:sz w:val="16"/>
          <w:szCs w:val="16"/>
        </w:rPr>
        <w:t>, que de igual manera están utilizando dicho sistema informático</w:t>
      </w:r>
      <w:r w:rsidR="002B7F4F" w:rsidRPr="00EC799F">
        <w:rPr>
          <w:rFonts w:eastAsia="Arial" w:cs="Arial"/>
          <w:sz w:val="16"/>
          <w:szCs w:val="16"/>
        </w:rPr>
        <w:t>:</w:t>
      </w:r>
    </w:p>
    <w:p w:rsidR="002B7F4F" w:rsidRPr="00615AA9" w:rsidRDefault="002B7F4F" w:rsidP="002B7F4F">
      <w:pPr>
        <w:spacing w:after="0"/>
        <w:jc w:val="both"/>
        <w:rPr>
          <w:rFonts w:eastAsia="Arial" w:cs="Arial"/>
          <w:sz w:val="16"/>
          <w:szCs w:val="16"/>
        </w:rPr>
      </w:pPr>
    </w:p>
    <w:p w:rsidR="00A45774" w:rsidRPr="00615AA9" w:rsidRDefault="00A45774" w:rsidP="00E13209">
      <w:pPr>
        <w:spacing w:after="0"/>
        <w:rPr>
          <w:sz w:val="16"/>
          <w:szCs w:val="16"/>
        </w:rPr>
        <w:sectPr w:rsidR="00A45774" w:rsidRPr="00615AA9" w:rsidSect="00271AE3">
          <w:headerReference w:type="default" r:id="rId9"/>
          <w:pgSz w:w="12240" w:h="15840"/>
          <w:pgMar w:top="1985" w:right="1701" w:bottom="1985" w:left="1701" w:header="720" w:footer="720" w:gutter="0"/>
          <w:cols w:space="720"/>
          <w:docGrid w:linePitch="299"/>
        </w:sectPr>
      </w:pPr>
    </w:p>
    <w:p w:rsidR="00E13209" w:rsidRPr="00615AA9" w:rsidRDefault="00E13209" w:rsidP="00A45774">
      <w:pPr>
        <w:pStyle w:val="Prrafodelista"/>
        <w:numPr>
          <w:ilvl w:val="0"/>
          <w:numId w:val="8"/>
        </w:numPr>
        <w:spacing w:after="0"/>
        <w:ind w:left="284" w:firstLine="0"/>
        <w:jc w:val="both"/>
        <w:rPr>
          <w:sz w:val="16"/>
          <w:szCs w:val="16"/>
        </w:rPr>
      </w:pPr>
      <w:r w:rsidRPr="00615AA9">
        <w:rPr>
          <w:sz w:val="16"/>
          <w:szCs w:val="16"/>
        </w:rPr>
        <w:lastRenderedPageBreak/>
        <w:t>Abalá</w:t>
      </w:r>
    </w:p>
    <w:p w:rsidR="00E13209" w:rsidRPr="00615AA9" w:rsidRDefault="00E13209" w:rsidP="00A45774">
      <w:pPr>
        <w:pStyle w:val="Prrafodelista"/>
        <w:numPr>
          <w:ilvl w:val="0"/>
          <w:numId w:val="8"/>
        </w:numPr>
        <w:spacing w:after="0"/>
        <w:ind w:left="284" w:firstLine="0"/>
        <w:jc w:val="both"/>
        <w:rPr>
          <w:sz w:val="16"/>
          <w:szCs w:val="16"/>
        </w:rPr>
      </w:pPr>
      <w:r w:rsidRPr="00615AA9">
        <w:rPr>
          <w:rFonts w:ascii="Calibri" w:eastAsia="Times New Roman" w:hAnsi="Calibri" w:cs="Times New Roman"/>
          <w:color w:val="000000"/>
          <w:sz w:val="16"/>
          <w:szCs w:val="16"/>
          <w:lang w:eastAsia="es-MX"/>
        </w:rPr>
        <w:t>Acanceh</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Administración del Patrimonio de la Beneficencia Pública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Aeropuerto de Chichen Itzá del Estado de Yucatán S.A. de C.V.</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Agencia de Administración Fiscal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Akil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Buctzotz</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Casa de las Artesanías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Centro Estatal de Trasplantes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Chicxulub Pueblo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Colegio de Bachilleres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Colegio de Educación Profesional Técnica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Colegio de Estudios Científicos y Tecnológicos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Comisión de Derechos Humanos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Conkal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Consejería Jurídica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Consejo de la Judicatura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Coordinación Metropolitana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Cuncunul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Despacho del Gobernador</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Dzidzantún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Escuela Superior de Artes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Espita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Fábrica de Postes de Yucatán, S.A. de C.V.</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Fideicomiso Garante de la Orquesta Sinfónica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Fiscalía General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H. Congreso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Hospital Comunitario de Peto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Hospital Comunitario de Ticul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Hospital de la Amistad Corea - México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Becas y Crédito Educativo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lastRenderedPageBreak/>
        <w:t>Instituto de Capacitación para el Trabajo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Educación para Adultos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de Historia y Museos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Infraestructura Carretera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de Procedimientos Electorales y Participación Ciudadana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Seguridad Jurídica Patrimonial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Seguridad Social de los Trabajadores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 Vivienda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del Deporte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Estatal de Transparencia, Acceso a la Información Pública y Protección de Datos Personales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para el Desarrollo de la Cultura Maya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para el Desarrollo y Certificación de la Infraestructura Física y Educativa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para la Construcción y Conservación de Obra Pública en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para la Igualdad entre Mujeres y Hombre d</w:t>
      </w:r>
      <w:r w:rsidR="004C237D" w:rsidRPr="00615AA9">
        <w:rPr>
          <w:rFonts w:ascii="Calibri" w:eastAsia="Times New Roman" w:hAnsi="Calibri" w:cs="Times New Roman"/>
          <w:color w:val="000000"/>
          <w:sz w:val="16"/>
          <w:szCs w:val="16"/>
          <w:lang w:eastAsia="es-MX"/>
        </w:rPr>
        <w:t>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Promotor de Ferias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Tecnológico Superior de Motul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Tecnológico Superior de Progreso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Tecnológico Superior de Valladolid</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Instituto Tecnológico Superior del Sur</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Instituto Yucateco de Emprendedores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Izamal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Junta de Agua Potable y Alcantarillado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Junta de Asistencia Privada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Junta de Electrificación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Kanasín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Maní</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Mayapán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Mérida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lastRenderedPageBreak/>
        <w:t>Motul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Muna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Oxkutzcab</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Panabá</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Acción Nacional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de la Revolución Democrática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Movimiento Ciudadano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Nueva Alianza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Revolucionario Institucional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Partido Verde Ecologista de México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Patronato de las Unidades de Servicios Culturales y Turísticas del Estado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Peto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Progreso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Régimen Estatal de Protección Social en Salud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Río Lagartos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Administración Y Finanzas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Desarrollo Rural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Desarrollo Social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Desarrollo Urbano y Medio Ambiente</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Educación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Fomento Económico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Fomento Turístico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Investigación, Innovación y Educación Superior</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la Contraloría General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la Cultura y las Artes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la Juventud</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Obras Públicas</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Salud</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 Seguridad Pública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del Trabajo y Previsión Social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General de Gobierno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Secretaría Técnica de Planeación y Evaluación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Servicios de Salud de Yucatán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Sistema para el Desarrollo Integral de la Familia en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Sistema </w:t>
      </w:r>
      <w:proofErr w:type="spellStart"/>
      <w:r w:rsidRPr="00615AA9">
        <w:rPr>
          <w:rFonts w:ascii="Calibri" w:eastAsia="Times New Roman" w:hAnsi="Calibri" w:cs="Times New Roman"/>
          <w:color w:val="000000"/>
          <w:sz w:val="16"/>
          <w:szCs w:val="16"/>
          <w:lang w:eastAsia="es-MX"/>
        </w:rPr>
        <w:t>Teleyucatán</w:t>
      </w:r>
      <w:proofErr w:type="spellEnd"/>
      <w:r w:rsidRPr="00615AA9">
        <w:rPr>
          <w:rFonts w:ascii="Calibri" w:eastAsia="Times New Roman" w:hAnsi="Calibri" w:cs="Times New Roman"/>
          <w:color w:val="000000"/>
          <w:sz w:val="16"/>
          <w:szCs w:val="16"/>
          <w:lang w:eastAsia="es-MX"/>
        </w:rPr>
        <w:t>, S.A. De C.V.</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Sucilá</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Teabo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Tecoh</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Tekax</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Tekit</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Telchac Pueblo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Telchac Puerto</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Ticul</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Tizimín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Tribunal de Justicia Fiscal y Administrativa del Poder Judicial del Estado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Tribunal Superior de Justicia</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Tzucacab</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Universidad Autónoma de Yucatán</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Universidad de Oriente</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Universidad Tecnológica del Centro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Universidad Tecnológica del </w:t>
      </w:r>
      <w:proofErr w:type="spellStart"/>
      <w:r w:rsidRPr="00615AA9">
        <w:rPr>
          <w:rFonts w:ascii="Calibri" w:eastAsia="Times New Roman" w:hAnsi="Calibri" w:cs="Times New Roman"/>
          <w:color w:val="000000"/>
          <w:sz w:val="16"/>
          <w:szCs w:val="16"/>
          <w:lang w:eastAsia="es-MX"/>
        </w:rPr>
        <w:t>Mayab</w:t>
      </w:r>
      <w:proofErr w:type="spellEnd"/>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Universidad Tecnológica del Poniente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Universidad Tecnológica Metropolitana </w:t>
      </w:r>
    </w:p>
    <w:p w:rsidR="00E13209" w:rsidRPr="00615AA9" w:rsidRDefault="00E13209" w:rsidP="00A45774">
      <w:pPr>
        <w:pStyle w:val="Prrafodelista"/>
        <w:numPr>
          <w:ilvl w:val="0"/>
          <w:numId w:val="8"/>
        </w:numPr>
        <w:spacing w:after="0" w:line="240" w:lineRule="auto"/>
        <w:ind w:left="284" w:firstLine="0"/>
        <w:jc w:val="both"/>
        <w:rPr>
          <w:rFonts w:ascii="Calibri" w:eastAsia="Times New Roman" w:hAnsi="Calibri" w:cs="Times New Roman"/>
          <w:color w:val="000000"/>
          <w:sz w:val="16"/>
          <w:szCs w:val="16"/>
          <w:lang w:eastAsia="es-MX"/>
        </w:rPr>
      </w:pPr>
      <w:r w:rsidRPr="00615AA9">
        <w:rPr>
          <w:rFonts w:ascii="Calibri" w:eastAsia="Times New Roman" w:hAnsi="Calibri" w:cs="Times New Roman"/>
          <w:color w:val="000000"/>
          <w:sz w:val="16"/>
          <w:szCs w:val="16"/>
          <w:lang w:eastAsia="es-MX"/>
        </w:rPr>
        <w:t xml:space="preserve">Universidad Tecnológica Regional del Sur </w:t>
      </w:r>
    </w:p>
    <w:p w:rsidR="00E13209" w:rsidRPr="00615AA9" w:rsidRDefault="00E13209" w:rsidP="00A45774">
      <w:pPr>
        <w:pStyle w:val="Prrafodelista"/>
        <w:numPr>
          <w:ilvl w:val="0"/>
          <w:numId w:val="8"/>
        </w:numPr>
        <w:spacing w:after="0"/>
        <w:ind w:left="284" w:firstLine="0"/>
        <w:jc w:val="both"/>
        <w:rPr>
          <w:sz w:val="16"/>
          <w:szCs w:val="16"/>
        </w:rPr>
      </w:pPr>
      <w:r w:rsidRPr="00615AA9">
        <w:rPr>
          <w:rFonts w:ascii="Calibri" w:eastAsia="Times New Roman" w:hAnsi="Calibri" w:cs="Times New Roman"/>
          <w:color w:val="000000"/>
          <w:sz w:val="16"/>
          <w:szCs w:val="16"/>
          <w:lang w:eastAsia="es-MX"/>
        </w:rPr>
        <w:t>Valladolid</w:t>
      </w:r>
    </w:p>
    <w:p w:rsidR="00A45774" w:rsidRPr="00615AA9" w:rsidRDefault="00A45774" w:rsidP="002B7F4F">
      <w:pPr>
        <w:spacing w:after="0"/>
        <w:jc w:val="both"/>
        <w:rPr>
          <w:rFonts w:eastAsia="Arial" w:cs="Arial"/>
          <w:sz w:val="16"/>
          <w:szCs w:val="16"/>
        </w:rPr>
        <w:sectPr w:rsidR="00A45774" w:rsidRPr="00615AA9" w:rsidSect="00A45774">
          <w:type w:val="continuous"/>
          <w:pgSz w:w="12240" w:h="15840"/>
          <w:pgMar w:top="1417" w:right="1701" w:bottom="1417" w:left="1701" w:header="720" w:footer="720" w:gutter="0"/>
          <w:cols w:num="2" w:space="720"/>
        </w:sectPr>
      </w:pPr>
    </w:p>
    <w:p w:rsidR="002B7F4F" w:rsidRPr="00615AA9" w:rsidRDefault="002B7F4F" w:rsidP="002B7F4F">
      <w:pPr>
        <w:spacing w:after="0"/>
        <w:jc w:val="both"/>
        <w:rPr>
          <w:rFonts w:eastAsia="Arial" w:cs="Arial"/>
          <w:sz w:val="16"/>
          <w:szCs w:val="16"/>
        </w:rPr>
      </w:pPr>
    </w:p>
    <w:p w:rsidR="00391D94" w:rsidRPr="00615AA9" w:rsidRDefault="0096599A" w:rsidP="00D7060C">
      <w:pPr>
        <w:spacing w:after="0"/>
        <w:jc w:val="both"/>
        <w:rPr>
          <w:rFonts w:eastAsia="Arial" w:cs="Arial"/>
          <w:sz w:val="16"/>
          <w:szCs w:val="16"/>
        </w:rPr>
      </w:pPr>
      <w:r w:rsidRPr="00615AA9">
        <w:rPr>
          <w:rFonts w:eastAsia="Arial" w:cs="Arial"/>
          <w:b/>
          <w:sz w:val="16"/>
          <w:szCs w:val="16"/>
        </w:rPr>
        <w:t xml:space="preserve">OCTAVO.- </w:t>
      </w:r>
      <w:r w:rsidR="00632C95" w:rsidRPr="00615AA9">
        <w:rPr>
          <w:rFonts w:eastAsia="Arial" w:cs="Arial"/>
          <w:sz w:val="16"/>
          <w:szCs w:val="16"/>
        </w:rPr>
        <w:t xml:space="preserve">El 23 de mayo de 2016, se recibió del </w:t>
      </w:r>
      <w:r w:rsidR="00F631D7" w:rsidRPr="00615AA9">
        <w:rPr>
          <w:rFonts w:eastAsia="Arial" w:cs="Arial"/>
          <w:sz w:val="16"/>
          <w:szCs w:val="16"/>
        </w:rPr>
        <w:t>Secretario Ejecutivo del Sistema Nacional de Transparencia, Licenciado en Derecho Federico Guzmán Tamayo, el oficio sin número, ni fecha, a través del cual manifestó:</w:t>
      </w:r>
    </w:p>
    <w:p w:rsidR="00F631D7" w:rsidRPr="00615AA9" w:rsidRDefault="00F631D7" w:rsidP="00D7060C">
      <w:pPr>
        <w:pStyle w:val="Default"/>
        <w:spacing w:line="276" w:lineRule="auto"/>
        <w:rPr>
          <w:sz w:val="16"/>
          <w:szCs w:val="16"/>
        </w:rPr>
      </w:pP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“…La Plataforma Nacional de Transparencia (PNT) cuenta con diecinueve días en operación. A través de la misma se han presentado a la fecha 26,796 solicitudes de información, ya que se encuentran interconectados a la misma 30 entidades federativas y la federación.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En la operación de la PNT se han registrado incidencias, las cuales varias de ellas se han venido corrigiendo; sin embargo, a la fecha, otras se reportan conforme avanza el ciclo de la presentación y atención de solicitudes de información, así como de medios de impugnación.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Las incidencias que en estos momentos ha reportado la DGTI respecto a la funcionalidad de la PNT son las siguientes: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A. En la Federación como en las entidades federativas no se reconocen caracteres como () ¨ ´ # </w:t>
      </w:r>
      <w:proofErr w:type="gramStart"/>
      <w:r w:rsidRPr="00615AA9">
        <w:rPr>
          <w:rFonts w:asciiTheme="minorHAnsi" w:eastAsia="Arial" w:hAnsiTheme="minorHAnsi" w:cs="Arial"/>
          <w:i/>
          <w:color w:val="auto"/>
          <w:sz w:val="16"/>
          <w:szCs w:val="16"/>
        </w:rPr>
        <w:t>“ -</w:t>
      </w:r>
      <w:proofErr w:type="gramEnd"/>
      <w:r w:rsidRPr="00615AA9">
        <w:rPr>
          <w:rFonts w:asciiTheme="minorHAnsi" w:eastAsia="Arial" w:hAnsiTheme="minorHAnsi" w:cs="Arial"/>
          <w:i/>
          <w:color w:val="auto"/>
          <w:sz w:val="16"/>
          <w:szCs w:val="16"/>
        </w:rPr>
        <w:t xml:space="preserve"> / cuando se llena el campo de “domicilio”.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B. En los Estados las respuestas que emiten los sujetos obligados no son desplegadas en la sección de “mis solicitudes”.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C. Con relación al Sistema de Gestión de Medios de Impugnación, al momento de interponer recursos de revisión contra los sujetos obligados de la federación como de los estados, no vincula los datos registrados en la solicitud, así como la respuesta proporcionada. </w:t>
      </w:r>
    </w:p>
    <w:p w:rsidR="00F631D7" w:rsidRPr="00615AA9" w:rsidRDefault="00F631D7" w:rsidP="00D7060C">
      <w:pPr>
        <w:pStyle w:val="Default"/>
        <w:spacing w:line="276" w:lineRule="auto"/>
        <w:ind w:left="851" w:right="616"/>
        <w:jc w:val="both"/>
        <w:rPr>
          <w:rFonts w:asciiTheme="minorHAnsi" w:eastAsia="Arial" w:hAnsiTheme="minorHAnsi" w:cs="Arial"/>
          <w:i/>
          <w:color w:val="auto"/>
          <w:sz w:val="16"/>
          <w:szCs w:val="16"/>
        </w:rPr>
      </w:pPr>
      <w:r w:rsidRPr="00615AA9">
        <w:rPr>
          <w:rFonts w:asciiTheme="minorHAnsi" w:eastAsia="Arial" w:hAnsiTheme="minorHAnsi" w:cs="Arial"/>
          <w:i/>
          <w:color w:val="auto"/>
          <w:sz w:val="16"/>
          <w:szCs w:val="16"/>
        </w:rPr>
        <w:t xml:space="preserve">Estas incidencias registradas en la PNT representan dificultades para que los particulares lleven a cabo adecuadamente solicitudes de información y presentación de recursos de revisión. Cabe señalar que se está trabajando para que en de los próximos días se solventen dichas incidencias. </w:t>
      </w:r>
    </w:p>
    <w:p w:rsidR="00D7060C" w:rsidRPr="00615AA9" w:rsidRDefault="00F631D7" w:rsidP="00D7060C">
      <w:pPr>
        <w:spacing w:after="0"/>
        <w:ind w:left="851" w:right="616"/>
        <w:jc w:val="both"/>
        <w:rPr>
          <w:rFonts w:eastAsia="Arial" w:cs="Arial"/>
          <w:b/>
          <w:sz w:val="16"/>
          <w:szCs w:val="16"/>
        </w:rPr>
      </w:pPr>
      <w:r w:rsidRPr="00615AA9">
        <w:rPr>
          <w:rFonts w:eastAsia="Arial" w:cs="Arial"/>
          <w:b/>
          <w:i/>
          <w:sz w:val="16"/>
          <w:szCs w:val="16"/>
        </w:rPr>
        <w:t>Derivado de lo anterior, y a efecto de que los particulares sigan ejerciendo su derecho de acceso a la información se solicita al organismo garante que usted representa para que se proceda a habilitar el sistema electrónico de solicitudes de información de su entidad; por lo que funcionará de manera paralela a la PNT, mientras se concluye y aplica la solución tecnológica para resolver las incidencias anteriormente referidas.</w:t>
      </w:r>
    </w:p>
    <w:p w:rsidR="00F631D7" w:rsidRPr="00615AA9" w:rsidRDefault="00F631D7" w:rsidP="00D7060C">
      <w:pPr>
        <w:spacing w:after="0"/>
        <w:ind w:left="851" w:right="616"/>
        <w:jc w:val="both"/>
        <w:rPr>
          <w:rFonts w:eastAsia="Arial" w:cs="Arial"/>
          <w:sz w:val="16"/>
          <w:szCs w:val="16"/>
        </w:rPr>
      </w:pPr>
      <w:r w:rsidRPr="00615AA9">
        <w:rPr>
          <w:rFonts w:eastAsia="Arial" w:cs="Arial"/>
          <w:i/>
          <w:sz w:val="16"/>
          <w:szCs w:val="16"/>
        </w:rPr>
        <w:lastRenderedPageBreak/>
        <w:t>Lo anterior, con fundamento en lo establecido en el artículo décimo tercero de los Lineamientos de Operación de la Plataforma Nacional de Transparencia…</w:t>
      </w:r>
      <w:proofErr w:type="gramStart"/>
      <w:r w:rsidRPr="00615AA9">
        <w:rPr>
          <w:rFonts w:eastAsia="Arial" w:cs="Arial"/>
          <w:i/>
          <w:sz w:val="16"/>
          <w:szCs w:val="16"/>
        </w:rPr>
        <w:t>”</w:t>
      </w:r>
      <w:r w:rsidR="004C237D" w:rsidRPr="00615AA9">
        <w:rPr>
          <w:rFonts w:eastAsia="Arial" w:cs="Arial"/>
          <w:i/>
          <w:sz w:val="16"/>
          <w:szCs w:val="16"/>
        </w:rPr>
        <w:t>(</w:t>
      </w:r>
      <w:proofErr w:type="gramEnd"/>
      <w:r w:rsidR="004C237D" w:rsidRPr="00615AA9">
        <w:rPr>
          <w:rFonts w:eastAsia="Arial" w:cs="Arial"/>
          <w:i/>
          <w:sz w:val="16"/>
          <w:szCs w:val="16"/>
        </w:rPr>
        <w:t>SIC)</w:t>
      </w:r>
    </w:p>
    <w:p w:rsidR="00F631D7" w:rsidRPr="00615AA9" w:rsidRDefault="00F631D7" w:rsidP="00D7060C">
      <w:pPr>
        <w:spacing w:after="0"/>
        <w:jc w:val="both"/>
        <w:rPr>
          <w:rFonts w:eastAsia="Arial" w:cs="Arial"/>
          <w:sz w:val="16"/>
          <w:szCs w:val="16"/>
        </w:rPr>
      </w:pPr>
    </w:p>
    <w:p w:rsidR="00D7060C" w:rsidRPr="00615AA9" w:rsidRDefault="00F954ED" w:rsidP="00615AA9">
      <w:pPr>
        <w:spacing w:after="0"/>
        <w:jc w:val="center"/>
        <w:rPr>
          <w:b/>
          <w:sz w:val="16"/>
          <w:szCs w:val="16"/>
        </w:rPr>
      </w:pPr>
      <w:r w:rsidRPr="00615AA9">
        <w:rPr>
          <w:b/>
          <w:sz w:val="16"/>
          <w:szCs w:val="16"/>
        </w:rPr>
        <w:t>CONSIDERANDOS</w:t>
      </w:r>
    </w:p>
    <w:p w:rsidR="00AF0629" w:rsidRPr="00615AA9" w:rsidRDefault="0014276C" w:rsidP="00D7060C">
      <w:pPr>
        <w:spacing w:after="0"/>
        <w:jc w:val="both"/>
        <w:rPr>
          <w:rFonts w:eastAsia="Arial" w:cs="Arial"/>
          <w:sz w:val="16"/>
          <w:szCs w:val="16"/>
        </w:rPr>
      </w:pPr>
      <w:r w:rsidRPr="00615AA9">
        <w:rPr>
          <w:rFonts w:eastAsia="Arial" w:cs="Arial"/>
          <w:b/>
          <w:sz w:val="16"/>
          <w:szCs w:val="16"/>
        </w:rPr>
        <w:t>PRIMERO</w:t>
      </w:r>
      <w:r w:rsidR="008F7179" w:rsidRPr="00615AA9">
        <w:rPr>
          <w:rFonts w:eastAsia="Arial" w:cs="Arial"/>
          <w:b/>
          <w:sz w:val="16"/>
          <w:szCs w:val="16"/>
        </w:rPr>
        <w:t>.-</w:t>
      </w:r>
      <w:r w:rsidR="00DE3DBC" w:rsidRPr="00615AA9">
        <w:rPr>
          <w:rFonts w:eastAsia="Arial" w:cs="Arial"/>
          <w:b/>
          <w:sz w:val="16"/>
          <w:szCs w:val="16"/>
        </w:rPr>
        <w:t xml:space="preserve"> </w:t>
      </w:r>
      <w:r w:rsidR="00376046" w:rsidRPr="00615AA9">
        <w:rPr>
          <w:sz w:val="16"/>
          <w:szCs w:val="16"/>
        </w:rPr>
        <w:t>El Instituto Estatal de Transparencia, Acceso a la Información Pública y Protección de Datos Personales es un organismo público autónomo, especializado, independiente, imparcial y colegiado, con personalidad jurídica y patrimonio propios, con plena autonomía técnica</w:t>
      </w:r>
      <w:r w:rsidR="004C237D" w:rsidRPr="00615AA9">
        <w:rPr>
          <w:sz w:val="16"/>
          <w:szCs w:val="16"/>
        </w:rPr>
        <w:t>,</w:t>
      </w:r>
      <w:r w:rsidR="00376046" w:rsidRPr="00615AA9">
        <w:rPr>
          <w:sz w:val="16"/>
          <w:szCs w:val="16"/>
        </w:rPr>
        <w:t xml:space="preserve"> de gestión,</w:t>
      </w:r>
      <w:r w:rsidR="004C237D" w:rsidRPr="00615AA9">
        <w:rPr>
          <w:sz w:val="16"/>
          <w:szCs w:val="16"/>
        </w:rPr>
        <w:t xml:space="preserve"> y</w:t>
      </w:r>
      <w:r w:rsidR="00376046" w:rsidRPr="00615AA9">
        <w:rPr>
          <w:sz w:val="16"/>
          <w:szCs w:val="16"/>
        </w:rPr>
        <w:t xml:space="preserve"> capacidad para decidir sobre el ejercicio de su presupuesto y determinar su organización interna, responsable de garantizar el ejercicio de los derechos de acceso a la información y </w:t>
      </w:r>
      <w:r w:rsidR="004C237D" w:rsidRPr="00615AA9">
        <w:rPr>
          <w:sz w:val="16"/>
          <w:szCs w:val="16"/>
        </w:rPr>
        <w:t xml:space="preserve">la </w:t>
      </w:r>
      <w:r w:rsidR="00376046" w:rsidRPr="00615AA9">
        <w:rPr>
          <w:sz w:val="16"/>
          <w:szCs w:val="16"/>
        </w:rPr>
        <w:t xml:space="preserve">protección de datos personales conforme a los principios y bases establecidos en el artículo 6o. de la Constitución Política de los Estados Unidos Mexicanos, así como lo dispuesto en la Constitución Política del Estado de Yucatán, la Ley general, la </w:t>
      </w:r>
      <w:r w:rsidR="004C237D" w:rsidRPr="00615AA9">
        <w:rPr>
          <w:sz w:val="16"/>
          <w:szCs w:val="16"/>
        </w:rPr>
        <w:t>L</w:t>
      </w:r>
      <w:r w:rsidR="00376046" w:rsidRPr="00615AA9">
        <w:rPr>
          <w:sz w:val="16"/>
          <w:szCs w:val="16"/>
        </w:rPr>
        <w:t>ey estatal de la materia y demás disposiciones normativas aplicables.</w:t>
      </w:r>
    </w:p>
    <w:p w:rsidR="00BB63A6" w:rsidRPr="00615AA9" w:rsidRDefault="00BB63A6" w:rsidP="00D7060C">
      <w:pPr>
        <w:spacing w:after="0"/>
        <w:jc w:val="both"/>
        <w:rPr>
          <w:sz w:val="16"/>
          <w:szCs w:val="16"/>
        </w:rPr>
      </w:pPr>
    </w:p>
    <w:p w:rsidR="00CD1344" w:rsidRPr="00615AA9" w:rsidRDefault="0014276C" w:rsidP="00376046">
      <w:pPr>
        <w:spacing w:after="0"/>
        <w:jc w:val="both"/>
        <w:rPr>
          <w:sz w:val="16"/>
          <w:szCs w:val="16"/>
        </w:rPr>
      </w:pPr>
      <w:r w:rsidRPr="00615AA9">
        <w:rPr>
          <w:rFonts w:eastAsia="Arial" w:cs="Arial"/>
          <w:b/>
          <w:sz w:val="16"/>
          <w:szCs w:val="16"/>
        </w:rPr>
        <w:t>SEGUNDO.</w:t>
      </w:r>
      <w:r w:rsidR="0078018E" w:rsidRPr="00615AA9">
        <w:rPr>
          <w:rFonts w:eastAsia="Arial" w:cs="Arial"/>
          <w:b/>
          <w:sz w:val="16"/>
          <w:szCs w:val="16"/>
        </w:rPr>
        <w:t xml:space="preserve">- </w:t>
      </w:r>
      <w:r w:rsidR="006D3258" w:rsidRPr="00615AA9">
        <w:rPr>
          <w:sz w:val="16"/>
          <w:szCs w:val="16"/>
        </w:rPr>
        <w:t>El Instituto Estatal de Transparencia, Acceso a la Información Pública y Protección de Datos Personales, tiene entre otras atribuciones las de suplir cualquier deficiencia para garantizar el ejercicio del derecho de acceso a la información, así como desarrollar, administrar, implementar y poner en funcionamiento la plataforma electrónica que permita cumplir con los procedimientos y las obligaciones estableci</w:t>
      </w:r>
      <w:r w:rsidR="004C237D" w:rsidRPr="00615AA9">
        <w:rPr>
          <w:sz w:val="16"/>
          <w:szCs w:val="16"/>
        </w:rPr>
        <w:t>das en la</w:t>
      </w:r>
      <w:r w:rsidR="006D3258" w:rsidRPr="00615AA9">
        <w:rPr>
          <w:sz w:val="16"/>
          <w:szCs w:val="16"/>
        </w:rPr>
        <w:t xml:space="preserve"> </w:t>
      </w:r>
      <w:r w:rsidR="004C237D" w:rsidRPr="00615AA9">
        <w:rPr>
          <w:sz w:val="16"/>
          <w:szCs w:val="16"/>
        </w:rPr>
        <w:t>L</w:t>
      </w:r>
      <w:r w:rsidR="006D3258" w:rsidRPr="00615AA9">
        <w:rPr>
          <w:sz w:val="16"/>
          <w:szCs w:val="16"/>
        </w:rPr>
        <w:t>ey</w:t>
      </w:r>
      <w:r w:rsidR="004C237D" w:rsidRPr="00615AA9">
        <w:rPr>
          <w:sz w:val="16"/>
          <w:szCs w:val="16"/>
        </w:rPr>
        <w:t xml:space="preserve"> estatales</w:t>
      </w:r>
      <w:r w:rsidR="006D3258" w:rsidRPr="00615AA9">
        <w:rPr>
          <w:sz w:val="16"/>
          <w:szCs w:val="16"/>
        </w:rPr>
        <w:t>, con apego a la normatividad e</w:t>
      </w:r>
      <w:r w:rsidR="004C237D" w:rsidRPr="00615AA9">
        <w:rPr>
          <w:sz w:val="16"/>
          <w:szCs w:val="16"/>
        </w:rPr>
        <w:t>xpedida por el Sistema N</w:t>
      </w:r>
      <w:r w:rsidR="0003649C" w:rsidRPr="00615AA9">
        <w:rPr>
          <w:sz w:val="16"/>
          <w:szCs w:val="16"/>
        </w:rPr>
        <w:t>acional, de conformidad con lo dispuesto en el artículo 12 en sus fracciones I y II de la Ley estatal de la materia.</w:t>
      </w:r>
    </w:p>
    <w:p w:rsidR="003B7C9B" w:rsidRPr="00615AA9" w:rsidRDefault="003B7C9B" w:rsidP="00D7060C">
      <w:pPr>
        <w:spacing w:after="0"/>
        <w:jc w:val="both"/>
        <w:rPr>
          <w:rFonts w:eastAsia="Arial" w:cs="Arial"/>
          <w:sz w:val="16"/>
          <w:szCs w:val="16"/>
        </w:rPr>
      </w:pPr>
    </w:p>
    <w:p w:rsidR="009B0264" w:rsidRPr="00615AA9" w:rsidRDefault="009B0264" w:rsidP="00D7060C">
      <w:pPr>
        <w:spacing w:after="0"/>
        <w:jc w:val="both"/>
        <w:rPr>
          <w:rFonts w:eastAsia="Arial" w:cs="Arial"/>
          <w:sz w:val="16"/>
          <w:szCs w:val="16"/>
        </w:rPr>
      </w:pPr>
      <w:r w:rsidRPr="00615AA9">
        <w:rPr>
          <w:rFonts w:eastAsia="Arial" w:cs="Arial"/>
          <w:sz w:val="16"/>
          <w:szCs w:val="16"/>
        </w:rPr>
        <w:t>En este mismo sentido, los Lineamientos para la Implementación y Operación de la Plataforma Nacional de Transparencia</w:t>
      </w:r>
      <w:r w:rsidR="00C32DA1" w:rsidRPr="00615AA9">
        <w:rPr>
          <w:rFonts w:eastAsia="Arial" w:cs="Arial"/>
          <w:sz w:val="16"/>
          <w:szCs w:val="16"/>
        </w:rPr>
        <w:t>, en su numeral décimo tercero, faculta a este órgano garante, para implementar medidas tendientes a garantizar el ejercicio pleno del derecho de acceso a la información y la protección de datos personales, a través de medios electrónicos, en el supuesto de que la Plataforma Nacional presente fallas técnicas, que imposibiliten su funcionamiento.</w:t>
      </w:r>
    </w:p>
    <w:p w:rsidR="009B0264" w:rsidRPr="00615AA9" w:rsidRDefault="009B0264" w:rsidP="00D7060C">
      <w:pPr>
        <w:spacing w:after="0"/>
        <w:jc w:val="both"/>
        <w:rPr>
          <w:rFonts w:eastAsia="Arial" w:cs="Arial"/>
          <w:sz w:val="16"/>
          <w:szCs w:val="16"/>
        </w:rPr>
      </w:pPr>
    </w:p>
    <w:p w:rsidR="0003649C" w:rsidRPr="00615AA9" w:rsidRDefault="0003649C" w:rsidP="00D7060C">
      <w:pPr>
        <w:spacing w:after="0"/>
        <w:jc w:val="both"/>
        <w:rPr>
          <w:rFonts w:eastAsia="Arial" w:cs="Arial"/>
          <w:sz w:val="16"/>
          <w:szCs w:val="16"/>
        </w:rPr>
      </w:pPr>
      <w:r w:rsidRPr="00615AA9">
        <w:rPr>
          <w:rFonts w:eastAsia="Arial" w:cs="Arial"/>
          <w:b/>
          <w:sz w:val="16"/>
          <w:szCs w:val="16"/>
        </w:rPr>
        <w:t xml:space="preserve">TERCERO.- </w:t>
      </w:r>
      <w:r w:rsidR="001F3F7F" w:rsidRPr="00615AA9">
        <w:rPr>
          <w:rFonts w:eastAsia="Arial" w:cs="Arial"/>
          <w:sz w:val="16"/>
          <w:szCs w:val="16"/>
        </w:rPr>
        <w:t xml:space="preserve">En razón de que </w:t>
      </w:r>
      <w:r w:rsidR="004C237D" w:rsidRPr="00615AA9">
        <w:rPr>
          <w:rFonts w:eastAsia="Arial" w:cs="Arial"/>
          <w:sz w:val="16"/>
          <w:szCs w:val="16"/>
        </w:rPr>
        <w:t xml:space="preserve">actualmente </w:t>
      </w:r>
      <w:r w:rsidR="001F3F7F" w:rsidRPr="00615AA9">
        <w:rPr>
          <w:rFonts w:eastAsia="Arial" w:cs="Arial"/>
          <w:sz w:val="16"/>
          <w:szCs w:val="16"/>
        </w:rPr>
        <w:t>la Plataforma Nacional presenta fallas técnicas que imposibilita</w:t>
      </w:r>
      <w:r w:rsidR="004C237D" w:rsidRPr="00615AA9">
        <w:rPr>
          <w:rFonts w:eastAsia="Arial" w:cs="Arial"/>
          <w:sz w:val="16"/>
          <w:szCs w:val="16"/>
        </w:rPr>
        <w:t>n</w:t>
      </w:r>
      <w:r w:rsidR="001F3F7F" w:rsidRPr="00615AA9">
        <w:rPr>
          <w:rFonts w:eastAsia="Arial" w:cs="Arial"/>
          <w:sz w:val="16"/>
          <w:szCs w:val="16"/>
        </w:rPr>
        <w:t xml:space="preserve"> su </w:t>
      </w:r>
      <w:r w:rsidR="00A55661" w:rsidRPr="00615AA9">
        <w:rPr>
          <w:rFonts w:eastAsia="Arial" w:cs="Arial"/>
          <w:sz w:val="16"/>
          <w:szCs w:val="16"/>
        </w:rPr>
        <w:t xml:space="preserve">correcto </w:t>
      </w:r>
      <w:r w:rsidR="001F3F7F" w:rsidRPr="00615AA9">
        <w:rPr>
          <w:rFonts w:eastAsia="Arial" w:cs="Arial"/>
          <w:sz w:val="16"/>
          <w:szCs w:val="16"/>
        </w:rPr>
        <w:t xml:space="preserve">funcionamiento, tal y como se señalara en el antecedente OCTAVO, y que el Secretario Ejecutivo del Sistema Nacional </w:t>
      </w:r>
      <w:r w:rsidR="00FF0AC3" w:rsidRPr="00615AA9">
        <w:rPr>
          <w:rFonts w:eastAsia="Arial" w:cs="Arial"/>
          <w:sz w:val="16"/>
          <w:szCs w:val="16"/>
        </w:rPr>
        <w:t>solicitara</w:t>
      </w:r>
      <w:r w:rsidR="001F3F7F" w:rsidRPr="00615AA9">
        <w:rPr>
          <w:rFonts w:eastAsia="Arial" w:cs="Arial"/>
          <w:sz w:val="16"/>
          <w:szCs w:val="16"/>
        </w:rPr>
        <w:t xml:space="preserve"> habilitar el sistema electrónico </w:t>
      </w:r>
      <w:r w:rsidR="00FF0AC3" w:rsidRPr="00615AA9">
        <w:rPr>
          <w:rFonts w:eastAsia="Arial" w:cs="Arial"/>
          <w:sz w:val="16"/>
          <w:szCs w:val="16"/>
        </w:rPr>
        <w:t xml:space="preserve">de solicitudes de información </w:t>
      </w:r>
      <w:r w:rsidR="0034763D" w:rsidRPr="00615AA9">
        <w:rPr>
          <w:rFonts w:eastAsia="Arial" w:cs="Arial"/>
          <w:sz w:val="16"/>
          <w:szCs w:val="16"/>
        </w:rPr>
        <w:t>d</w:t>
      </w:r>
      <w:r w:rsidR="00FF0AC3" w:rsidRPr="00615AA9">
        <w:rPr>
          <w:rFonts w:eastAsia="Arial" w:cs="Arial"/>
          <w:sz w:val="16"/>
          <w:szCs w:val="16"/>
        </w:rPr>
        <w:t>el estado de Yucatán y que éste</w:t>
      </w:r>
      <w:r w:rsidR="001F3F7F" w:rsidRPr="00615AA9">
        <w:rPr>
          <w:rFonts w:eastAsia="Arial" w:cs="Arial"/>
          <w:sz w:val="16"/>
          <w:szCs w:val="16"/>
        </w:rPr>
        <w:t xml:space="preserve"> funcion</w:t>
      </w:r>
      <w:r w:rsidR="0034763D" w:rsidRPr="00615AA9">
        <w:rPr>
          <w:rFonts w:eastAsia="Arial" w:cs="Arial"/>
          <w:sz w:val="16"/>
          <w:szCs w:val="16"/>
        </w:rPr>
        <w:t>e</w:t>
      </w:r>
      <w:r w:rsidR="00FF0AC3" w:rsidRPr="00615AA9">
        <w:rPr>
          <w:rFonts w:eastAsia="Arial" w:cs="Arial"/>
          <w:sz w:val="16"/>
          <w:szCs w:val="16"/>
        </w:rPr>
        <w:t xml:space="preserve"> de manera paralela a la Plataforma Nacional</w:t>
      </w:r>
      <w:r w:rsidR="001F3F7F" w:rsidRPr="00615AA9">
        <w:rPr>
          <w:rFonts w:eastAsia="Arial" w:cs="Arial"/>
          <w:sz w:val="16"/>
          <w:szCs w:val="16"/>
        </w:rPr>
        <w:t xml:space="preserve">, </w:t>
      </w:r>
      <w:r w:rsidR="00FF0AC3" w:rsidRPr="00615AA9">
        <w:rPr>
          <w:rFonts w:eastAsia="Arial" w:cs="Arial"/>
          <w:sz w:val="16"/>
          <w:szCs w:val="16"/>
        </w:rPr>
        <w:t>en tanto</w:t>
      </w:r>
      <w:r w:rsidR="001F3F7F" w:rsidRPr="00615AA9">
        <w:rPr>
          <w:rFonts w:eastAsia="Arial" w:cs="Arial"/>
          <w:sz w:val="16"/>
          <w:szCs w:val="16"/>
        </w:rPr>
        <w:t xml:space="preserve"> se concluye y aplica la solución tecnológica para resolver las incidencias </w:t>
      </w:r>
      <w:r w:rsidR="00FF0AC3" w:rsidRPr="00615AA9">
        <w:rPr>
          <w:rFonts w:eastAsia="Arial" w:cs="Arial"/>
          <w:sz w:val="16"/>
          <w:szCs w:val="16"/>
        </w:rPr>
        <w:t>señaladas en el antecedente OCTAVO,</w:t>
      </w:r>
      <w:r w:rsidR="00D35D98" w:rsidRPr="00615AA9">
        <w:rPr>
          <w:rFonts w:eastAsia="Arial" w:cs="Arial"/>
          <w:sz w:val="16"/>
          <w:szCs w:val="16"/>
        </w:rPr>
        <w:t xml:space="preserve"> es necesario que este órgano garante implemente medidas que garanti</w:t>
      </w:r>
      <w:r w:rsidR="0034763D" w:rsidRPr="00615AA9">
        <w:rPr>
          <w:rFonts w:eastAsia="Arial" w:cs="Arial"/>
          <w:sz w:val="16"/>
          <w:szCs w:val="16"/>
        </w:rPr>
        <w:t>cen</w:t>
      </w:r>
      <w:r w:rsidR="00D35D98" w:rsidRPr="00615AA9">
        <w:rPr>
          <w:rFonts w:eastAsia="Arial" w:cs="Arial"/>
          <w:sz w:val="16"/>
          <w:szCs w:val="16"/>
        </w:rPr>
        <w:t xml:space="preserve"> el ejercicio pleno del derecho de acceso a la información y la protección de datos personales, a través de medios electrónicos, para lo anterior se proponen implementar las siguientes medidas:</w:t>
      </w:r>
    </w:p>
    <w:p w:rsidR="0034763D" w:rsidRPr="00615AA9" w:rsidRDefault="0034763D" w:rsidP="00D7060C">
      <w:pPr>
        <w:spacing w:after="0"/>
        <w:jc w:val="both"/>
        <w:rPr>
          <w:rFonts w:eastAsia="Arial" w:cs="Arial"/>
          <w:sz w:val="16"/>
          <w:szCs w:val="16"/>
        </w:rPr>
      </w:pPr>
    </w:p>
    <w:p w:rsidR="0034763D" w:rsidRPr="00615AA9" w:rsidRDefault="00AD1E24" w:rsidP="0034763D">
      <w:pPr>
        <w:pStyle w:val="Prrafodelista"/>
        <w:numPr>
          <w:ilvl w:val="0"/>
          <w:numId w:val="9"/>
        </w:numPr>
        <w:spacing w:after="0"/>
        <w:jc w:val="both"/>
        <w:rPr>
          <w:rFonts w:eastAsia="Arial" w:cs="Arial"/>
          <w:sz w:val="16"/>
          <w:szCs w:val="16"/>
        </w:rPr>
      </w:pPr>
      <w:r w:rsidRPr="00615AA9">
        <w:rPr>
          <w:rFonts w:eastAsia="Arial" w:cs="Arial"/>
          <w:sz w:val="16"/>
          <w:szCs w:val="16"/>
        </w:rPr>
        <w:t>L</w:t>
      </w:r>
      <w:r w:rsidR="0034763D" w:rsidRPr="00615AA9">
        <w:rPr>
          <w:rFonts w:eastAsia="Arial" w:cs="Arial"/>
          <w:sz w:val="16"/>
          <w:szCs w:val="16"/>
        </w:rPr>
        <w:t>os sujetos obligados, que actualmente utilizan la Plataforma Nacional de Transparencia como medio para recibir y sustanciar solicitudes de información</w:t>
      </w:r>
      <w:r w:rsidRPr="00615AA9">
        <w:rPr>
          <w:rFonts w:eastAsia="Arial" w:cs="Arial"/>
          <w:sz w:val="16"/>
          <w:szCs w:val="16"/>
        </w:rPr>
        <w:t>,</w:t>
      </w:r>
      <w:r w:rsidR="0034763D" w:rsidRPr="00615AA9">
        <w:rPr>
          <w:rFonts w:eastAsia="Arial" w:cs="Arial"/>
          <w:sz w:val="16"/>
          <w:szCs w:val="16"/>
        </w:rPr>
        <w:t xml:space="preserve"> </w:t>
      </w:r>
      <w:r w:rsidR="00355372" w:rsidRPr="00615AA9">
        <w:rPr>
          <w:rFonts w:eastAsia="Arial" w:cs="Arial"/>
          <w:sz w:val="16"/>
          <w:szCs w:val="16"/>
        </w:rPr>
        <w:t xml:space="preserve">deberán </w:t>
      </w:r>
      <w:r w:rsidR="00A55661" w:rsidRPr="00615AA9">
        <w:rPr>
          <w:rFonts w:eastAsia="Arial" w:cs="Arial"/>
          <w:sz w:val="16"/>
          <w:szCs w:val="16"/>
        </w:rPr>
        <w:t>publicar en</w:t>
      </w:r>
      <w:r w:rsidR="00355372" w:rsidRPr="00615AA9">
        <w:rPr>
          <w:rFonts w:eastAsia="Arial" w:cs="Arial"/>
          <w:sz w:val="16"/>
          <w:szCs w:val="16"/>
        </w:rPr>
        <w:t xml:space="preserve"> sus portales de internet </w:t>
      </w:r>
      <w:r w:rsidR="00A55661" w:rsidRPr="00615AA9">
        <w:rPr>
          <w:rFonts w:eastAsia="Arial" w:cs="Arial"/>
          <w:sz w:val="16"/>
          <w:szCs w:val="16"/>
        </w:rPr>
        <w:t>un vínculo al</w:t>
      </w:r>
      <w:r w:rsidR="00355372" w:rsidRPr="00615AA9">
        <w:rPr>
          <w:rFonts w:eastAsia="Arial" w:cs="Arial"/>
          <w:sz w:val="16"/>
          <w:szCs w:val="16"/>
        </w:rPr>
        <w:t xml:space="preserve"> sist</w:t>
      </w:r>
      <w:r w:rsidR="006D646B" w:rsidRPr="00615AA9">
        <w:rPr>
          <w:rFonts w:eastAsia="Arial" w:cs="Arial"/>
          <w:sz w:val="16"/>
          <w:szCs w:val="16"/>
        </w:rPr>
        <w:t xml:space="preserve">ema Infomex </w:t>
      </w:r>
      <w:r w:rsidR="00A55661" w:rsidRPr="00615AA9">
        <w:rPr>
          <w:rFonts w:eastAsia="Arial" w:cs="Arial"/>
          <w:sz w:val="16"/>
          <w:szCs w:val="16"/>
        </w:rPr>
        <w:t>estatal</w:t>
      </w:r>
      <w:r w:rsidR="006D646B" w:rsidRPr="00615AA9">
        <w:rPr>
          <w:rFonts w:eastAsia="Arial" w:cs="Arial"/>
          <w:sz w:val="16"/>
          <w:szCs w:val="16"/>
        </w:rPr>
        <w:t xml:space="preserve">, </w:t>
      </w:r>
      <w:r w:rsidR="00A55661" w:rsidRPr="00615AA9">
        <w:rPr>
          <w:rFonts w:eastAsia="Arial" w:cs="Arial"/>
          <w:sz w:val="16"/>
          <w:szCs w:val="16"/>
        </w:rPr>
        <w:t>a fin de que éste sea utilizado como</w:t>
      </w:r>
      <w:r w:rsidR="006D646B" w:rsidRPr="00615AA9">
        <w:rPr>
          <w:rFonts w:eastAsia="Arial" w:cs="Arial"/>
          <w:sz w:val="16"/>
          <w:szCs w:val="16"/>
        </w:rPr>
        <w:t xml:space="preserve"> sistema electrónico para recibir y sustanciar solicitudes de información.</w:t>
      </w:r>
    </w:p>
    <w:p w:rsidR="00355372" w:rsidRPr="00615AA9" w:rsidRDefault="006D646B" w:rsidP="0034763D">
      <w:pPr>
        <w:pStyle w:val="Prrafodelista"/>
        <w:numPr>
          <w:ilvl w:val="0"/>
          <w:numId w:val="9"/>
        </w:numPr>
        <w:spacing w:after="0"/>
        <w:jc w:val="both"/>
        <w:rPr>
          <w:rFonts w:eastAsia="Arial" w:cs="Arial"/>
          <w:sz w:val="16"/>
          <w:szCs w:val="16"/>
        </w:rPr>
      </w:pPr>
      <w:r w:rsidRPr="00615AA9">
        <w:rPr>
          <w:rFonts w:eastAsia="Arial" w:cs="Arial"/>
          <w:sz w:val="16"/>
          <w:szCs w:val="16"/>
        </w:rPr>
        <w:t>En lo que respecta a la interposición del recurso de revisión, el siste</w:t>
      </w:r>
      <w:r w:rsidR="00647302" w:rsidRPr="00615AA9">
        <w:rPr>
          <w:rFonts w:eastAsia="Arial" w:cs="Arial"/>
          <w:sz w:val="16"/>
          <w:szCs w:val="16"/>
        </w:rPr>
        <w:t xml:space="preserve">ma Infomex únicamente permitirá </w:t>
      </w:r>
      <w:r w:rsidRPr="00615AA9">
        <w:rPr>
          <w:rFonts w:eastAsia="Arial" w:cs="Arial"/>
          <w:sz w:val="16"/>
          <w:szCs w:val="16"/>
        </w:rPr>
        <w:t>la recepción de dichos medios de impugnación,</w:t>
      </w:r>
      <w:r w:rsidR="00647302" w:rsidRPr="00615AA9">
        <w:rPr>
          <w:rFonts w:eastAsia="Arial" w:cs="Arial"/>
          <w:sz w:val="16"/>
          <w:szCs w:val="16"/>
        </w:rPr>
        <w:t xml:space="preserve"> y que el medio de notificación para con el particular, será a través del medio que señale dicho particular en el campo</w:t>
      </w:r>
      <w:r w:rsidR="0061100F" w:rsidRPr="00615AA9">
        <w:rPr>
          <w:rFonts w:eastAsia="Arial" w:cs="Arial"/>
          <w:sz w:val="16"/>
          <w:szCs w:val="16"/>
        </w:rPr>
        <w:t xml:space="preserve"> respectivo del sistema Infomex</w:t>
      </w:r>
      <w:r w:rsidR="00647302" w:rsidRPr="00615AA9">
        <w:rPr>
          <w:rFonts w:eastAsia="Arial" w:cs="Arial"/>
          <w:sz w:val="16"/>
          <w:szCs w:val="16"/>
        </w:rPr>
        <w:t xml:space="preserve"> al momento de interponer el recurso. En cuanto al medio de notificación para con el sujeto obligado recurrido, éste será a través del correo electrónico que señale el sujeto obligado, para recibir solicitudes de información.</w:t>
      </w:r>
    </w:p>
    <w:p w:rsidR="0034763D" w:rsidRPr="00615AA9" w:rsidRDefault="0034763D" w:rsidP="00D7060C">
      <w:pPr>
        <w:spacing w:after="0"/>
        <w:jc w:val="both"/>
        <w:rPr>
          <w:rFonts w:eastAsia="Arial" w:cs="Arial"/>
          <w:sz w:val="16"/>
          <w:szCs w:val="16"/>
        </w:rPr>
      </w:pPr>
    </w:p>
    <w:p w:rsidR="00647302" w:rsidRPr="00615AA9" w:rsidRDefault="00647302" w:rsidP="00D7060C">
      <w:pPr>
        <w:spacing w:after="0"/>
        <w:jc w:val="both"/>
        <w:rPr>
          <w:rFonts w:eastAsia="Arial" w:cs="Arial"/>
          <w:sz w:val="16"/>
          <w:szCs w:val="16"/>
        </w:rPr>
      </w:pPr>
      <w:r w:rsidRPr="00615AA9">
        <w:rPr>
          <w:rFonts w:eastAsia="Arial" w:cs="Arial"/>
          <w:sz w:val="16"/>
          <w:szCs w:val="16"/>
        </w:rPr>
        <w:t>Dichas medidas</w:t>
      </w:r>
      <w:r w:rsidR="00E956B2" w:rsidRPr="00615AA9">
        <w:rPr>
          <w:rFonts w:eastAsia="Arial" w:cs="Arial"/>
          <w:sz w:val="16"/>
          <w:szCs w:val="16"/>
        </w:rPr>
        <w:t xml:space="preserve"> garantizarán el ejercicio pleno del derecho de acceso a la información y la protección de datos personales, a través de medios electrónicos</w:t>
      </w:r>
      <w:r w:rsidR="00BF7FC5" w:rsidRPr="00615AA9">
        <w:rPr>
          <w:rFonts w:eastAsia="Arial" w:cs="Arial"/>
          <w:sz w:val="16"/>
          <w:szCs w:val="16"/>
        </w:rPr>
        <w:t>, de manera ágil, sencilla y expedita, asegurando de ésta manera el acceso a la información a todas las personas en igualdad de condiciones, bajo los principios señalados en la Ley general y demás normas aplicables.</w:t>
      </w:r>
    </w:p>
    <w:p w:rsidR="00D35D98" w:rsidRPr="00615AA9" w:rsidRDefault="00D35D98" w:rsidP="00D7060C">
      <w:pPr>
        <w:spacing w:after="0"/>
        <w:jc w:val="both"/>
        <w:rPr>
          <w:rFonts w:eastAsia="Arial" w:cs="Arial"/>
          <w:sz w:val="16"/>
          <w:szCs w:val="16"/>
        </w:rPr>
      </w:pPr>
    </w:p>
    <w:p w:rsidR="000C45EB" w:rsidRPr="00615AA9" w:rsidRDefault="008B3D36" w:rsidP="00D7060C">
      <w:pPr>
        <w:spacing w:after="0"/>
        <w:jc w:val="both"/>
        <w:rPr>
          <w:sz w:val="16"/>
          <w:szCs w:val="16"/>
        </w:rPr>
      </w:pPr>
      <w:r w:rsidRPr="00615AA9">
        <w:rPr>
          <w:sz w:val="16"/>
          <w:szCs w:val="16"/>
        </w:rPr>
        <w:t xml:space="preserve">Por lo anteriormente </w:t>
      </w:r>
      <w:r w:rsidR="0070462F" w:rsidRPr="00615AA9">
        <w:rPr>
          <w:sz w:val="16"/>
          <w:szCs w:val="16"/>
        </w:rPr>
        <w:t>expuesto y fundado, el</w:t>
      </w:r>
      <w:r w:rsidR="00A8580F" w:rsidRPr="00615AA9">
        <w:rPr>
          <w:sz w:val="16"/>
          <w:szCs w:val="16"/>
        </w:rPr>
        <w:t xml:space="preserve"> </w:t>
      </w:r>
      <w:r w:rsidR="005979A7" w:rsidRPr="00615AA9">
        <w:rPr>
          <w:sz w:val="16"/>
          <w:szCs w:val="16"/>
        </w:rPr>
        <w:t>P</w:t>
      </w:r>
      <w:r w:rsidR="00A8580F" w:rsidRPr="00615AA9">
        <w:rPr>
          <w:sz w:val="16"/>
          <w:szCs w:val="16"/>
        </w:rPr>
        <w:t>leno del Instituto Estatal de Transparencia, Acceso a la Información</w:t>
      </w:r>
      <w:r w:rsidR="00F86D6F" w:rsidRPr="00615AA9">
        <w:rPr>
          <w:sz w:val="16"/>
          <w:szCs w:val="16"/>
        </w:rPr>
        <w:t xml:space="preserve"> Pública y Protección de Datos Personales,</w:t>
      </w:r>
      <w:r w:rsidR="0070462F" w:rsidRPr="00615AA9">
        <w:rPr>
          <w:sz w:val="16"/>
          <w:szCs w:val="16"/>
        </w:rPr>
        <w:t xml:space="preserve"> emite el siguiente:</w:t>
      </w:r>
    </w:p>
    <w:p w:rsidR="00BB63A6" w:rsidRPr="00615AA9" w:rsidRDefault="00BB63A6" w:rsidP="00D7060C">
      <w:pPr>
        <w:spacing w:after="0"/>
        <w:jc w:val="center"/>
        <w:rPr>
          <w:b/>
          <w:spacing w:val="20"/>
          <w:sz w:val="16"/>
          <w:szCs w:val="16"/>
        </w:rPr>
      </w:pPr>
    </w:p>
    <w:p w:rsidR="00BB63A6" w:rsidRPr="00615AA9" w:rsidRDefault="0070462F" w:rsidP="00615AA9">
      <w:pPr>
        <w:spacing w:after="0"/>
        <w:jc w:val="center"/>
        <w:rPr>
          <w:b/>
          <w:spacing w:val="20"/>
          <w:sz w:val="16"/>
          <w:szCs w:val="16"/>
        </w:rPr>
      </w:pPr>
      <w:r w:rsidRPr="00615AA9">
        <w:rPr>
          <w:b/>
          <w:spacing w:val="20"/>
          <w:sz w:val="16"/>
          <w:szCs w:val="16"/>
        </w:rPr>
        <w:t>ACUERDO</w:t>
      </w:r>
    </w:p>
    <w:p w:rsidR="002E6272" w:rsidRPr="00615AA9" w:rsidRDefault="0070462F" w:rsidP="00D7060C">
      <w:pPr>
        <w:spacing w:after="0"/>
        <w:jc w:val="both"/>
        <w:rPr>
          <w:sz w:val="16"/>
          <w:szCs w:val="16"/>
        </w:rPr>
      </w:pPr>
      <w:r w:rsidRPr="00615AA9">
        <w:rPr>
          <w:b/>
          <w:sz w:val="16"/>
          <w:szCs w:val="16"/>
        </w:rPr>
        <w:t>PRIMERO.-</w:t>
      </w:r>
      <w:r w:rsidR="002E6272" w:rsidRPr="00615AA9">
        <w:rPr>
          <w:b/>
          <w:sz w:val="16"/>
          <w:szCs w:val="16"/>
        </w:rPr>
        <w:t xml:space="preserve"> </w:t>
      </w:r>
      <w:r w:rsidR="002E6272" w:rsidRPr="00615AA9">
        <w:rPr>
          <w:sz w:val="16"/>
          <w:szCs w:val="16"/>
        </w:rPr>
        <w:t>Se aprueban las medi</w:t>
      </w:r>
      <w:r w:rsidR="004441A6">
        <w:rPr>
          <w:sz w:val="16"/>
          <w:szCs w:val="16"/>
        </w:rPr>
        <w:t>d</w:t>
      </w:r>
      <w:r w:rsidR="002E6272" w:rsidRPr="00615AA9">
        <w:rPr>
          <w:sz w:val="16"/>
          <w:szCs w:val="16"/>
        </w:rPr>
        <w:t>as propuestas, de conformidad con lo señalado en el considerando TERCERO, y se constriñe a:</w:t>
      </w:r>
    </w:p>
    <w:p w:rsidR="002E6272" w:rsidRPr="00615AA9" w:rsidRDefault="002E6272" w:rsidP="002E6272">
      <w:pPr>
        <w:pStyle w:val="Prrafodelista"/>
        <w:numPr>
          <w:ilvl w:val="0"/>
          <w:numId w:val="10"/>
        </w:numPr>
        <w:spacing w:after="0"/>
        <w:jc w:val="both"/>
        <w:rPr>
          <w:rFonts w:eastAsia="Arial" w:cs="Arial"/>
          <w:sz w:val="16"/>
          <w:szCs w:val="16"/>
        </w:rPr>
      </w:pPr>
      <w:r w:rsidRPr="00615AA9">
        <w:rPr>
          <w:rFonts w:eastAsia="Arial" w:cs="Arial"/>
          <w:sz w:val="16"/>
          <w:szCs w:val="16"/>
        </w:rPr>
        <w:t>Los sujetos obligados, que actualmente utilizan la Plataforma Nacional de Transparencia como medio para recibir y sustanciar solicitudes de información, deberán publicar en sus portales de internet un vínculo al sistema Infomex estatal, a fin de que éste sea utilizado como sistema electrónico para recibir y sustanciar solicitudes de información.</w:t>
      </w:r>
    </w:p>
    <w:p w:rsidR="002E6272" w:rsidRPr="00615AA9" w:rsidRDefault="002E6272" w:rsidP="002E6272">
      <w:pPr>
        <w:pStyle w:val="Prrafodelista"/>
        <w:numPr>
          <w:ilvl w:val="0"/>
          <w:numId w:val="10"/>
        </w:numPr>
        <w:spacing w:after="0"/>
        <w:jc w:val="both"/>
        <w:rPr>
          <w:rFonts w:eastAsia="Arial" w:cs="Arial"/>
          <w:sz w:val="16"/>
          <w:szCs w:val="16"/>
        </w:rPr>
      </w:pPr>
      <w:r w:rsidRPr="00615AA9">
        <w:rPr>
          <w:rFonts w:eastAsia="Arial" w:cs="Arial"/>
          <w:sz w:val="16"/>
          <w:szCs w:val="16"/>
        </w:rPr>
        <w:t xml:space="preserve">En lo que respecta a la interposición del recurso de revisión, el sistema Infomex únicamente permitirá la recepción de dichos medios de impugnación, y que el medio de notificación para con el particular, será a través del medio que señale dicho </w:t>
      </w:r>
      <w:r w:rsidRPr="00615AA9">
        <w:rPr>
          <w:rFonts w:eastAsia="Arial" w:cs="Arial"/>
          <w:sz w:val="16"/>
          <w:szCs w:val="16"/>
        </w:rPr>
        <w:lastRenderedPageBreak/>
        <w:t>particular en el campo respectivo del sistema Infomex al momento de interponer el recurso. En cuanto al medio de notificación para con el sujeto obligado recurrido, éste será a través del correo electrónico que señale el sujeto obligado, para recibir solicitudes de información.</w:t>
      </w:r>
    </w:p>
    <w:p w:rsidR="00BB63A6" w:rsidRPr="00615AA9" w:rsidRDefault="00BB63A6" w:rsidP="00D7060C">
      <w:pPr>
        <w:spacing w:after="0"/>
        <w:jc w:val="both"/>
        <w:rPr>
          <w:sz w:val="16"/>
          <w:szCs w:val="16"/>
        </w:rPr>
      </w:pPr>
    </w:p>
    <w:p w:rsidR="001754AD" w:rsidRPr="00615AA9" w:rsidRDefault="0070462F" w:rsidP="00D7060C">
      <w:pPr>
        <w:spacing w:after="0"/>
        <w:jc w:val="both"/>
        <w:rPr>
          <w:rFonts w:eastAsia="Arial" w:cs="Arial"/>
          <w:sz w:val="16"/>
          <w:szCs w:val="16"/>
        </w:rPr>
      </w:pPr>
      <w:r w:rsidRPr="00615AA9">
        <w:rPr>
          <w:b/>
          <w:sz w:val="16"/>
          <w:szCs w:val="16"/>
        </w:rPr>
        <w:t xml:space="preserve">SEGUNDO.- </w:t>
      </w:r>
      <w:r w:rsidR="002E6272" w:rsidRPr="00615AA9">
        <w:rPr>
          <w:sz w:val="16"/>
          <w:szCs w:val="16"/>
        </w:rPr>
        <w:t>Estas medidas tendrán una vigencia indefinida y serán aplicables, hasta en tanto se garantice el correcto funcionamient</w:t>
      </w:r>
      <w:r w:rsidR="00325DE4" w:rsidRPr="00615AA9">
        <w:rPr>
          <w:sz w:val="16"/>
          <w:szCs w:val="16"/>
        </w:rPr>
        <w:t>o de la Plataforma Nacional de Transparencia.</w:t>
      </w:r>
    </w:p>
    <w:p w:rsidR="00BB63A6" w:rsidRPr="00615AA9" w:rsidRDefault="00BB63A6" w:rsidP="00D7060C">
      <w:pPr>
        <w:suppressAutoHyphens/>
        <w:spacing w:after="0"/>
        <w:jc w:val="both"/>
        <w:rPr>
          <w:b/>
          <w:sz w:val="16"/>
          <w:szCs w:val="16"/>
        </w:rPr>
      </w:pPr>
    </w:p>
    <w:p w:rsidR="00BD6FD4" w:rsidRPr="00615AA9" w:rsidRDefault="00DB0792" w:rsidP="00D7060C">
      <w:pPr>
        <w:suppressAutoHyphens/>
        <w:spacing w:after="0"/>
        <w:jc w:val="both"/>
        <w:rPr>
          <w:rFonts w:eastAsia="Times New Roman" w:cs="Arial"/>
          <w:sz w:val="16"/>
          <w:szCs w:val="16"/>
          <w:lang w:val="es-ES" w:eastAsia="ar-SA"/>
        </w:rPr>
      </w:pPr>
      <w:r w:rsidRPr="00615AA9">
        <w:rPr>
          <w:b/>
          <w:sz w:val="16"/>
          <w:szCs w:val="16"/>
        </w:rPr>
        <w:t>TERCERO</w:t>
      </w:r>
      <w:r w:rsidRPr="00615AA9">
        <w:rPr>
          <w:rFonts w:eastAsia="Times New Roman" w:cs="Arial"/>
          <w:b/>
          <w:sz w:val="16"/>
          <w:szCs w:val="16"/>
          <w:lang w:val="es-ES" w:eastAsia="ar-SA"/>
        </w:rPr>
        <w:t>.</w:t>
      </w:r>
      <w:r w:rsidR="005D4E78" w:rsidRPr="00615AA9">
        <w:rPr>
          <w:rFonts w:eastAsia="Times New Roman" w:cs="Arial"/>
          <w:b/>
          <w:sz w:val="16"/>
          <w:szCs w:val="16"/>
          <w:lang w:val="es-ES" w:eastAsia="ar-SA"/>
        </w:rPr>
        <w:t>-</w:t>
      </w:r>
      <w:r w:rsidR="00074FAC" w:rsidRPr="00615AA9">
        <w:rPr>
          <w:rFonts w:eastAsia="Times New Roman" w:cs="Arial"/>
          <w:sz w:val="16"/>
          <w:szCs w:val="16"/>
          <w:lang w:val="es-ES" w:eastAsia="ar-SA"/>
        </w:rPr>
        <w:t xml:space="preserve"> </w:t>
      </w:r>
      <w:r w:rsidR="00325DE4" w:rsidRPr="00615AA9">
        <w:rPr>
          <w:rFonts w:eastAsia="Times New Roman" w:cs="Arial"/>
          <w:sz w:val="16"/>
          <w:szCs w:val="16"/>
          <w:lang w:val="es-ES" w:eastAsia="ar-SA"/>
        </w:rPr>
        <w:t>Publíquese en el Diario O</w:t>
      </w:r>
      <w:bookmarkStart w:id="0" w:name="_GoBack"/>
      <w:bookmarkEnd w:id="0"/>
      <w:r w:rsidR="00325DE4" w:rsidRPr="00615AA9">
        <w:rPr>
          <w:rFonts w:eastAsia="Times New Roman" w:cs="Arial"/>
          <w:sz w:val="16"/>
          <w:szCs w:val="16"/>
          <w:lang w:val="es-ES" w:eastAsia="ar-SA"/>
        </w:rPr>
        <w:t>ficial del Gobierno del Estado de Yucatán</w:t>
      </w:r>
      <w:r w:rsidR="00074FAC" w:rsidRPr="00615AA9">
        <w:rPr>
          <w:rFonts w:eastAsia="Times New Roman" w:cs="Arial"/>
          <w:sz w:val="16"/>
          <w:szCs w:val="16"/>
          <w:lang w:val="es-ES" w:eastAsia="ar-SA"/>
        </w:rPr>
        <w:t xml:space="preserve"> y c</w:t>
      </w:r>
      <w:r w:rsidR="00BD6FD4" w:rsidRPr="00615AA9">
        <w:rPr>
          <w:rFonts w:eastAsia="Times New Roman" w:cs="Arial"/>
          <w:sz w:val="16"/>
          <w:szCs w:val="16"/>
          <w:lang w:val="es-ES" w:eastAsia="ar-SA"/>
        </w:rPr>
        <w:t xml:space="preserve">úmplase. </w:t>
      </w:r>
    </w:p>
    <w:p w:rsidR="00BB63A6" w:rsidRPr="00615AA9" w:rsidRDefault="00BB63A6" w:rsidP="00D7060C">
      <w:pPr>
        <w:suppressAutoHyphens/>
        <w:spacing w:after="0"/>
        <w:jc w:val="both"/>
        <w:rPr>
          <w:rFonts w:eastAsia="Times New Roman" w:cs="Arial"/>
          <w:sz w:val="16"/>
          <w:szCs w:val="16"/>
          <w:lang w:val="es-ES" w:eastAsia="ar-SA"/>
        </w:rPr>
      </w:pPr>
    </w:p>
    <w:p w:rsidR="00C73D86" w:rsidRPr="00615AA9" w:rsidRDefault="00C73D86" w:rsidP="00D7060C">
      <w:pPr>
        <w:suppressAutoHyphens/>
        <w:spacing w:after="0"/>
        <w:jc w:val="both"/>
        <w:rPr>
          <w:rFonts w:eastAsia="Times New Roman" w:cs="Arial"/>
          <w:sz w:val="16"/>
          <w:szCs w:val="16"/>
          <w:lang w:val="es-ES" w:eastAsia="ar-SA"/>
        </w:rPr>
      </w:pPr>
      <w:r w:rsidRPr="00615AA9">
        <w:rPr>
          <w:rFonts w:eastAsia="Times New Roman" w:cs="Arial"/>
          <w:sz w:val="16"/>
          <w:szCs w:val="16"/>
          <w:lang w:val="es-ES" w:eastAsia="ar-SA"/>
        </w:rPr>
        <w:t xml:space="preserve">Así lo acordaron </w:t>
      </w:r>
      <w:r w:rsidR="008B5720" w:rsidRPr="00615AA9">
        <w:rPr>
          <w:rFonts w:eastAsia="Times New Roman" w:cs="Arial"/>
          <w:sz w:val="16"/>
          <w:szCs w:val="16"/>
          <w:lang w:val="es-ES" w:eastAsia="ar-SA"/>
        </w:rPr>
        <w:t xml:space="preserve">y firman para debida constancia, </w:t>
      </w:r>
      <w:r w:rsidR="005D4E78" w:rsidRPr="00615AA9">
        <w:rPr>
          <w:rFonts w:eastAsia="Times New Roman" w:cs="Arial"/>
          <w:sz w:val="16"/>
          <w:szCs w:val="16"/>
          <w:lang w:val="es-ES" w:eastAsia="ar-SA"/>
        </w:rPr>
        <w:t>los comisionados del Instituto Estatal de Transparencia, Acceso a la Información Pública y Protección de Datos Personales</w:t>
      </w:r>
      <w:r w:rsidR="008300E4" w:rsidRPr="00615AA9">
        <w:rPr>
          <w:rFonts w:eastAsia="Times New Roman" w:cs="Arial"/>
          <w:sz w:val="16"/>
          <w:szCs w:val="16"/>
          <w:lang w:val="es-ES" w:eastAsia="ar-SA"/>
        </w:rPr>
        <w:t xml:space="preserve">, </w:t>
      </w:r>
      <w:r w:rsidR="00525EB1" w:rsidRPr="00615AA9">
        <w:rPr>
          <w:sz w:val="16"/>
          <w:szCs w:val="16"/>
        </w:rPr>
        <w:t xml:space="preserve">la Licenciada en Derecho </w:t>
      </w:r>
      <w:r w:rsidR="00525EB1" w:rsidRPr="00615AA9">
        <w:rPr>
          <w:rFonts w:eastAsia="Times New Roman" w:cs="Arial"/>
          <w:sz w:val="16"/>
          <w:szCs w:val="16"/>
          <w:lang w:val="es-ES" w:eastAsia="ar-SA"/>
        </w:rPr>
        <w:t>Susana Aguilar Covarrubias,</w:t>
      </w:r>
      <w:r w:rsidR="00525EB1" w:rsidRPr="00615AA9">
        <w:rPr>
          <w:sz w:val="16"/>
          <w:szCs w:val="16"/>
        </w:rPr>
        <w:t xml:space="preserve"> el Ingeniero</w:t>
      </w:r>
      <w:r w:rsidR="00525EB1" w:rsidRPr="00615AA9">
        <w:rPr>
          <w:rFonts w:eastAsia="Times New Roman" w:cs="Arial"/>
          <w:sz w:val="16"/>
          <w:szCs w:val="16"/>
          <w:lang w:val="es-ES" w:eastAsia="ar-SA"/>
        </w:rPr>
        <w:t xml:space="preserve"> Civil Víctor Manuel May Vera y la Licenciada en Derecho María Eugenia Sansores Ruz, Comisionada President</w:t>
      </w:r>
      <w:r w:rsidR="002D2335" w:rsidRPr="00615AA9">
        <w:rPr>
          <w:rFonts w:eastAsia="Times New Roman" w:cs="Arial"/>
          <w:sz w:val="16"/>
          <w:szCs w:val="16"/>
          <w:lang w:val="es-ES" w:eastAsia="ar-SA"/>
        </w:rPr>
        <w:t>a</w:t>
      </w:r>
      <w:r w:rsidR="00525EB1" w:rsidRPr="00615AA9">
        <w:rPr>
          <w:rFonts w:eastAsia="Times New Roman" w:cs="Arial"/>
          <w:sz w:val="16"/>
          <w:szCs w:val="16"/>
          <w:lang w:val="es-ES" w:eastAsia="ar-SA"/>
        </w:rPr>
        <w:t xml:space="preserve"> y Comisionados, respectivamente</w:t>
      </w:r>
      <w:r w:rsidRPr="00615AA9">
        <w:rPr>
          <w:rFonts w:eastAsia="Times New Roman" w:cs="Arial"/>
          <w:sz w:val="16"/>
          <w:szCs w:val="16"/>
          <w:lang w:val="es-ES" w:eastAsia="ar-SA"/>
        </w:rPr>
        <w:t xml:space="preserve"> a los </w:t>
      </w:r>
      <w:r w:rsidR="00B14F3B" w:rsidRPr="00615AA9">
        <w:rPr>
          <w:rFonts w:eastAsia="Times New Roman" w:cs="Arial"/>
          <w:sz w:val="16"/>
          <w:szCs w:val="16"/>
          <w:lang w:val="es-ES" w:eastAsia="ar-SA"/>
        </w:rPr>
        <w:t>2</w:t>
      </w:r>
      <w:r w:rsidR="00325DE4" w:rsidRPr="00615AA9">
        <w:rPr>
          <w:rFonts w:eastAsia="Times New Roman" w:cs="Arial"/>
          <w:sz w:val="16"/>
          <w:szCs w:val="16"/>
          <w:lang w:val="es-ES" w:eastAsia="ar-SA"/>
        </w:rPr>
        <w:t>5</w:t>
      </w:r>
      <w:r w:rsidRPr="00615AA9">
        <w:rPr>
          <w:rFonts w:eastAsia="Times New Roman" w:cs="Arial"/>
          <w:sz w:val="16"/>
          <w:szCs w:val="16"/>
          <w:lang w:val="es-ES" w:eastAsia="ar-SA"/>
        </w:rPr>
        <w:t xml:space="preserve"> días del mes de </w:t>
      </w:r>
      <w:r w:rsidR="004C77EC" w:rsidRPr="00615AA9">
        <w:rPr>
          <w:rFonts w:eastAsia="Times New Roman" w:cs="Arial"/>
          <w:sz w:val="16"/>
          <w:szCs w:val="16"/>
          <w:lang w:val="es-ES" w:eastAsia="ar-SA"/>
        </w:rPr>
        <w:t>mayo</w:t>
      </w:r>
      <w:r w:rsidR="00766B86" w:rsidRPr="00615AA9">
        <w:rPr>
          <w:rFonts w:eastAsia="Times New Roman" w:cs="Arial"/>
          <w:sz w:val="16"/>
          <w:szCs w:val="16"/>
          <w:lang w:val="es-ES" w:eastAsia="ar-SA"/>
        </w:rPr>
        <w:t xml:space="preserve"> del año </w:t>
      </w:r>
      <w:r w:rsidR="005D4E78" w:rsidRPr="00615AA9">
        <w:rPr>
          <w:rFonts w:eastAsia="Times New Roman" w:cs="Arial"/>
          <w:sz w:val="16"/>
          <w:szCs w:val="16"/>
          <w:lang w:val="es-ES" w:eastAsia="ar-SA"/>
        </w:rPr>
        <w:t>2016</w:t>
      </w:r>
      <w:r w:rsidRPr="00615AA9">
        <w:rPr>
          <w:rFonts w:eastAsia="Times New Roman" w:cs="Arial"/>
          <w:sz w:val="16"/>
          <w:szCs w:val="16"/>
          <w:lang w:val="es-ES" w:eastAsia="ar-S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86D6F" w:rsidRPr="00F332EC" w:rsidTr="00F86D6F">
        <w:tc>
          <w:tcPr>
            <w:tcW w:w="8828" w:type="dxa"/>
            <w:gridSpan w:val="2"/>
          </w:tcPr>
          <w:p w:rsidR="00F86D6F" w:rsidRPr="00F332EC" w:rsidRDefault="00F86D6F" w:rsidP="00D7060C">
            <w:pPr>
              <w:spacing w:line="276" w:lineRule="auto"/>
              <w:jc w:val="center"/>
              <w:rPr>
                <w:rFonts w:cs="Arial"/>
                <w:b/>
                <w:sz w:val="16"/>
                <w:szCs w:val="16"/>
              </w:rPr>
            </w:pPr>
          </w:p>
          <w:p w:rsidR="00F86D6F" w:rsidRPr="00F332EC" w:rsidRDefault="00F86D6F" w:rsidP="00615AA9">
            <w:pPr>
              <w:spacing w:line="276" w:lineRule="auto"/>
              <w:rPr>
                <w:rFonts w:cs="Arial"/>
                <w:b/>
                <w:sz w:val="16"/>
                <w:szCs w:val="16"/>
              </w:rPr>
            </w:pPr>
          </w:p>
          <w:p w:rsidR="00F332EC" w:rsidRPr="00F332EC" w:rsidRDefault="00F332EC" w:rsidP="00F332EC">
            <w:pPr>
              <w:jc w:val="center"/>
              <w:rPr>
                <w:rFonts w:cs="Arial"/>
                <w:b/>
                <w:sz w:val="16"/>
                <w:szCs w:val="16"/>
              </w:rPr>
            </w:pPr>
            <w:r w:rsidRPr="00F332EC">
              <w:rPr>
                <w:rFonts w:cs="Arial"/>
                <w:b/>
                <w:sz w:val="16"/>
                <w:szCs w:val="16"/>
              </w:rPr>
              <w:t>(RÚBRICA)</w:t>
            </w:r>
          </w:p>
          <w:p w:rsidR="00615AA9" w:rsidRPr="00F332EC" w:rsidRDefault="00615AA9" w:rsidP="00F87F3E">
            <w:pPr>
              <w:spacing w:line="276" w:lineRule="auto"/>
              <w:jc w:val="center"/>
              <w:rPr>
                <w:rFonts w:cs="Arial"/>
                <w:b/>
                <w:sz w:val="16"/>
                <w:szCs w:val="16"/>
              </w:rPr>
            </w:pPr>
          </w:p>
          <w:p w:rsidR="002C0FCA" w:rsidRPr="00F332EC" w:rsidRDefault="002C0FCA" w:rsidP="00D7060C">
            <w:pPr>
              <w:spacing w:line="276" w:lineRule="auto"/>
              <w:jc w:val="center"/>
              <w:rPr>
                <w:rFonts w:cs="Arial"/>
                <w:b/>
                <w:sz w:val="16"/>
                <w:szCs w:val="16"/>
              </w:rPr>
            </w:pPr>
            <w:r w:rsidRPr="00F332EC">
              <w:rPr>
                <w:rFonts w:cs="Arial"/>
                <w:b/>
                <w:bCs/>
                <w:sz w:val="16"/>
                <w:szCs w:val="16"/>
              </w:rPr>
              <w:t>LICDA. SUSANA AGUILAR COVARRUBIAS</w:t>
            </w:r>
          </w:p>
          <w:p w:rsidR="00F86D6F" w:rsidRPr="00F332EC" w:rsidRDefault="00F86D6F" w:rsidP="00D7060C">
            <w:pPr>
              <w:spacing w:line="276" w:lineRule="auto"/>
              <w:jc w:val="center"/>
              <w:rPr>
                <w:rFonts w:cs="Arial"/>
                <w:b/>
                <w:sz w:val="16"/>
                <w:szCs w:val="16"/>
              </w:rPr>
            </w:pPr>
            <w:r w:rsidRPr="00F332EC">
              <w:rPr>
                <w:rFonts w:cs="Arial"/>
                <w:b/>
                <w:sz w:val="16"/>
                <w:szCs w:val="16"/>
              </w:rPr>
              <w:t>COMISIONAD</w:t>
            </w:r>
            <w:r w:rsidR="002C0FCA" w:rsidRPr="00F332EC">
              <w:rPr>
                <w:rFonts w:cs="Arial"/>
                <w:b/>
                <w:sz w:val="16"/>
                <w:szCs w:val="16"/>
              </w:rPr>
              <w:t>A</w:t>
            </w:r>
            <w:r w:rsidRPr="00F332EC">
              <w:rPr>
                <w:rFonts w:cs="Arial"/>
                <w:b/>
                <w:sz w:val="16"/>
                <w:szCs w:val="16"/>
              </w:rPr>
              <w:t xml:space="preserve"> PRESIDENT</w:t>
            </w:r>
            <w:r w:rsidR="002D2335" w:rsidRPr="00F332EC">
              <w:rPr>
                <w:rFonts w:cs="Arial"/>
                <w:b/>
                <w:sz w:val="16"/>
                <w:szCs w:val="16"/>
              </w:rPr>
              <w:t>A</w:t>
            </w:r>
          </w:p>
        </w:tc>
      </w:tr>
      <w:tr w:rsidR="00F86D6F" w:rsidRPr="00F332EC" w:rsidTr="00F86D6F">
        <w:tc>
          <w:tcPr>
            <w:tcW w:w="4414" w:type="dxa"/>
          </w:tcPr>
          <w:p w:rsidR="00F86D6F" w:rsidRPr="00F332EC" w:rsidRDefault="00F86D6F" w:rsidP="00D7060C">
            <w:pPr>
              <w:spacing w:line="276" w:lineRule="auto"/>
              <w:jc w:val="center"/>
              <w:rPr>
                <w:rFonts w:cs="Arial"/>
                <w:b/>
                <w:bCs/>
                <w:sz w:val="16"/>
                <w:szCs w:val="16"/>
              </w:rPr>
            </w:pPr>
          </w:p>
          <w:p w:rsidR="00F86D6F" w:rsidRPr="00F332EC" w:rsidRDefault="00F86D6F" w:rsidP="00D7060C">
            <w:pPr>
              <w:spacing w:line="276" w:lineRule="auto"/>
              <w:jc w:val="center"/>
              <w:rPr>
                <w:rFonts w:cs="Arial"/>
                <w:b/>
                <w:bCs/>
                <w:sz w:val="16"/>
                <w:szCs w:val="16"/>
              </w:rPr>
            </w:pPr>
          </w:p>
          <w:p w:rsidR="00F332EC" w:rsidRPr="00F332EC" w:rsidRDefault="00F332EC" w:rsidP="00F332EC">
            <w:pPr>
              <w:jc w:val="center"/>
              <w:rPr>
                <w:rFonts w:cs="Arial"/>
                <w:b/>
                <w:sz w:val="16"/>
                <w:szCs w:val="16"/>
              </w:rPr>
            </w:pPr>
          </w:p>
          <w:p w:rsidR="00F332EC" w:rsidRPr="00F332EC" w:rsidRDefault="00F332EC" w:rsidP="00F332EC">
            <w:pPr>
              <w:jc w:val="center"/>
              <w:rPr>
                <w:rFonts w:cs="Arial"/>
                <w:b/>
                <w:sz w:val="16"/>
                <w:szCs w:val="16"/>
              </w:rPr>
            </w:pPr>
            <w:r w:rsidRPr="00F332EC">
              <w:rPr>
                <w:rFonts w:cs="Arial"/>
                <w:b/>
                <w:sz w:val="16"/>
                <w:szCs w:val="16"/>
              </w:rPr>
              <w:t>(RÚBRICA)</w:t>
            </w:r>
          </w:p>
          <w:p w:rsidR="00F86D6F" w:rsidRPr="00F332EC" w:rsidRDefault="00F86D6F" w:rsidP="00D7060C">
            <w:pPr>
              <w:spacing w:line="276" w:lineRule="auto"/>
              <w:jc w:val="center"/>
              <w:rPr>
                <w:rFonts w:cs="Arial"/>
                <w:b/>
                <w:bCs/>
                <w:sz w:val="16"/>
                <w:szCs w:val="16"/>
              </w:rPr>
            </w:pPr>
          </w:p>
          <w:p w:rsidR="002C0FCA" w:rsidRPr="00F332EC" w:rsidRDefault="002C0FCA" w:rsidP="00D7060C">
            <w:pPr>
              <w:spacing w:line="276" w:lineRule="auto"/>
              <w:jc w:val="center"/>
              <w:rPr>
                <w:rFonts w:cs="Arial"/>
                <w:b/>
                <w:sz w:val="16"/>
                <w:szCs w:val="16"/>
              </w:rPr>
            </w:pPr>
            <w:r w:rsidRPr="00F332EC">
              <w:rPr>
                <w:rFonts w:cs="Arial"/>
                <w:b/>
                <w:sz w:val="16"/>
                <w:szCs w:val="16"/>
              </w:rPr>
              <w:t>ING. VICTOR MANUEL MAY VERA</w:t>
            </w:r>
          </w:p>
          <w:p w:rsidR="00F86D6F" w:rsidRPr="00F332EC" w:rsidRDefault="00F86D6F" w:rsidP="00D7060C">
            <w:pPr>
              <w:spacing w:line="276" w:lineRule="auto"/>
              <w:jc w:val="center"/>
              <w:rPr>
                <w:rFonts w:cs="Arial"/>
                <w:b/>
                <w:sz w:val="16"/>
                <w:szCs w:val="16"/>
              </w:rPr>
            </w:pPr>
            <w:r w:rsidRPr="00F332EC">
              <w:rPr>
                <w:rFonts w:cs="Arial"/>
                <w:b/>
                <w:bCs/>
                <w:sz w:val="16"/>
                <w:szCs w:val="16"/>
              </w:rPr>
              <w:t>COMISIONAD</w:t>
            </w:r>
            <w:r w:rsidR="002C0FCA" w:rsidRPr="00F332EC">
              <w:rPr>
                <w:rFonts w:cs="Arial"/>
                <w:b/>
                <w:bCs/>
                <w:sz w:val="16"/>
                <w:szCs w:val="16"/>
              </w:rPr>
              <w:t>O</w:t>
            </w:r>
          </w:p>
        </w:tc>
        <w:tc>
          <w:tcPr>
            <w:tcW w:w="4414" w:type="dxa"/>
          </w:tcPr>
          <w:p w:rsidR="00F86D6F" w:rsidRPr="00F332EC" w:rsidRDefault="00F86D6F" w:rsidP="00D7060C">
            <w:pPr>
              <w:spacing w:line="276" w:lineRule="auto"/>
              <w:jc w:val="center"/>
              <w:rPr>
                <w:rFonts w:cs="Arial"/>
                <w:b/>
                <w:bCs/>
                <w:sz w:val="16"/>
                <w:szCs w:val="16"/>
              </w:rPr>
            </w:pPr>
          </w:p>
          <w:p w:rsidR="00F86D6F" w:rsidRPr="00F332EC" w:rsidRDefault="00F86D6F" w:rsidP="00D7060C">
            <w:pPr>
              <w:spacing w:line="276" w:lineRule="auto"/>
              <w:jc w:val="center"/>
              <w:rPr>
                <w:rFonts w:cs="Arial"/>
                <w:b/>
                <w:bCs/>
                <w:sz w:val="16"/>
                <w:szCs w:val="16"/>
              </w:rPr>
            </w:pPr>
          </w:p>
          <w:p w:rsidR="00F86D6F" w:rsidRPr="00F332EC" w:rsidRDefault="00F86D6F" w:rsidP="00D7060C">
            <w:pPr>
              <w:spacing w:line="276" w:lineRule="auto"/>
              <w:jc w:val="center"/>
              <w:rPr>
                <w:rFonts w:cs="Arial"/>
                <w:b/>
                <w:bCs/>
                <w:sz w:val="16"/>
                <w:szCs w:val="16"/>
              </w:rPr>
            </w:pPr>
          </w:p>
          <w:p w:rsidR="00F332EC" w:rsidRPr="00F332EC" w:rsidRDefault="00F332EC" w:rsidP="00F332EC">
            <w:pPr>
              <w:jc w:val="center"/>
              <w:rPr>
                <w:rFonts w:cs="Arial"/>
                <w:b/>
                <w:sz w:val="16"/>
                <w:szCs w:val="16"/>
              </w:rPr>
            </w:pPr>
            <w:r w:rsidRPr="00F332EC">
              <w:rPr>
                <w:rFonts w:cs="Arial"/>
                <w:b/>
                <w:sz w:val="16"/>
                <w:szCs w:val="16"/>
              </w:rPr>
              <w:t>(RÚBRICA)</w:t>
            </w:r>
          </w:p>
          <w:p w:rsidR="00F86D6F" w:rsidRPr="00F332EC" w:rsidRDefault="00F86D6F" w:rsidP="00D7060C">
            <w:pPr>
              <w:spacing w:line="276" w:lineRule="auto"/>
              <w:jc w:val="center"/>
              <w:rPr>
                <w:rFonts w:cs="Arial"/>
                <w:b/>
                <w:bCs/>
                <w:sz w:val="16"/>
                <w:szCs w:val="16"/>
              </w:rPr>
            </w:pPr>
          </w:p>
          <w:p w:rsidR="00F86D6F" w:rsidRPr="00F332EC" w:rsidRDefault="00F86D6F" w:rsidP="00D7060C">
            <w:pPr>
              <w:spacing w:line="276" w:lineRule="auto"/>
              <w:jc w:val="center"/>
              <w:rPr>
                <w:rFonts w:cs="Arial"/>
                <w:b/>
                <w:bCs/>
                <w:sz w:val="16"/>
                <w:szCs w:val="16"/>
              </w:rPr>
            </w:pPr>
            <w:r w:rsidRPr="00F332EC">
              <w:rPr>
                <w:rFonts w:cs="Arial"/>
                <w:b/>
                <w:bCs/>
                <w:sz w:val="16"/>
                <w:szCs w:val="16"/>
              </w:rPr>
              <w:t>LICDA. MARÍA EUGENIA SANSORES RUZ</w:t>
            </w:r>
          </w:p>
          <w:p w:rsidR="00F86D6F" w:rsidRPr="00F332EC" w:rsidRDefault="00F86D6F" w:rsidP="00D7060C">
            <w:pPr>
              <w:spacing w:line="276" w:lineRule="auto"/>
              <w:jc w:val="center"/>
              <w:rPr>
                <w:rFonts w:cs="Arial"/>
                <w:b/>
                <w:sz w:val="16"/>
                <w:szCs w:val="16"/>
              </w:rPr>
            </w:pPr>
            <w:r w:rsidRPr="00F332EC">
              <w:rPr>
                <w:rFonts w:cs="Arial"/>
                <w:b/>
                <w:bCs/>
                <w:sz w:val="16"/>
                <w:szCs w:val="16"/>
              </w:rPr>
              <w:t>COMISIONADA</w:t>
            </w:r>
          </w:p>
        </w:tc>
      </w:tr>
    </w:tbl>
    <w:p w:rsidR="00294BFB" w:rsidRPr="00615AA9" w:rsidRDefault="00294BFB" w:rsidP="00D7060C">
      <w:pPr>
        <w:spacing w:after="0"/>
        <w:rPr>
          <w:rFonts w:cs="Arial"/>
          <w:b/>
          <w:sz w:val="16"/>
          <w:szCs w:val="16"/>
        </w:rPr>
      </w:pPr>
    </w:p>
    <w:sectPr w:rsidR="00294BFB" w:rsidRPr="00615AA9" w:rsidSect="00A45774">
      <w:type w:val="continuous"/>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C0" w:rsidRDefault="001D6EC0" w:rsidP="001D6EC0">
      <w:pPr>
        <w:spacing w:after="0" w:line="240" w:lineRule="auto"/>
      </w:pPr>
      <w:r>
        <w:separator/>
      </w:r>
    </w:p>
  </w:endnote>
  <w:endnote w:type="continuationSeparator" w:id="0">
    <w:p w:rsidR="001D6EC0" w:rsidRDefault="001D6EC0" w:rsidP="001D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C0" w:rsidRDefault="001D6EC0" w:rsidP="001D6EC0">
      <w:pPr>
        <w:spacing w:after="0" w:line="240" w:lineRule="auto"/>
      </w:pPr>
      <w:r>
        <w:separator/>
      </w:r>
    </w:p>
  </w:footnote>
  <w:footnote w:type="continuationSeparator" w:id="0">
    <w:p w:rsidR="001D6EC0" w:rsidRDefault="001D6EC0" w:rsidP="001D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AE3" w:rsidRDefault="00271AE3">
    <w:pPr>
      <w:pStyle w:val="Encabezado"/>
    </w:pPr>
    <w:r>
      <w:rPr>
        <w:noProof/>
        <w:lang w:eastAsia="es-MX"/>
      </w:rPr>
      <w:drawing>
        <wp:anchor distT="0" distB="0" distL="114300" distR="114300" simplePos="0" relativeHeight="251658240" behindDoc="1" locked="0" layoutInCell="1" allowOverlap="1">
          <wp:simplePos x="0" y="0"/>
          <wp:positionH relativeFrom="column">
            <wp:posOffset>-537210</wp:posOffset>
          </wp:positionH>
          <wp:positionV relativeFrom="paragraph">
            <wp:posOffset>-57150</wp:posOffset>
          </wp:positionV>
          <wp:extent cx="6629400" cy="1171575"/>
          <wp:effectExtent l="0" t="0" r="0" b="9525"/>
          <wp:wrapTight wrapText="bothSides">
            <wp:wrapPolygon edited="0">
              <wp:start x="0" y="0"/>
              <wp:lineTo x="0" y="21424"/>
              <wp:lineTo x="21538" y="21424"/>
              <wp:lineTo x="21538" y="0"/>
              <wp:lineTo x="0" y="0"/>
            </wp:wrapPolygon>
          </wp:wrapTight>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INAIP-2016-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EF1"/>
    <w:multiLevelType w:val="hybridMultilevel"/>
    <w:tmpl w:val="B59A60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ED47F42"/>
    <w:multiLevelType w:val="hybridMultilevel"/>
    <w:tmpl w:val="1AFE0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41C7BFA"/>
    <w:multiLevelType w:val="multilevel"/>
    <w:tmpl w:val="77B0F8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ED2653"/>
    <w:multiLevelType w:val="hybridMultilevel"/>
    <w:tmpl w:val="9B2EC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00C5D55"/>
    <w:multiLevelType w:val="hybridMultilevel"/>
    <w:tmpl w:val="B8923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14E1B0B"/>
    <w:multiLevelType w:val="hybridMultilevel"/>
    <w:tmpl w:val="5CD249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9"/>
  </w:num>
  <w:num w:numId="7">
    <w:abstractNumId w:val="8"/>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037EF"/>
    <w:rsid w:val="00013623"/>
    <w:rsid w:val="00013848"/>
    <w:rsid w:val="000209F0"/>
    <w:rsid w:val="000219A1"/>
    <w:rsid w:val="000251B3"/>
    <w:rsid w:val="00033E35"/>
    <w:rsid w:val="0003649C"/>
    <w:rsid w:val="000412D1"/>
    <w:rsid w:val="000425CC"/>
    <w:rsid w:val="000559E6"/>
    <w:rsid w:val="00056D7A"/>
    <w:rsid w:val="00074FAC"/>
    <w:rsid w:val="000815CB"/>
    <w:rsid w:val="000A06BB"/>
    <w:rsid w:val="000B1A47"/>
    <w:rsid w:val="000B6FDD"/>
    <w:rsid w:val="000C45EB"/>
    <w:rsid w:val="000E1DF4"/>
    <w:rsid w:val="00104770"/>
    <w:rsid w:val="00105A11"/>
    <w:rsid w:val="0010798C"/>
    <w:rsid w:val="00110038"/>
    <w:rsid w:val="00112371"/>
    <w:rsid w:val="0011763B"/>
    <w:rsid w:val="00125985"/>
    <w:rsid w:val="0014276C"/>
    <w:rsid w:val="00142B87"/>
    <w:rsid w:val="00147145"/>
    <w:rsid w:val="00154346"/>
    <w:rsid w:val="00161DD0"/>
    <w:rsid w:val="00164348"/>
    <w:rsid w:val="001754AD"/>
    <w:rsid w:val="001A524F"/>
    <w:rsid w:val="001B0BDC"/>
    <w:rsid w:val="001B40ED"/>
    <w:rsid w:val="001C22D4"/>
    <w:rsid w:val="001C35CB"/>
    <w:rsid w:val="001C55E6"/>
    <w:rsid w:val="001D5A3A"/>
    <w:rsid w:val="001D6EC0"/>
    <w:rsid w:val="001F3F7F"/>
    <w:rsid w:val="00202921"/>
    <w:rsid w:val="00204A40"/>
    <w:rsid w:val="00214CF9"/>
    <w:rsid w:val="00266225"/>
    <w:rsid w:val="00271AE3"/>
    <w:rsid w:val="0027208D"/>
    <w:rsid w:val="00277B2C"/>
    <w:rsid w:val="00284089"/>
    <w:rsid w:val="00294BFB"/>
    <w:rsid w:val="002A65D8"/>
    <w:rsid w:val="002B5E2C"/>
    <w:rsid w:val="002B7F4F"/>
    <w:rsid w:val="002C0FCA"/>
    <w:rsid w:val="002C7A6D"/>
    <w:rsid w:val="002D2335"/>
    <w:rsid w:val="002D6E99"/>
    <w:rsid w:val="002E6272"/>
    <w:rsid w:val="003206AF"/>
    <w:rsid w:val="00325DE4"/>
    <w:rsid w:val="00327C2B"/>
    <w:rsid w:val="003332C7"/>
    <w:rsid w:val="00334F18"/>
    <w:rsid w:val="00335EC4"/>
    <w:rsid w:val="0034763D"/>
    <w:rsid w:val="00353EEA"/>
    <w:rsid w:val="00355372"/>
    <w:rsid w:val="003564A1"/>
    <w:rsid w:val="00372617"/>
    <w:rsid w:val="00375277"/>
    <w:rsid w:val="00376046"/>
    <w:rsid w:val="00377780"/>
    <w:rsid w:val="00391D94"/>
    <w:rsid w:val="003968AE"/>
    <w:rsid w:val="003A24B7"/>
    <w:rsid w:val="003B2812"/>
    <w:rsid w:val="003B7C9B"/>
    <w:rsid w:val="003C5F01"/>
    <w:rsid w:val="003C7631"/>
    <w:rsid w:val="003D2006"/>
    <w:rsid w:val="003D4026"/>
    <w:rsid w:val="0040053F"/>
    <w:rsid w:val="0040677D"/>
    <w:rsid w:val="004118DB"/>
    <w:rsid w:val="0042666F"/>
    <w:rsid w:val="004400BF"/>
    <w:rsid w:val="004441A6"/>
    <w:rsid w:val="004530B3"/>
    <w:rsid w:val="00456B6E"/>
    <w:rsid w:val="00456B7F"/>
    <w:rsid w:val="004644D8"/>
    <w:rsid w:val="0048125D"/>
    <w:rsid w:val="0049358F"/>
    <w:rsid w:val="004B6D61"/>
    <w:rsid w:val="004B7219"/>
    <w:rsid w:val="004C237D"/>
    <w:rsid w:val="004C6B64"/>
    <w:rsid w:val="004C77EC"/>
    <w:rsid w:val="004D7210"/>
    <w:rsid w:val="004E294B"/>
    <w:rsid w:val="004E4823"/>
    <w:rsid w:val="004E7DFF"/>
    <w:rsid w:val="004F1F9F"/>
    <w:rsid w:val="004F7B98"/>
    <w:rsid w:val="00507AD5"/>
    <w:rsid w:val="00510ECB"/>
    <w:rsid w:val="00511857"/>
    <w:rsid w:val="0052102E"/>
    <w:rsid w:val="00523543"/>
    <w:rsid w:val="00525EB1"/>
    <w:rsid w:val="00547796"/>
    <w:rsid w:val="005931FF"/>
    <w:rsid w:val="00596818"/>
    <w:rsid w:val="005979A7"/>
    <w:rsid w:val="00597EEF"/>
    <w:rsid w:val="005A17F0"/>
    <w:rsid w:val="005C502B"/>
    <w:rsid w:val="005D42F3"/>
    <w:rsid w:val="005D4E78"/>
    <w:rsid w:val="005E2E27"/>
    <w:rsid w:val="005E3B18"/>
    <w:rsid w:val="005E4589"/>
    <w:rsid w:val="005F2447"/>
    <w:rsid w:val="005F7821"/>
    <w:rsid w:val="006058BB"/>
    <w:rsid w:val="006102A4"/>
    <w:rsid w:val="0061100F"/>
    <w:rsid w:val="00615AA9"/>
    <w:rsid w:val="00616939"/>
    <w:rsid w:val="00631552"/>
    <w:rsid w:val="00632C95"/>
    <w:rsid w:val="00641A99"/>
    <w:rsid w:val="00647302"/>
    <w:rsid w:val="006A046B"/>
    <w:rsid w:val="006A0972"/>
    <w:rsid w:val="006A13F8"/>
    <w:rsid w:val="006B69C8"/>
    <w:rsid w:val="006B6A40"/>
    <w:rsid w:val="006C4117"/>
    <w:rsid w:val="006D3258"/>
    <w:rsid w:val="006D646B"/>
    <w:rsid w:val="006E51D2"/>
    <w:rsid w:val="006F0499"/>
    <w:rsid w:val="006F3227"/>
    <w:rsid w:val="006F4F9A"/>
    <w:rsid w:val="0070462F"/>
    <w:rsid w:val="00712D0E"/>
    <w:rsid w:val="00717364"/>
    <w:rsid w:val="007225FF"/>
    <w:rsid w:val="00725F5C"/>
    <w:rsid w:val="00731DE6"/>
    <w:rsid w:val="00766B86"/>
    <w:rsid w:val="00770B55"/>
    <w:rsid w:val="0078018E"/>
    <w:rsid w:val="007C0520"/>
    <w:rsid w:val="007D019D"/>
    <w:rsid w:val="007D0448"/>
    <w:rsid w:val="007E3A24"/>
    <w:rsid w:val="007F0B98"/>
    <w:rsid w:val="00806D89"/>
    <w:rsid w:val="00810E9D"/>
    <w:rsid w:val="00822564"/>
    <w:rsid w:val="008300E4"/>
    <w:rsid w:val="0085041A"/>
    <w:rsid w:val="00851256"/>
    <w:rsid w:val="00874401"/>
    <w:rsid w:val="00877C57"/>
    <w:rsid w:val="00884AEF"/>
    <w:rsid w:val="008A793B"/>
    <w:rsid w:val="008B3D36"/>
    <w:rsid w:val="008B5720"/>
    <w:rsid w:val="008B5CB5"/>
    <w:rsid w:val="008C20F9"/>
    <w:rsid w:val="008F7179"/>
    <w:rsid w:val="008F7439"/>
    <w:rsid w:val="009034B0"/>
    <w:rsid w:val="00933E58"/>
    <w:rsid w:val="0096449F"/>
    <w:rsid w:val="0096599A"/>
    <w:rsid w:val="009724FE"/>
    <w:rsid w:val="00976784"/>
    <w:rsid w:val="009871B9"/>
    <w:rsid w:val="00992943"/>
    <w:rsid w:val="00993431"/>
    <w:rsid w:val="009979B3"/>
    <w:rsid w:val="009B0264"/>
    <w:rsid w:val="009B7B9A"/>
    <w:rsid w:val="009C6589"/>
    <w:rsid w:val="009D38F3"/>
    <w:rsid w:val="009D5EF7"/>
    <w:rsid w:val="009E5E56"/>
    <w:rsid w:val="009F1CF1"/>
    <w:rsid w:val="00A01B58"/>
    <w:rsid w:val="00A02741"/>
    <w:rsid w:val="00A134CF"/>
    <w:rsid w:val="00A22EC1"/>
    <w:rsid w:val="00A25FC5"/>
    <w:rsid w:val="00A37F57"/>
    <w:rsid w:val="00A45774"/>
    <w:rsid w:val="00A55661"/>
    <w:rsid w:val="00A5615E"/>
    <w:rsid w:val="00A67F45"/>
    <w:rsid w:val="00A710B7"/>
    <w:rsid w:val="00A8284A"/>
    <w:rsid w:val="00A84A76"/>
    <w:rsid w:val="00A8580F"/>
    <w:rsid w:val="00A862D0"/>
    <w:rsid w:val="00A93689"/>
    <w:rsid w:val="00A976E1"/>
    <w:rsid w:val="00AA4A36"/>
    <w:rsid w:val="00AB0893"/>
    <w:rsid w:val="00AB71CB"/>
    <w:rsid w:val="00AC154A"/>
    <w:rsid w:val="00AC7482"/>
    <w:rsid w:val="00AD1E24"/>
    <w:rsid w:val="00AE2CE5"/>
    <w:rsid w:val="00AF0629"/>
    <w:rsid w:val="00B03AF9"/>
    <w:rsid w:val="00B040A8"/>
    <w:rsid w:val="00B14F3B"/>
    <w:rsid w:val="00B26AC1"/>
    <w:rsid w:val="00B317A2"/>
    <w:rsid w:val="00B37F8F"/>
    <w:rsid w:val="00B450DD"/>
    <w:rsid w:val="00B6420D"/>
    <w:rsid w:val="00B8379A"/>
    <w:rsid w:val="00B84C14"/>
    <w:rsid w:val="00B92724"/>
    <w:rsid w:val="00BA106E"/>
    <w:rsid w:val="00BB63A6"/>
    <w:rsid w:val="00BB65BB"/>
    <w:rsid w:val="00BC0790"/>
    <w:rsid w:val="00BC2FF0"/>
    <w:rsid w:val="00BD18E2"/>
    <w:rsid w:val="00BD2EBA"/>
    <w:rsid w:val="00BD6FD4"/>
    <w:rsid w:val="00BE00E8"/>
    <w:rsid w:val="00BF7FC5"/>
    <w:rsid w:val="00C039CA"/>
    <w:rsid w:val="00C11962"/>
    <w:rsid w:val="00C21697"/>
    <w:rsid w:val="00C229DC"/>
    <w:rsid w:val="00C32DA1"/>
    <w:rsid w:val="00C34C1A"/>
    <w:rsid w:val="00C3561E"/>
    <w:rsid w:val="00C4123D"/>
    <w:rsid w:val="00C54623"/>
    <w:rsid w:val="00C73D86"/>
    <w:rsid w:val="00C951C0"/>
    <w:rsid w:val="00CA3425"/>
    <w:rsid w:val="00CB030B"/>
    <w:rsid w:val="00CB1B71"/>
    <w:rsid w:val="00CC0D94"/>
    <w:rsid w:val="00CC38D7"/>
    <w:rsid w:val="00CD1344"/>
    <w:rsid w:val="00CD2E0F"/>
    <w:rsid w:val="00CE532C"/>
    <w:rsid w:val="00CE653B"/>
    <w:rsid w:val="00CF546E"/>
    <w:rsid w:val="00D35D98"/>
    <w:rsid w:val="00D46F3B"/>
    <w:rsid w:val="00D47028"/>
    <w:rsid w:val="00D7060C"/>
    <w:rsid w:val="00D91988"/>
    <w:rsid w:val="00D91C90"/>
    <w:rsid w:val="00D96AD5"/>
    <w:rsid w:val="00DB0792"/>
    <w:rsid w:val="00DB5211"/>
    <w:rsid w:val="00DB59AC"/>
    <w:rsid w:val="00DB6CA9"/>
    <w:rsid w:val="00DC11F1"/>
    <w:rsid w:val="00DC338B"/>
    <w:rsid w:val="00DC6F85"/>
    <w:rsid w:val="00DE3DBC"/>
    <w:rsid w:val="00DE75EE"/>
    <w:rsid w:val="00E13209"/>
    <w:rsid w:val="00E14885"/>
    <w:rsid w:val="00E20F3B"/>
    <w:rsid w:val="00E25083"/>
    <w:rsid w:val="00E51280"/>
    <w:rsid w:val="00E52296"/>
    <w:rsid w:val="00E547B7"/>
    <w:rsid w:val="00E61401"/>
    <w:rsid w:val="00E67BE1"/>
    <w:rsid w:val="00E73B27"/>
    <w:rsid w:val="00E7486E"/>
    <w:rsid w:val="00E91D84"/>
    <w:rsid w:val="00E956B2"/>
    <w:rsid w:val="00E95FE4"/>
    <w:rsid w:val="00EB36B1"/>
    <w:rsid w:val="00EB417C"/>
    <w:rsid w:val="00EC799F"/>
    <w:rsid w:val="00ED5CD9"/>
    <w:rsid w:val="00EE700B"/>
    <w:rsid w:val="00EF01C6"/>
    <w:rsid w:val="00EF7D32"/>
    <w:rsid w:val="00F04019"/>
    <w:rsid w:val="00F12C18"/>
    <w:rsid w:val="00F148A8"/>
    <w:rsid w:val="00F332EC"/>
    <w:rsid w:val="00F34418"/>
    <w:rsid w:val="00F631D7"/>
    <w:rsid w:val="00F74DD2"/>
    <w:rsid w:val="00F86D6F"/>
    <w:rsid w:val="00F87F3E"/>
    <w:rsid w:val="00F954ED"/>
    <w:rsid w:val="00F95C66"/>
    <w:rsid w:val="00FA1BBA"/>
    <w:rsid w:val="00FA32A8"/>
    <w:rsid w:val="00FC5BC5"/>
    <w:rsid w:val="00FD45C5"/>
    <w:rsid w:val="00FD608C"/>
    <w:rsid w:val="00FE5144"/>
    <w:rsid w:val="00FF0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5CB5"/>
    <w:rPr>
      <w:color w:val="0000FF" w:themeColor="hyperlink"/>
      <w:u w:val="single"/>
    </w:rPr>
  </w:style>
  <w:style w:type="character" w:customStyle="1" w:styleId="apple-converted-space">
    <w:name w:val="apple-converted-space"/>
    <w:basedOn w:val="Fuentedeprrafopredeter"/>
    <w:rsid w:val="00391D94"/>
  </w:style>
  <w:style w:type="paragraph" w:customStyle="1" w:styleId="Default">
    <w:name w:val="Default"/>
    <w:rsid w:val="00F631D7"/>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D6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C0"/>
  </w:style>
  <w:style w:type="paragraph" w:styleId="Piedepgina">
    <w:name w:val="footer"/>
    <w:basedOn w:val="Normal"/>
    <w:link w:val="PiedepginaCar"/>
    <w:uiPriority w:val="99"/>
    <w:unhideWhenUsed/>
    <w:rsid w:val="001D6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5CB5"/>
    <w:rPr>
      <w:color w:val="0000FF" w:themeColor="hyperlink"/>
      <w:u w:val="single"/>
    </w:rPr>
  </w:style>
  <w:style w:type="character" w:customStyle="1" w:styleId="apple-converted-space">
    <w:name w:val="apple-converted-space"/>
    <w:basedOn w:val="Fuentedeprrafopredeter"/>
    <w:rsid w:val="00391D94"/>
  </w:style>
  <w:style w:type="paragraph" w:customStyle="1" w:styleId="Default">
    <w:name w:val="Default"/>
    <w:rsid w:val="00F631D7"/>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1D6E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6EC0"/>
  </w:style>
  <w:style w:type="paragraph" w:styleId="Piedepgina">
    <w:name w:val="footer"/>
    <w:basedOn w:val="Normal"/>
    <w:link w:val="PiedepginaCar"/>
    <w:uiPriority w:val="99"/>
    <w:unhideWhenUsed/>
    <w:rsid w:val="001D6E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34059">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770152656">
      <w:bodyDiv w:val="1"/>
      <w:marLeft w:val="0"/>
      <w:marRight w:val="0"/>
      <w:marTop w:val="0"/>
      <w:marBottom w:val="0"/>
      <w:divBdr>
        <w:top w:val="none" w:sz="0" w:space="0" w:color="auto"/>
        <w:left w:val="none" w:sz="0" w:space="0" w:color="auto"/>
        <w:bottom w:val="none" w:sz="0" w:space="0" w:color="auto"/>
        <w:right w:val="none" w:sz="0" w:space="0" w:color="auto"/>
      </w:divBdr>
      <w:divsChild>
        <w:div w:id="1451167694">
          <w:marLeft w:val="1008"/>
          <w:marRight w:val="0"/>
          <w:marTop w:val="0"/>
          <w:marBottom w:val="101"/>
          <w:divBdr>
            <w:top w:val="none" w:sz="0" w:space="0" w:color="auto"/>
            <w:left w:val="none" w:sz="0" w:space="0" w:color="auto"/>
            <w:bottom w:val="none" w:sz="0" w:space="0" w:color="auto"/>
            <w:right w:val="none" w:sz="0" w:space="0" w:color="auto"/>
          </w:divBdr>
        </w:div>
        <w:div w:id="1450969505">
          <w:marLeft w:val="1008"/>
          <w:marRight w:val="0"/>
          <w:marTop w:val="0"/>
          <w:marBottom w:val="101"/>
          <w:divBdr>
            <w:top w:val="none" w:sz="0" w:space="0" w:color="auto"/>
            <w:left w:val="none" w:sz="0" w:space="0" w:color="auto"/>
            <w:bottom w:val="none" w:sz="0" w:space="0" w:color="auto"/>
            <w:right w:val="none" w:sz="0" w:space="0" w:color="auto"/>
          </w:divBdr>
        </w:div>
        <w:div w:id="1646425428">
          <w:marLeft w:val="1008"/>
          <w:marRight w:val="0"/>
          <w:marTop w:val="0"/>
          <w:marBottom w:val="101"/>
          <w:divBdr>
            <w:top w:val="none" w:sz="0" w:space="0" w:color="auto"/>
            <w:left w:val="none" w:sz="0" w:space="0" w:color="auto"/>
            <w:bottom w:val="none" w:sz="0" w:space="0" w:color="auto"/>
            <w:right w:val="none" w:sz="0" w:space="0" w:color="auto"/>
          </w:divBdr>
        </w:div>
        <w:div w:id="825244692">
          <w:marLeft w:val="1008"/>
          <w:marRight w:val="0"/>
          <w:marTop w:val="0"/>
          <w:marBottom w:val="101"/>
          <w:divBdr>
            <w:top w:val="none" w:sz="0" w:space="0" w:color="auto"/>
            <w:left w:val="none" w:sz="0" w:space="0" w:color="auto"/>
            <w:bottom w:val="none" w:sz="0" w:space="0" w:color="auto"/>
            <w:right w:val="none" w:sz="0" w:space="0" w:color="auto"/>
          </w:divBdr>
        </w:div>
      </w:divsChild>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92A2-F379-4FA5-8895-2DB62B5F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2829</Words>
  <Characters>15564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Apoyo Plenario</dc:creator>
  <cp:lastModifiedBy>Apoyo Plenario</cp:lastModifiedBy>
  <cp:revision>8</cp:revision>
  <cp:lastPrinted>2016-05-27T18:44:00Z</cp:lastPrinted>
  <dcterms:created xsi:type="dcterms:W3CDTF">2016-05-26T20:15:00Z</dcterms:created>
  <dcterms:modified xsi:type="dcterms:W3CDTF">2016-07-04T13:30:00Z</dcterms:modified>
</cp:coreProperties>
</file>