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34" w:rsidRDefault="00DB4C34" w:rsidP="003403D7">
      <w:pPr>
        <w:spacing w:after="0" w:line="240" w:lineRule="auto"/>
        <w:rPr>
          <w:b/>
        </w:rPr>
      </w:pPr>
    </w:p>
    <w:p w:rsidR="003403D7" w:rsidRPr="007C4A19" w:rsidRDefault="003403D7" w:rsidP="003403D7">
      <w:pPr>
        <w:spacing w:after="0" w:line="240" w:lineRule="auto"/>
        <w:rPr>
          <w:b/>
        </w:rPr>
      </w:pPr>
    </w:p>
    <w:p w:rsidR="003403D7" w:rsidRDefault="003403D7" w:rsidP="003403D7">
      <w:pPr>
        <w:spacing w:after="0" w:line="240" w:lineRule="auto"/>
        <w:jc w:val="center"/>
        <w:rPr>
          <w:b/>
          <w:sz w:val="24"/>
          <w:szCs w:val="24"/>
        </w:rPr>
      </w:pPr>
    </w:p>
    <w:p w:rsidR="003403D7" w:rsidRDefault="003403D7" w:rsidP="003403D7">
      <w:pPr>
        <w:spacing w:after="0" w:line="240" w:lineRule="auto"/>
        <w:jc w:val="center"/>
        <w:rPr>
          <w:b/>
          <w:sz w:val="24"/>
          <w:szCs w:val="24"/>
        </w:rPr>
      </w:pPr>
    </w:p>
    <w:p w:rsidR="0027208D" w:rsidRPr="003403D7" w:rsidRDefault="0027208D" w:rsidP="003403D7">
      <w:pPr>
        <w:spacing w:after="0" w:line="240" w:lineRule="auto"/>
        <w:jc w:val="center"/>
        <w:rPr>
          <w:b/>
          <w:sz w:val="24"/>
          <w:szCs w:val="24"/>
        </w:rPr>
      </w:pPr>
      <w:r w:rsidRPr="003403D7">
        <w:rPr>
          <w:b/>
          <w:sz w:val="24"/>
          <w:szCs w:val="24"/>
        </w:rPr>
        <w:t>ACUERDO ADMINISTRATIVO</w:t>
      </w:r>
    </w:p>
    <w:p w:rsidR="003403D7" w:rsidRPr="007C4A19" w:rsidRDefault="003403D7" w:rsidP="003403D7">
      <w:pPr>
        <w:spacing w:after="0" w:line="240" w:lineRule="auto"/>
        <w:jc w:val="center"/>
        <w:rPr>
          <w:b/>
        </w:rPr>
      </w:pPr>
    </w:p>
    <w:p w:rsidR="000D14E5" w:rsidRPr="002D7F8D" w:rsidRDefault="0027208D" w:rsidP="002D7F8D">
      <w:pPr>
        <w:spacing w:line="240" w:lineRule="auto"/>
        <w:jc w:val="both"/>
        <w:rPr>
          <w:rFonts w:cstheme="minorHAnsi"/>
        </w:rPr>
      </w:pPr>
      <w:r w:rsidRPr="002D7F8D">
        <w:rPr>
          <w:rFonts w:cstheme="minorHAnsi"/>
        </w:rPr>
        <w:t>En la ciudad de Mérida, Yucatán, siendo las</w:t>
      </w:r>
      <w:r w:rsidR="0070462F" w:rsidRPr="002D7F8D">
        <w:rPr>
          <w:rFonts w:cstheme="minorHAnsi"/>
        </w:rPr>
        <w:t xml:space="preserve"> </w:t>
      </w:r>
      <w:r w:rsidR="002D7F8D" w:rsidRPr="002D7F8D">
        <w:rPr>
          <w:rFonts w:cstheme="minorHAnsi"/>
        </w:rPr>
        <w:t>quince</w:t>
      </w:r>
      <w:r w:rsidR="0070462F" w:rsidRPr="002D7F8D">
        <w:rPr>
          <w:rFonts w:cstheme="minorHAnsi"/>
        </w:rPr>
        <w:t xml:space="preserve"> horas</w:t>
      </w:r>
      <w:r w:rsidRPr="002D7F8D">
        <w:rPr>
          <w:rFonts w:cstheme="minorHAnsi"/>
        </w:rPr>
        <w:t xml:space="preserve">, del día </w:t>
      </w:r>
      <w:r w:rsidR="002A2FA0" w:rsidRPr="002D7F8D">
        <w:rPr>
          <w:rFonts w:cstheme="minorHAnsi"/>
        </w:rPr>
        <w:t>treinta</w:t>
      </w:r>
      <w:r w:rsidR="00FC5BC5" w:rsidRPr="002D7F8D">
        <w:rPr>
          <w:rFonts w:cstheme="minorHAnsi"/>
        </w:rPr>
        <w:t xml:space="preserve"> de</w:t>
      </w:r>
      <w:r w:rsidR="00704F7B" w:rsidRPr="002D7F8D">
        <w:rPr>
          <w:rFonts w:cstheme="minorHAnsi"/>
        </w:rPr>
        <w:t xml:space="preserve"> </w:t>
      </w:r>
      <w:r w:rsidR="002D7F8D" w:rsidRPr="002D7F8D">
        <w:rPr>
          <w:rFonts w:cstheme="minorHAnsi"/>
        </w:rPr>
        <w:t>mayo</w:t>
      </w:r>
      <w:r w:rsidR="002A2FA0" w:rsidRPr="002D7F8D">
        <w:rPr>
          <w:rFonts w:cstheme="minorHAnsi"/>
        </w:rPr>
        <w:t xml:space="preserve"> </w:t>
      </w:r>
      <w:r w:rsidR="002D7F8D" w:rsidRPr="002D7F8D">
        <w:rPr>
          <w:rFonts w:cstheme="minorHAnsi"/>
        </w:rPr>
        <w:t>del año dos mil diecisiete</w:t>
      </w:r>
      <w:r w:rsidRPr="002D7F8D">
        <w:rPr>
          <w:rFonts w:cstheme="minorHAnsi"/>
        </w:rPr>
        <w:t>,</w:t>
      </w:r>
      <w:r w:rsidR="000251B3" w:rsidRPr="002D7F8D">
        <w:rPr>
          <w:rFonts w:cstheme="minorHAnsi"/>
        </w:rPr>
        <w:t xml:space="preserve"> </w:t>
      </w:r>
      <w:r w:rsidR="002D7F8D" w:rsidRPr="002D7F8D">
        <w:rPr>
          <w:rFonts w:cstheme="minorHAnsi"/>
        </w:rPr>
        <w:t xml:space="preserve">encontrándose reunidos los integrantes del Pleno del Instituto Estatal de Transparencia, Acceso a la Información Pública y Protección de Datos Personales, los Licenciados en Derecho, </w:t>
      </w:r>
      <w:r w:rsidR="002D7F8D" w:rsidRPr="002D7F8D">
        <w:rPr>
          <w:rFonts w:eastAsia="Times New Roman" w:cstheme="minorHAnsi"/>
          <w:lang w:eastAsia="ar-SA"/>
        </w:rPr>
        <w:t>Susana Aguilar Covarrubias,</w:t>
      </w:r>
      <w:r w:rsidR="002D7F8D" w:rsidRPr="002D7F8D">
        <w:rPr>
          <w:rFonts w:cstheme="minorHAnsi"/>
        </w:rPr>
        <w:t xml:space="preserve"> </w:t>
      </w:r>
      <w:r w:rsidR="002D7F8D" w:rsidRPr="002D7F8D">
        <w:rPr>
          <w:rFonts w:eastAsia="Times New Roman" w:cstheme="minorHAnsi"/>
          <w:lang w:eastAsia="ar-SA"/>
        </w:rPr>
        <w:t>María Eugenia Sansores Ruz y Aldrin Martín Briceño Conrado, Comisionada Presidenta y Comisionados, respectivamente</w:t>
      </w:r>
      <w:r w:rsidR="002D7F8D" w:rsidRPr="002D7F8D">
        <w:rPr>
          <w:rFonts w:cstheme="minorHAnsi"/>
        </w:rPr>
        <w:t>, emiten el presente acuerdo de conformidad con los siguientes</w:t>
      </w:r>
      <w:r w:rsidR="00D8791E" w:rsidRPr="002D7F8D">
        <w:rPr>
          <w:rFonts w:cstheme="minorHAnsi"/>
        </w:rPr>
        <w:t>:</w:t>
      </w:r>
    </w:p>
    <w:p w:rsidR="004D3044" w:rsidRPr="007C4A19" w:rsidRDefault="004D3044" w:rsidP="003403D7">
      <w:pPr>
        <w:spacing w:after="0" w:line="240" w:lineRule="auto"/>
        <w:jc w:val="both"/>
      </w:pPr>
    </w:p>
    <w:p w:rsidR="004430D7" w:rsidRDefault="002F7DA4" w:rsidP="003403D7">
      <w:pPr>
        <w:spacing w:after="0" w:line="240" w:lineRule="auto"/>
        <w:jc w:val="center"/>
        <w:rPr>
          <w:b/>
        </w:rPr>
      </w:pPr>
      <w:r w:rsidRPr="000D14E5">
        <w:rPr>
          <w:b/>
        </w:rPr>
        <w:t>ANTECEDENTES</w:t>
      </w:r>
    </w:p>
    <w:p w:rsidR="003403D7" w:rsidRPr="004D3044" w:rsidRDefault="003403D7" w:rsidP="003403D7">
      <w:pPr>
        <w:spacing w:after="0" w:line="240" w:lineRule="auto"/>
        <w:jc w:val="center"/>
        <w:rPr>
          <w:b/>
        </w:rPr>
      </w:pPr>
    </w:p>
    <w:p w:rsidR="002A2FA0" w:rsidRDefault="002F7DA4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</w:t>
      </w:r>
      <w:r w:rsidR="0060542E">
        <w:rPr>
          <w:rFonts w:cs="Calibri"/>
        </w:rPr>
        <w:t>M</w:t>
      </w:r>
      <w:r w:rsidR="007C4A19">
        <w:rPr>
          <w:rFonts w:cs="Calibri"/>
        </w:rPr>
        <w:t>ediante sesión pública</w:t>
      </w:r>
      <w:r w:rsidR="007C4A19" w:rsidRPr="007C4A19">
        <w:rPr>
          <w:rFonts w:cs="Calibri"/>
        </w:rPr>
        <w:t xml:space="preserve"> del día </w:t>
      </w:r>
      <w:r w:rsidR="00CA0766">
        <w:rPr>
          <w:rFonts w:cs="Calibri"/>
        </w:rPr>
        <w:t>20</w:t>
      </w:r>
      <w:r w:rsidR="007C4A19">
        <w:rPr>
          <w:rFonts w:cs="Calibri"/>
        </w:rPr>
        <w:t xml:space="preserve"> </w:t>
      </w:r>
      <w:r w:rsidR="007C4A19" w:rsidRPr="007C4A19">
        <w:rPr>
          <w:rFonts w:cs="Calibri"/>
        </w:rPr>
        <w:t xml:space="preserve">de </w:t>
      </w:r>
      <w:r w:rsidR="00CA0766">
        <w:rPr>
          <w:rFonts w:cs="Calibri"/>
        </w:rPr>
        <w:t>diciembre de 2016</w:t>
      </w:r>
      <w:r w:rsidR="007C4A19" w:rsidRPr="007C4A19">
        <w:rPr>
          <w:rFonts w:cs="Calibri"/>
        </w:rPr>
        <w:t>,</w:t>
      </w:r>
      <w:r w:rsidR="00CA0766">
        <w:rPr>
          <w:rFonts w:cs="Calibri"/>
        </w:rPr>
        <w:t xml:space="preserve"> radicada en el acta número 070/2016</w:t>
      </w:r>
      <w:r w:rsidR="007C4A19" w:rsidRPr="007C4A19">
        <w:rPr>
          <w:rFonts w:cs="Calibri"/>
        </w:rPr>
        <w:t>, los integrantes del Pleno del Instituto Estatal de Transparencia, Acceso a la Información Pública y Pr</w:t>
      </w:r>
      <w:r w:rsidR="00C32BE9">
        <w:rPr>
          <w:rFonts w:cs="Calibri"/>
        </w:rPr>
        <w:t>otección de Datos Personales, la Comisionada</w:t>
      </w:r>
      <w:r w:rsidR="003C66A2">
        <w:rPr>
          <w:rFonts w:cs="Calibri"/>
        </w:rPr>
        <w:t xml:space="preserve"> Presidenta</w:t>
      </w:r>
      <w:r w:rsidR="007C4A19" w:rsidRPr="007C4A19">
        <w:rPr>
          <w:rFonts w:cs="Calibri"/>
        </w:rPr>
        <w:t xml:space="preserve"> </w:t>
      </w:r>
      <w:r w:rsidR="003C66A2">
        <w:rPr>
          <w:rFonts w:cs="Calibri"/>
        </w:rPr>
        <w:t>Licenciada</w:t>
      </w:r>
      <w:r w:rsidR="00C32BE9" w:rsidRPr="007C4A19">
        <w:rPr>
          <w:rFonts w:cs="Calibri"/>
        </w:rPr>
        <w:t xml:space="preserve"> en Derecho Susana Aguilar Covarrubias</w:t>
      </w:r>
      <w:r w:rsidR="003C66A2">
        <w:rPr>
          <w:rFonts w:cs="Calibri"/>
        </w:rPr>
        <w:t xml:space="preserve">, </w:t>
      </w:r>
      <w:r w:rsidR="00C32BE9">
        <w:rPr>
          <w:rFonts w:cs="Calibri"/>
        </w:rPr>
        <w:t xml:space="preserve"> el</w:t>
      </w:r>
      <w:r w:rsidR="00C32BE9" w:rsidRPr="007C4A19">
        <w:rPr>
          <w:rFonts w:cs="Calibri"/>
        </w:rPr>
        <w:t xml:space="preserve"> </w:t>
      </w:r>
      <w:r w:rsidR="007C4A19" w:rsidRPr="0078230E">
        <w:rPr>
          <w:rFonts w:cs="Calibri"/>
        </w:rPr>
        <w:t>Ingeniero Civil Víctor Manuel May Vera y</w:t>
      </w:r>
      <w:r w:rsidR="00C32BE9" w:rsidRPr="0078230E">
        <w:rPr>
          <w:rFonts w:cs="Calibri"/>
        </w:rPr>
        <w:t xml:space="preserve"> la Licenciada </w:t>
      </w:r>
      <w:r w:rsidR="00D85C11">
        <w:rPr>
          <w:rFonts w:cs="Calibri"/>
        </w:rPr>
        <w:t xml:space="preserve">en Derecho </w:t>
      </w:r>
      <w:r w:rsidR="00C32BE9" w:rsidRPr="0078230E">
        <w:rPr>
          <w:rFonts w:cs="Calibri"/>
        </w:rPr>
        <w:t>María Eugenia Sansores Ruz</w:t>
      </w:r>
      <w:r w:rsidR="007C4A19" w:rsidRPr="0078230E">
        <w:rPr>
          <w:rFonts w:cs="Calibri"/>
        </w:rPr>
        <w:t>,</w:t>
      </w:r>
      <w:r w:rsidR="00C32BE9" w:rsidRPr="0078230E">
        <w:rPr>
          <w:rFonts w:cs="Calibri"/>
        </w:rPr>
        <w:t xml:space="preserve"> Comisionados</w:t>
      </w:r>
      <w:r w:rsidR="0060542E" w:rsidRPr="0078230E">
        <w:rPr>
          <w:rFonts w:cs="Calibri"/>
        </w:rPr>
        <w:t xml:space="preserve">, aprobaron el Presupuesto </w:t>
      </w:r>
      <w:r w:rsidR="0060542E" w:rsidRPr="0078230E">
        <w:t xml:space="preserve">de Egresos </w:t>
      </w:r>
      <w:r w:rsidR="00C32BE9" w:rsidRPr="0078230E">
        <w:t>del INAIP para el ejercicio 2017</w:t>
      </w:r>
      <w:r w:rsidR="0060542E" w:rsidRPr="0078230E">
        <w:t xml:space="preserve">, en el cual se consideró </w:t>
      </w:r>
      <w:r w:rsidR="0078230E" w:rsidRPr="0078230E">
        <w:rPr>
          <w:iCs/>
        </w:rPr>
        <w:t>lo siguiente</w:t>
      </w:r>
      <w:r w:rsidR="0060542E" w:rsidRPr="0078230E">
        <w:t>:</w:t>
      </w:r>
    </w:p>
    <w:p w:rsidR="003403D7" w:rsidRDefault="003403D7" w:rsidP="003403D7">
      <w:pPr>
        <w:spacing w:after="0" w:line="240" w:lineRule="auto"/>
        <w:jc w:val="both"/>
      </w:pPr>
    </w:p>
    <w:p w:rsidR="003403D7" w:rsidRPr="001E51CA" w:rsidRDefault="003403D7" w:rsidP="003403D7">
      <w:pPr>
        <w:spacing w:after="0" w:line="240" w:lineRule="auto"/>
        <w:jc w:val="both"/>
        <w:rPr>
          <w:iCs/>
        </w:rPr>
      </w:pPr>
    </w:p>
    <w:tbl>
      <w:tblPr>
        <w:tblStyle w:val="Tablaconcuadrcula"/>
        <w:tblW w:w="8162" w:type="dxa"/>
        <w:tblInd w:w="534" w:type="dxa"/>
        <w:tblLook w:val="04A0" w:firstRow="1" w:lastRow="0" w:firstColumn="1" w:lastColumn="0" w:noHBand="0" w:noVBand="1"/>
      </w:tblPr>
      <w:tblGrid>
        <w:gridCol w:w="6469"/>
        <w:gridCol w:w="1693"/>
      </w:tblGrid>
      <w:tr w:rsidR="0060542E" w:rsidTr="003403D7">
        <w:trPr>
          <w:trHeight w:val="38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RENDIMIENTOS FINANCIEROS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  <w:r w:rsidR="003C66A2">
              <w:rPr>
                <w:rFonts w:cs="Calibri"/>
              </w:rPr>
              <w:t xml:space="preserve">          </w:t>
            </w:r>
            <w:r>
              <w:rPr>
                <w:rFonts w:cs="Calibri"/>
              </w:rPr>
              <w:t>30,000</w:t>
            </w:r>
          </w:p>
        </w:tc>
      </w:tr>
      <w:tr w:rsidR="0060542E" w:rsidTr="003403D7">
        <w:trPr>
          <w:trHeight w:val="36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APLICACIÓN DE MULTAS A SUJETOS OBLIGADOS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  <w:r w:rsidR="003C66A2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>20, 000</w:t>
            </w:r>
          </w:p>
        </w:tc>
      </w:tr>
      <w:tr w:rsidR="0060542E" w:rsidTr="003403D7">
        <w:trPr>
          <w:trHeight w:val="38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PRESTACIÓN DE SERVICIOS CERTIFICACIONES</w:t>
            </w:r>
          </w:p>
        </w:tc>
        <w:tc>
          <w:tcPr>
            <w:tcW w:w="1693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  <w:r w:rsidR="003C66A2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>70, 800</w:t>
            </w:r>
          </w:p>
        </w:tc>
      </w:tr>
      <w:tr w:rsidR="0060542E" w:rsidTr="003403D7">
        <w:trPr>
          <w:trHeight w:val="362"/>
        </w:trPr>
        <w:tc>
          <w:tcPr>
            <w:tcW w:w="6469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INGRESOS POR ESPECIALIZACIÓN DE ARCHIVÍSTICA </w:t>
            </w:r>
          </w:p>
        </w:tc>
        <w:tc>
          <w:tcPr>
            <w:tcW w:w="1693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  <w:r w:rsidR="003C66A2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>90</w:t>
            </w:r>
            <w:r w:rsidR="002A2FA0">
              <w:rPr>
                <w:rFonts w:cs="Calibri"/>
              </w:rPr>
              <w:t>, 000</w:t>
            </w:r>
          </w:p>
        </w:tc>
      </w:tr>
      <w:tr w:rsidR="0060542E" w:rsidTr="003403D7">
        <w:trPr>
          <w:trHeight w:val="382"/>
        </w:trPr>
        <w:tc>
          <w:tcPr>
            <w:tcW w:w="6469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TRANSFERENCIAS DEL GOBIERNO DEL ESTADO</w:t>
            </w:r>
          </w:p>
        </w:tc>
        <w:tc>
          <w:tcPr>
            <w:tcW w:w="1693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$ 30, 378, 400</w:t>
            </w:r>
          </w:p>
        </w:tc>
      </w:tr>
      <w:tr w:rsidR="0060542E" w:rsidTr="003403D7">
        <w:trPr>
          <w:trHeight w:val="382"/>
        </w:trPr>
        <w:tc>
          <w:tcPr>
            <w:tcW w:w="0" w:type="auto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0" w:type="auto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$ 30, 588, 4</w:t>
            </w:r>
            <w:r w:rsidR="002A2FA0">
              <w:rPr>
                <w:rFonts w:cs="Calibri"/>
              </w:rPr>
              <w:t>00</w:t>
            </w:r>
          </w:p>
        </w:tc>
      </w:tr>
    </w:tbl>
    <w:p w:rsidR="0060542E" w:rsidRDefault="0060542E" w:rsidP="003403D7">
      <w:pPr>
        <w:spacing w:after="0" w:line="240" w:lineRule="auto"/>
        <w:jc w:val="center"/>
        <w:rPr>
          <w:rFonts w:cs="Calibri"/>
        </w:rPr>
      </w:pPr>
    </w:p>
    <w:p w:rsidR="003403D7" w:rsidRDefault="003403D7" w:rsidP="00481E06">
      <w:pPr>
        <w:spacing w:after="0" w:line="240" w:lineRule="auto"/>
        <w:rPr>
          <w:rFonts w:cs="Calibri"/>
        </w:rPr>
      </w:pPr>
    </w:p>
    <w:p w:rsidR="002F7DA4" w:rsidRDefault="002F7DA4" w:rsidP="003403D7">
      <w:pPr>
        <w:spacing w:after="0" w:line="240" w:lineRule="auto"/>
        <w:jc w:val="both"/>
        <w:rPr>
          <w:rFonts w:eastAsia="Arial" w:cs="Arial"/>
        </w:rPr>
      </w:pPr>
      <w:r w:rsidRPr="00E94408">
        <w:rPr>
          <w:rFonts w:eastAsia="Arial" w:cs="Arial"/>
          <w:b/>
        </w:rPr>
        <w:t xml:space="preserve">SEGUNDO.- </w:t>
      </w:r>
      <w:r w:rsidR="0068414C">
        <w:rPr>
          <w:rFonts w:eastAsia="Arial" w:cs="Arial"/>
        </w:rPr>
        <w:t>En fecha</w:t>
      </w:r>
      <w:r w:rsidR="00481E06">
        <w:rPr>
          <w:rFonts w:eastAsia="Arial" w:cs="Arial"/>
        </w:rPr>
        <w:t xml:space="preserve"> 30</w:t>
      </w:r>
      <w:r w:rsidR="00CB216A" w:rsidRPr="00E94408">
        <w:rPr>
          <w:rFonts w:eastAsia="Arial" w:cs="Arial"/>
        </w:rPr>
        <w:t xml:space="preserve"> de diciembre</w:t>
      </w:r>
      <w:r w:rsidR="00481E06">
        <w:rPr>
          <w:rFonts w:eastAsia="Arial" w:cs="Arial"/>
        </w:rPr>
        <w:t xml:space="preserve"> de 2016</w:t>
      </w:r>
      <w:r w:rsidRPr="00E94408">
        <w:rPr>
          <w:rFonts w:eastAsia="Arial" w:cs="Arial"/>
        </w:rPr>
        <w:t xml:space="preserve">, se publicó en </w:t>
      </w:r>
      <w:r w:rsidR="00481E06">
        <w:rPr>
          <w:rFonts w:eastAsia="Arial" w:cs="Arial"/>
        </w:rPr>
        <w:t>la Edición Especial d</w:t>
      </w:r>
      <w:r w:rsidRPr="00E94408">
        <w:rPr>
          <w:rFonts w:eastAsia="Arial" w:cs="Arial"/>
        </w:rPr>
        <w:t xml:space="preserve">el Diario Oficial del Gobierno del </w:t>
      </w:r>
      <w:r w:rsidR="00E22809" w:rsidRPr="00E94408">
        <w:rPr>
          <w:rFonts w:eastAsia="Arial" w:cs="Arial"/>
        </w:rPr>
        <w:t xml:space="preserve">Estado de Yucatán el </w:t>
      </w:r>
      <w:r w:rsidR="00700BA3">
        <w:rPr>
          <w:rFonts w:eastAsia="Arial" w:cs="Arial"/>
        </w:rPr>
        <w:t>Presupuesto de Egresos del Gobierno del Estado de Yucatán para el ejercicio Fiscal 2017</w:t>
      </w:r>
      <w:r w:rsidRPr="00E94408">
        <w:rPr>
          <w:rFonts w:eastAsia="Arial" w:cs="Arial"/>
        </w:rPr>
        <w:t xml:space="preserve">. </w:t>
      </w:r>
      <w:r w:rsidR="00E22809" w:rsidRPr="00E94408">
        <w:rPr>
          <w:rFonts w:eastAsia="Arial" w:cs="Arial"/>
        </w:rPr>
        <w:t>A través de dicho decreto</w:t>
      </w:r>
      <w:r w:rsidRPr="00E94408">
        <w:rPr>
          <w:rFonts w:eastAsia="Arial" w:cs="Arial"/>
        </w:rPr>
        <w:t xml:space="preserve">, se </w:t>
      </w:r>
      <w:r w:rsidR="00E22809" w:rsidRPr="00E94408">
        <w:rPr>
          <w:rFonts w:eastAsia="Arial" w:cs="Arial"/>
        </w:rPr>
        <w:t xml:space="preserve">especifica que al INAIP se </w:t>
      </w:r>
      <w:r w:rsidR="00481E06">
        <w:rPr>
          <w:rFonts w:eastAsia="Arial" w:cs="Arial"/>
        </w:rPr>
        <w:t>le otorgaría la cantidad de $ 30, 378, 4</w:t>
      </w:r>
      <w:r w:rsidR="00E22809" w:rsidRPr="00E94408">
        <w:rPr>
          <w:rFonts w:eastAsia="Arial" w:cs="Arial"/>
        </w:rPr>
        <w:t xml:space="preserve">00. </w:t>
      </w:r>
    </w:p>
    <w:p w:rsidR="003403D7" w:rsidRDefault="003403D7" w:rsidP="003403D7">
      <w:pPr>
        <w:spacing w:after="0" w:line="240" w:lineRule="auto"/>
        <w:jc w:val="both"/>
        <w:rPr>
          <w:rFonts w:eastAsia="Arial" w:cs="Arial"/>
        </w:rPr>
      </w:pPr>
    </w:p>
    <w:p w:rsidR="00F2566A" w:rsidRDefault="00C51ABD" w:rsidP="00C51ABD">
      <w:pPr>
        <w:spacing w:after="0" w:line="240" w:lineRule="auto"/>
        <w:jc w:val="both"/>
      </w:pPr>
      <w:r>
        <w:rPr>
          <w:rFonts w:eastAsia="Arial" w:cs="Arial"/>
          <w:b/>
        </w:rPr>
        <w:t>TERCERO.</w:t>
      </w:r>
      <w:r w:rsidRPr="00E94408">
        <w:rPr>
          <w:rFonts w:eastAsia="Arial" w:cs="Arial"/>
          <w:b/>
        </w:rPr>
        <w:t>-</w:t>
      </w:r>
      <w:r w:rsidRPr="00C51ABD">
        <w:t xml:space="preserve"> </w:t>
      </w:r>
      <w:r w:rsidRPr="007C4A19">
        <w:t xml:space="preserve">Que de conformidad con lo dispuesto en el artículo 103 de la Ley de Presupuesto y Contabilidad Gubernamental del Estado de Yucatán, los Organismos Autónomos, a través de sus órganos competentes podrán autorizar adecuaciones a sus respectivos presupuestos, siempre que </w:t>
      </w:r>
    </w:p>
    <w:p w:rsidR="00C51ABD" w:rsidRDefault="00C51ABD" w:rsidP="00C51ABD">
      <w:pPr>
        <w:spacing w:after="0" w:line="240" w:lineRule="auto"/>
        <w:jc w:val="both"/>
      </w:pPr>
      <w:r w:rsidRPr="007C4A19">
        <w:t xml:space="preserve">permitan un mejor cumplimiento de los objetivos y de los resultados de los programas y proyectos de inversión a su cargo. </w:t>
      </w:r>
    </w:p>
    <w:p w:rsidR="00C51ABD" w:rsidRDefault="00C51ABD" w:rsidP="003403D7">
      <w:pPr>
        <w:spacing w:after="0" w:line="240" w:lineRule="auto"/>
        <w:jc w:val="both"/>
        <w:rPr>
          <w:rFonts w:eastAsia="Arial" w:cs="Arial"/>
        </w:rPr>
      </w:pPr>
    </w:p>
    <w:p w:rsidR="003C66A2" w:rsidRDefault="003C66A2" w:rsidP="00C51ABD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</w:p>
    <w:p w:rsidR="003C66A2" w:rsidRDefault="003C66A2" w:rsidP="00C51ABD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</w:p>
    <w:p w:rsidR="003C66A2" w:rsidRDefault="003C66A2" w:rsidP="00C51ABD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</w:p>
    <w:p w:rsidR="003C66A2" w:rsidRDefault="003C66A2" w:rsidP="00C51ABD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</w:p>
    <w:p w:rsidR="003C66A2" w:rsidRDefault="003C66A2" w:rsidP="00C51ABD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</w:p>
    <w:p w:rsidR="00C51ABD" w:rsidRDefault="00C51ABD" w:rsidP="00C51AB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eastAsia="Arial" w:cs="Arial"/>
          <w:b/>
        </w:rPr>
        <w:t>CUARTO.</w:t>
      </w:r>
      <w:r w:rsidRPr="00E94408">
        <w:rPr>
          <w:rFonts w:eastAsia="Arial" w:cs="Arial"/>
          <w:b/>
        </w:rPr>
        <w:t>-</w:t>
      </w:r>
      <w:r>
        <w:rPr>
          <w:rFonts w:eastAsia="Arial" w:cs="Arial"/>
          <w:b/>
        </w:rPr>
        <w:t xml:space="preserve"> </w:t>
      </w:r>
      <w:r w:rsidRPr="00E94408">
        <w:t xml:space="preserve">Que en términos de lo establecido en el artículo 104 de la Ley de Presupuesto y Contabilidad Gubernamental del Estado de Yucatán, </w:t>
      </w:r>
      <w:r>
        <w:rPr>
          <w:rFonts w:cs="Arial"/>
        </w:rPr>
        <w:t>l</w:t>
      </w:r>
      <w:r w:rsidRPr="00E94408">
        <w:rPr>
          <w:rFonts w:cs="Arial"/>
        </w:rPr>
        <w:t>as ampliaciones presupuestales que se autoricen en los términos del</w:t>
      </w:r>
      <w:r>
        <w:rPr>
          <w:rFonts w:cs="Arial"/>
        </w:rPr>
        <w:t xml:space="preserve"> </w:t>
      </w:r>
      <w:r w:rsidRPr="00E94408">
        <w:rPr>
          <w:rFonts w:cs="Arial"/>
        </w:rPr>
        <w:t>artícul</w:t>
      </w:r>
      <w:r>
        <w:rPr>
          <w:rFonts w:cs="Arial"/>
        </w:rPr>
        <w:t>o 103 de la Ley en cita</w:t>
      </w:r>
      <w:r w:rsidRPr="00E94408">
        <w:rPr>
          <w:rFonts w:cs="Arial"/>
        </w:rPr>
        <w:t>, serán para fines específicos y no po</w:t>
      </w:r>
      <w:r>
        <w:rPr>
          <w:rFonts w:cs="Arial"/>
        </w:rPr>
        <w:t xml:space="preserve">drán reorientarse a programas o </w:t>
      </w:r>
      <w:r w:rsidRPr="00E94408">
        <w:rPr>
          <w:rFonts w:cs="Arial"/>
        </w:rPr>
        <w:t>proyectos de inversión</w:t>
      </w:r>
      <w:r>
        <w:rPr>
          <w:rFonts w:ascii="Arial" w:hAnsi="Arial" w:cs="Arial"/>
        </w:rPr>
        <w:t xml:space="preserve"> </w:t>
      </w:r>
      <w:r w:rsidRPr="00E94408">
        <w:rPr>
          <w:rFonts w:cs="Arial"/>
        </w:rPr>
        <w:t>distintos a los originalmente planteados</w:t>
      </w:r>
      <w:r>
        <w:rPr>
          <w:rFonts w:cs="Arial"/>
        </w:rPr>
        <w:t>.</w:t>
      </w:r>
    </w:p>
    <w:p w:rsidR="00C51ABD" w:rsidRDefault="00C51ABD" w:rsidP="00C51ABD">
      <w:pPr>
        <w:spacing w:after="0" w:line="240" w:lineRule="auto"/>
        <w:jc w:val="both"/>
        <w:rPr>
          <w:rFonts w:eastAsia="Arial" w:cs="Arial"/>
        </w:rPr>
      </w:pPr>
    </w:p>
    <w:p w:rsidR="00C51ABD" w:rsidRDefault="00C51ABD" w:rsidP="00C51AB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Arial" w:cs="Arial"/>
          <w:b/>
        </w:rPr>
        <w:t>QUINTO.</w:t>
      </w:r>
      <w:r w:rsidRPr="00E94408">
        <w:rPr>
          <w:rFonts w:eastAsia="Arial" w:cs="Arial"/>
          <w:b/>
        </w:rPr>
        <w:t>-</w:t>
      </w:r>
      <w:r>
        <w:rPr>
          <w:rFonts w:eastAsia="Arial" w:cs="Arial"/>
          <w:b/>
        </w:rPr>
        <w:t xml:space="preserve"> </w:t>
      </w:r>
      <w:r>
        <w:t xml:space="preserve">Que </w:t>
      </w:r>
      <w:r w:rsidRPr="004D3044">
        <w:t xml:space="preserve">en el artículo 38 </w:t>
      </w:r>
      <w:r>
        <w:t xml:space="preserve">fracción II </w:t>
      </w:r>
      <w:r w:rsidRPr="004D3044">
        <w:t xml:space="preserve">de la Ley </w:t>
      </w:r>
      <w:r w:rsidRPr="004D3044">
        <w:rPr>
          <w:bCs/>
        </w:rPr>
        <w:t>General de Contabilidad Gubernamental</w:t>
      </w:r>
      <w:r>
        <w:rPr>
          <w:bCs/>
        </w:rPr>
        <w:t xml:space="preserve">, se establece que </w:t>
      </w:r>
      <w:r>
        <w:t>e</w:t>
      </w:r>
      <w:r w:rsidRPr="004D3044">
        <w:t>l registro de las etapas del presupuesto de los entes públicos se efectuará en las cuentas contables que, para tal efecto, establezca el consejo, las cuales deberán reflejar</w:t>
      </w:r>
      <w:r>
        <w:t xml:space="preserve"> en lo </w:t>
      </w:r>
      <w:r w:rsidRPr="004D3044">
        <w:t>relativo al ingreso, el estimado, modificado, devengado y recaudado.</w:t>
      </w:r>
    </w:p>
    <w:p w:rsidR="003403D7" w:rsidRPr="00E94408" w:rsidRDefault="003403D7" w:rsidP="003C66A2">
      <w:pPr>
        <w:spacing w:after="0" w:line="240" w:lineRule="auto"/>
        <w:ind w:left="708" w:hanging="708"/>
        <w:jc w:val="both"/>
        <w:rPr>
          <w:rFonts w:eastAsia="Arial" w:cs="Arial"/>
          <w:b/>
        </w:rPr>
      </w:pPr>
    </w:p>
    <w:p w:rsidR="002F7DA4" w:rsidRPr="00E94408" w:rsidRDefault="002F7DA4" w:rsidP="003403D7">
      <w:pPr>
        <w:spacing w:after="0" w:line="240" w:lineRule="auto"/>
        <w:jc w:val="both"/>
        <w:rPr>
          <w:rFonts w:eastAsia="Arial" w:cs="Arial"/>
          <w:b/>
        </w:rPr>
      </w:pPr>
    </w:p>
    <w:p w:rsidR="0027208D" w:rsidRDefault="0027208D" w:rsidP="003403D7">
      <w:pPr>
        <w:spacing w:after="0" w:line="240" w:lineRule="auto"/>
        <w:jc w:val="center"/>
        <w:rPr>
          <w:b/>
        </w:rPr>
      </w:pPr>
      <w:r w:rsidRPr="007C4A19">
        <w:rPr>
          <w:b/>
        </w:rPr>
        <w:t>CONSIDERANDOS</w:t>
      </w:r>
    </w:p>
    <w:p w:rsidR="003403D7" w:rsidRPr="007C4A19" w:rsidRDefault="003403D7" w:rsidP="003403D7">
      <w:pPr>
        <w:spacing w:after="0" w:line="240" w:lineRule="auto"/>
        <w:jc w:val="center"/>
        <w:rPr>
          <w:b/>
        </w:rPr>
      </w:pPr>
    </w:p>
    <w:p w:rsidR="001E51CA" w:rsidRDefault="0027208D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Que de conformidad con el artículo </w:t>
      </w:r>
      <w:r w:rsidR="00DD1628" w:rsidRPr="007C4A19">
        <w:t>10</w:t>
      </w:r>
      <w:r w:rsidRPr="007C4A19">
        <w:t xml:space="preserve"> </w:t>
      </w:r>
      <w:r w:rsidR="00A10859" w:rsidRPr="007C4A19">
        <w:t xml:space="preserve">y 14 </w:t>
      </w:r>
      <w:r w:rsidRPr="007C4A19">
        <w:t xml:space="preserve">de la Ley de </w:t>
      </w:r>
      <w:r w:rsidR="00DD1628" w:rsidRPr="007C4A19">
        <w:t>Transparencia y Acceso a la Información Pública del Estado de Yucatán</w:t>
      </w:r>
      <w:r w:rsidR="00E97937" w:rsidRPr="007C4A19">
        <w:t>,</w:t>
      </w:r>
      <w:r w:rsidRPr="007C4A19">
        <w:t xml:space="preserve"> </w:t>
      </w:r>
      <w:r w:rsidR="00E97937" w:rsidRPr="007C4A19">
        <w:rPr>
          <w:rFonts w:cs="Arial"/>
        </w:rPr>
        <w:t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</w:t>
      </w:r>
      <w:r w:rsidR="001E51CA">
        <w:rPr>
          <w:rFonts w:cs="Arial"/>
        </w:rPr>
        <w:t xml:space="preserve">tán, la Ley general, esta ley y </w:t>
      </w:r>
      <w:r w:rsidR="00E97937" w:rsidRPr="007C4A19">
        <w:rPr>
          <w:rFonts w:cs="Arial"/>
        </w:rPr>
        <w:t>demás disp</w:t>
      </w:r>
      <w:r w:rsidR="00A10859" w:rsidRPr="007C4A19">
        <w:rPr>
          <w:rFonts w:cs="Arial"/>
        </w:rPr>
        <w:t xml:space="preserve">osiciones normativas aplicables, </w:t>
      </w:r>
      <w:r w:rsidR="00A10859" w:rsidRPr="007C4A19">
        <w:t xml:space="preserve">mismo que se encuentra integrado por el pleno y las unidades administrativas </w:t>
      </w:r>
      <w:r w:rsidR="00C262D6" w:rsidRPr="007C4A19">
        <w:t>que determine el reglamento interior de conformidad con la disponibilidad presupuestal</w:t>
      </w:r>
      <w:r w:rsidR="00A10859" w:rsidRPr="007C4A19">
        <w:t>.</w:t>
      </w:r>
    </w:p>
    <w:p w:rsidR="001E51CA" w:rsidRDefault="001E51CA" w:rsidP="003403D7">
      <w:pPr>
        <w:spacing w:after="0" w:line="240" w:lineRule="auto"/>
        <w:jc w:val="both"/>
        <w:rPr>
          <w:rFonts w:cs="Arial"/>
        </w:rPr>
      </w:pPr>
    </w:p>
    <w:p w:rsidR="004D3044" w:rsidRPr="001E51CA" w:rsidRDefault="0027208D" w:rsidP="003403D7">
      <w:pPr>
        <w:spacing w:after="0" w:line="240" w:lineRule="auto"/>
        <w:jc w:val="both"/>
        <w:rPr>
          <w:rFonts w:cs="Arial"/>
        </w:rPr>
      </w:pPr>
      <w:r w:rsidRPr="007C4A19">
        <w:rPr>
          <w:b/>
        </w:rPr>
        <w:t xml:space="preserve">SEGUNDO.- </w:t>
      </w:r>
      <w:r w:rsidRPr="007C4A19">
        <w:t xml:space="preserve">Que de </w:t>
      </w:r>
      <w:r w:rsidR="00D476B4" w:rsidRPr="007C4A19">
        <w:t>acuerdo a l</w:t>
      </w:r>
      <w:r w:rsidRPr="007C4A19">
        <w:t xml:space="preserve">a fracción </w:t>
      </w:r>
      <w:r w:rsidR="000251B3" w:rsidRPr="007C4A19">
        <w:t>V</w:t>
      </w:r>
      <w:r w:rsidR="004B1CFD" w:rsidRPr="007C4A19">
        <w:t xml:space="preserve"> del artículo 15</w:t>
      </w:r>
      <w:r w:rsidRPr="007C4A19">
        <w:t xml:space="preserve"> de la </w:t>
      </w:r>
      <w:r w:rsidR="004B1CFD" w:rsidRPr="007C4A19">
        <w:t>Ley de Transparencia y Acceso a la Información Pública del Estado de Yucatán</w:t>
      </w:r>
      <w:r w:rsidRPr="007C4A19">
        <w:t xml:space="preserve">, serán atribuciones del </w:t>
      </w:r>
      <w:r w:rsidR="004B1CFD" w:rsidRPr="007C4A19">
        <w:t>Pleno</w:t>
      </w:r>
      <w:r w:rsidR="000251B3" w:rsidRPr="007C4A19">
        <w:t xml:space="preserve"> </w:t>
      </w:r>
      <w:r w:rsidRPr="007C4A19">
        <w:t xml:space="preserve">del Instituto, </w:t>
      </w:r>
      <w:r w:rsidR="008138EF" w:rsidRPr="007C4A19">
        <w:t>evaluar, aprobar, y dar seguimiento a los proyectos de presupuestos de ingresos y egresos del INAIP</w:t>
      </w:r>
      <w:r w:rsidR="000251B3" w:rsidRPr="007C4A19">
        <w:t>.</w:t>
      </w:r>
    </w:p>
    <w:p w:rsidR="008C6C7A" w:rsidRPr="007C4A19" w:rsidRDefault="008C6C7A" w:rsidP="003403D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D3044" w:rsidRDefault="0027208D" w:rsidP="003403D7">
      <w:pPr>
        <w:spacing w:after="0" w:line="240" w:lineRule="auto"/>
        <w:jc w:val="both"/>
      </w:pPr>
      <w:r w:rsidRPr="007C4A19">
        <w:rPr>
          <w:b/>
        </w:rPr>
        <w:t xml:space="preserve">TERCERO.- </w:t>
      </w:r>
      <w:r w:rsidRPr="007C4A19">
        <w:t xml:space="preserve">Que </w:t>
      </w:r>
      <w:r w:rsidR="000251B3" w:rsidRPr="007C4A19">
        <w:t>de conformidad con el artículo 8</w:t>
      </w:r>
      <w:r w:rsidR="00617C85" w:rsidRPr="007C4A19">
        <w:t xml:space="preserve"> fracción IX</w:t>
      </w:r>
      <w:r w:rsidRPr="007C4A19">
        <w:t xml:space="preserve"> del Reglamento Interior del Instituto Estatal de Acceso a la Información Pública del Estado de Yucatán, </w:t>
      </w:r>
      <w:r w:rsidR="00704F7B" w:rsidRPr="007C4A19">
        <w:t xml:space="preserve">vigente, </w:t>
      </w:r>
      <w:r w:rsidRPr="007C4A19">
        <w:t xml:space="preserve">el </w:t>
      </w:r>
      <w:r w:rsidR="00402A71" w:rsidRPr="007C4A19">
        <w:t>Pleno</w:t>
      </w:r>
      <w:r w:rsidR="000251B3" w:rsidRPr="007C4A19">
        <w:t xml:space="preserve"> </w:t>
      </w:r>
      <w:r w:rsidRPr="007C4A19">
        <w:t xml:space="preserve">es el encargado de </w:t>
      </w:r>
      <w:r w:rsidR="000251B3" w:rsidRPr="007C4A19">
        <w:t>aprobar la creación o modificación de las partidas presupuestales cuando así se requiera.</w:t>
      </w:r>
    </w:p>
    <w:p w:rsidR="003403D7" w:rsidRPr="007C4A19" w:rsidRDefault="003403D7" w:rsidP="003403D7">
      <w:pPr>
        <w:spacing w:after="0" w:line="240" w:lineRule="auto"/>
        <w:jc w:val="both"/>
      </w:pPr>
    </w:p>
    <w:p w:rsidR="00C51ABD" w:rsidRDefault="001E51CA" w:rsidP="00C51ABD">
      <w:pPr>
        <w:spacing w:after="0" w:line="240" w:lineRule="auto"/>
        <w:jc w:val="both"/>
      </w:pPr>
      <w:r w:rsidRPr="00C51ABD">
        <w:rPr>
          <w:b/>
        </w:rPr>
        <w:t xml:space="preserve">CUARTO.- </w:t>
      </w:r>
      <w:r w:rsidR="00C51ABD" w:rsidRPr="00C51ABD">
        <w:t>En mérito de lo señal</w:t>
      </w:r>
      <w:r w:rsidR="00C51ABD">
        <w:t>ado en los antecedentes TERCERO y CUARTO, con fecha 30</w:t>
      </w:r>
      <w:r w:rsidR="00C51ABD" w:rsidRPr="007C4A19">
        <w:t xml:space="preserve"> de </w:t>
      </w:r>
      <w:r w:rsidR="00700BA3">
        <w:t>mayo</w:t>
      </w:r>
      <w:r w:rsidR="00C51ABD" w:rsidRPr="007C4A19">
        <w:t xml:space="preserve"> del año en curso, se recibió en la Coordinación de Apoyo Plenario y Archivo Administrativo el memorándum </w:t>
      </w:r>
      <w:r w:rsidR="00C51ABD" w:rsidRPr="00767A70">
        <w:t xml:space="preserve">número </w:t>
      </w:r>
      <w:r w:rsidR="00767A70" w:rsidRPr="00767A70">
        <w:t>DAF 23/2017</w:t>
      </w:r>
      <w:r w:rsidR="00C51ABD" w:rsidRPr="00767A70">
        <w:t xml:space="preserve">, suscrito por </w:t>
      </w:r>
      <w:r w:rsidR="00700BA3" w:rsidRPr="00767A70">
        <w:t>la C.P. Virginia Angulo Vázquez</w:t>
      </w:r>
      <w:r w:rsidR="00C51ABD" w:rsidRPr="00767A70">
        <w:t>, Director</w:t>
      </w:r>
      <w:r w:rsidR="00700BA3" w:rsidRPr="00767A70">
        <w:t>a de Administración y Finanzas</w:t>
      </w:r>
      <w:r w:rsidR="00C51ABD" w:rsidRPr="00767A70">
        <w:t>,</w:t>
      </w:r>
      <w:r w:rsidR="00892C81" w:rsidRPr="00767A70">
        <w:t xml:space="preserve"> mismo que adjunto al presente,</w:t>
      </w:r>
      <w:r w:rsidR="00C51ABD" w:rsidRPr="00767A70">
        <w:t xml:space="preserve"> a través del cual solicitó al Pleno del Instituto Estatal de Transparencia, Acceso</w:t>
      </w:r>
      <w:r w:rsidR="00C51ABD" w:rsidRPr="007C4A19">
        <w:t xml:space="preserve"> a la Información Pública y</w:t>
      </w:r>
      <w:r w:rsidR="00700BA3">
        <w:t xml:space="preserve"> Protección de Datos Personales </w:t>
      </w:r>
      <w:r w:rsidR="00767A70">
        <w:rPr>
          <w:iCs/>
        </w:rPr>
        <w:t>la ampliación</w:t>
      </w:r>
      <w:r w:rsidR="00C51ABD">
        <w:rPr>
          <w:iCs/>
        </w:rPr>
        <w:t xml:space="preserve"> </w:t>
      </w:r>
      <w:r w:rsidR="00767A70">
        <w:rPr>
          <w:iCs/>
        </w:rPr>
        <w:t>al presupuesto de e</w:t>
      </w:r>
      <w:r w:rsidR="00700BA3">
        <w:rPr>
          <w:iCs/>
        </w:rPr>
        <w:t>gresos aprobado para el año 2017,</w:t>
      </w:r>
      <w:r w:rsidR="00C51ABD">
        <w:rPr>
          <w:iCs/>
        </w:rPr>
        <w:t xml:space="preserve"> </w:t>
      </w:r>
      <w:r w:rsidR="00C51ABD" w:rsidRPr="007C4A19">
        <w:rPr>
          <w:iCs/>
        </w:rPr>
        <w:t>en los siguientes términos</w:t>
      </w:r>
      <w:r w:rsidR="00C51ABD" w:rsidRPr="007C4A19">
        <w:t>:</w:t>
      </w:r>
    </w:p>
    <w:p w:rsidR="00C51ABD" w:rsidRDefault="00C51ABD" w:rsidP="00C51ABD">
      <w:pPr>
        <w:spacing w:after="0" w:line="240" w:lineRule="auto"/>
        <w:jc w:val="both"/>
      </w:pPr>
    </w:p>
    <w:p w:rsidR="00C51ABD" w:rsidRDefault="00C51ABD" w:rsidP="00C51ABD">
      <w:pPr>
        <w:spacing w:after="0" w:line="240" w:lineRule="auto"/>
        <w:jc w:val="both"/>
      </w:pPr>
    </w:p>
    <w:p w:rsidR="00C51ABD" w:rsidRDefault="00C51ABD" w:rsidP="00C51ABD">
      <w:pPr>
        <w:spacing w:after="0" w:line="240" w:lineRule="auto"/>
        <w:jc w:val="both"/>
      </w:pPr>
    </w:p>
    <w:p w:rsidR="00C51ABD" w:rsidRDefault="00C51ABD" w:rsidP="00C51ABD">
      <w:pPr>
        <w:spacing w:after="0" w:line="240" w:lineRule="auto"/>
        <w:jc w:val="both"/>
      </w:pPr>
    </w:p>
    <w:p w:rsidR="00C51ABD" w:rsidRPr="007C4A19" w:rsidRDefault="00C51ABD" w:rsidP="00C51ABD">
      <w:pPr>
        <w:spacing w:after="0" w:line="240" w:lineRule="auto"/>
        <w:jc w:val="both"/>
      </w:pPr>
    </w:p>
    <w:p w:rsidR="003403D7" w:rsidRPr="00C51ABD" w:rsidRDefault="003403D7" w:rsidP="003403D7">
      <w:pPr>
        <w:spacing w:after="0" w:line="240" w:lineRule="auto"/>
        <w:jc w:val="both"/>
      </w:pPr>
    </w:p>
    <w:p w:rsidR="00F300F0" w:rsidRPr="007C4A19" w:rsidRDefault="00767A70" w:rsidP="003403D7">
      <w:pPr>
        <w:spacing w:after="0" w:line="240" w:lineRule="auto"/>
        <w:jc w:val="both"/>
        <w:rPr>
          <w:color w:val="FF0000"/>
          <w:highlight w:val="yellow"/>
        </w:rPr>
      </w:pPr>
      <w:r w:rsidRPr="00767A70">
        <w:rPr>
          <w:noProof/>
          <w:lang w:eastAsia="es-MX"/>
        </w:rPr>
        <w:drawing>
          <wp:inline distT="0" distB="0" distL="0" distR="0" wp14:anchorId="2F53F107" wp14:editId="42525D94">
            <wp:extent cx="5494655" cy="7988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0F0" w:rsidRPr="007C4A19" w:rsidRDefault="00F300F0" w:rsidP="003403D7">
      <w:pPr>
        <w:spacing w:after="0" w:line="240" w:lineRule="auto"/>
        <w:jc w:val="both"/>
      </w:pPr>
    </w:p>
    <w:p w:rsidR="00A40AA6" w:rsidRPr="004D3044" w:rsidRDefault="00A40AA6" w:rsidP="00A40AA6">
      <w:pPr>
        <w:autoSpaceDE w:val="0"/>
        <w:autoSpaceDN w:val="0"/>
        <w:adjustRightInd w:val="0"/>
        <w:spacing w:after="0" w:line="240" w:lineRule="auto"/>
        <w:jc w:val="both"/>
      </w:pPr>
    </w:p>
    <w:p w:rsidR="004D3044" w:rsidRDefault="0070462F" w:rsidP="003403D7">
      <w:pPr>
        <w:spacing w:after="0" w:line="240" w:lineRule="auto"/>
        <w:jc w:val="both"/>
      </w:pPr>
      <w:r w:rsidRPr="007C4A19">
        <w:t>Del análisis minucioso r</w:t>
      </w:r>
      <w:r w:rsidR="004B7219" w:rsidRPr="007C4A19">
        <w:t>ealizado a la constancia recibida</w:t>
      </w:r>
      <w:r w:rsidRPr="007C4A19">
        <w:t xml:space="preserve">, así como de lo anteriormente expuesto y fundado, </w:t>
      </w:r>
      <w:r w:rsidR="00195959" w:rsidRPr="007C4A19">
        <w:t>el Pleno</w:t>
      </w:r>
      <w:r w:rsidRPr="007C4A19">
        <w:t xml:space="preserve"> del </w:t>
      </w:r>
      <w:r w:rsidR="00195959" w:rsidRPr="007C4A19">
        <w:t xml:space="preserve">Instituto Estatal de Transparencia, Acceso a la Información Pública y Protección de Datos Personales </w:t>
      </w:r>
      <w:r w:rsidRPr="007C4A19">
        <w:t>emite el siguiente:</w:t>
      </w:r>
    </w:p>
    <w:p w:rsidR="00C2641A" w:rsidRDefault="00C2641A" w:rsidP="003403D7">
      <w:pPr>
        <w:spacing w:after="0" w:line="240" w:lineRule="auto"/>
        <w:jc w:val="both"/>
      </w:pPr>
    </w:p>
    <w:p w:rsidR="003403D7" w:rsidRPr="003403D7" w:rsidRDefault="003403D7" w:rsidP="003403D7">
      <w:pPr>
        <w:spacing w:after="0" w:line="240" w:lineRule="auto"/>
        <w:jc w:val="both"/>
      </w:pPr>
    </w:p>
    <w:p w:rsidR="0070462F" w:rsidRDefault="0070462F" w:rsidP="003403D7">
      <w:pPr>
        <w:spacing w:after="0" w:line="240" w:lineRule="auto"/>
        <w:jc w:val="center"/>
        <w:rPr>
          <w:b/>
          <w:spacing w:val="20"/>
        </w:rPr>
      </w:pPr>
      <w:r w:rsidRPr="007C4A19">
        <w:rPr>
          <w:b/>
          <w:spacing w:val="20"/>
        </w:rPr>
        <w:t>ACUERDO</w:t>
      </w:r>
    </w:p>
    <w:p w:rsidR="003403D7" w:rsidRPr="007C4A19" w:rsidRDefault="003403D7" w:rsidP="003403D7">
      <w:pPr>
        <w:spacing w:after="0" w:line="240" w:lineRule="auto"/>
        <w:jc w:val="center"/>
      </w:pPr>
    </w:p>
    <w:p w:rsidR="004D3044" w:rsidRDefault="0070462F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Se procede </w:t>
      </w:r>
      <w:r w:rsidR="001771C3" w:rsidRPr="007C4A19">
        <w:t xml:space="preserve">a autorizar </w:t>
      </w:r>
      <w:r w:rsidR="000F6237">
        <w:rPr>
          <w:iCs/>
        </w:rPr>
        <w:t xml:space="preserve">la </w:t>
      </w:r>
      <w:r w:rsidR="00767A70">
        <w:rPr>
          <w:iCs/>
        </w:rPr>
        <w:t>ampliación del presupuesto de Egresos aprobado para el año 2017</w:t>
      </w:r>
      <w:r w:rsidRPr="007C4A19">
        <w:t>, en</w:t>
      </w:r>
      <w:r w:rsidR="004B7219" w:rsidRPr="007C4A19">
        <w:t xml:space="preserve"> los términos propuestos por la Unidad Administrativa responsable, anteriormente citada</w:t>
      </w:r>
      <w:r w:rsidRPr="007C4A19">
        <w:t>.</w:t>
      </w:r>
    </w:p>
    <w:p w:rsidR="00C2641A" w:rsidRDefault="00C2641A" w:rsidP="003403D7">
      <w:pPr>
        <w:spacing w:after="0" w:line="240" w:lineRule="auto"/>
        <w:jc w:val="both"/>
        <w:rPr>
          <w:b/>
        </w:rPr>
      </w:pPr>
    </w:p>
    <w:p w:rsidR="0070462F" w:rsidRDefault="0070462F" w:rsidP="003403D7">
      <w:pPr>
        <w:spacing w:after="0" w:line="240" w:lineRule="auto"/>
        <w:jc w:val="both"/>
      </w:pPr>
      <w:r w:rsidRPr="007C4A19">
        <w:rPr>
          <w:b/>
        </w:rPr>
        <w:t xml:space="preserve">SEGUNDO.- </w:t>
      </w:r>
      <w:r w:rsidRPr="007C4A19">
        <w:t>Remítase a la C.P. Virginia Rosalía Angulo Vázquez, Directora de Administración y Finanzas del Instituto Estatal de Acceso a la Información Pública, copia</w:t>
      </w:r>
      <w:r w:rsidR="00222050" w:rsidRPr="007C4A19">
        <w:t xml:space="preserve"> del presente</w:t>
      </w:r>
      <w:r w:rsidRPr="007C4A19">
        <w:t>, lo anterior para que en el ejercicio de sus funciones se sirva en dar trámite oportuno al presente acuerdo.</w:t>
      </w:r>
    </w:p>
    <w:p w:rsidR="003403D7" w:rsidRDefault="003403D7" w:rsidP="003403D7">
      <w:pPr>
        <w:spacing w:after="0" w:line="240" w:lineRule="auto"/>
        <w:jc w:val="both"/>
      </w:pPr>
    </w:p>
    <w:p w:rsidR="003403D7" w:rsidRPr="007C4A19" w:rsidRDefault="003403D7" w:rsidP="003403D7">
      <w:pPr>
        <w:spacing w:after="0" w:line="240" w:lineRule="auto"/>
        <w:jc w:val="both"/>
      </w:pPr>
    </w:p>
    <w:p w:rsidR="00874401" w:rsidRPr="007C4A19" w:rsidRDefault="00335EC4" w:rsidP="003403D7">
      <w:pPr>
        <w:spacing w:after="0" w:line="240" w:lineRule="auto"/>
        <w:jc w:val="both"/>
      </w:pPr>
      <w:r w:rsidRPr="007C4A19">
        <w:t xml:space="preserve">Así lo acordó y firma el </w:t>
      </w:r>
      <w:r w:rsidR="00617C85" w:rsidRPr="007C4A19">
        <w:t>Pleno</w:t>
      </w:r>
      <w:r w:rsidRPr="007C4A19">
        <w:t xml:space="preserve"> del Instituto</w:t>
      </w:r>
      <w:r w:rsidR="00877C57" w:rsidRPr="007C4A19">
        <w:t>:</w:t>
      </w:r>
    </w:p>
    <w:p w:rsidR="00874401" w:rsidRDefault="00874401" w:rsidP="003403D7">
      <w:pPr>
        <w:spacing w:after="0" w:line="240" w:lineRule="auto"/>
        <w:jc w:val="both"/>
      </w:pPr>
    </w:p>
    <w:p w:rsidR="004D3044" w:rsidRPr="007C4A19" w:rsidRDefault="004D3044" w:rsidP="003403D7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17C85" w:rsidRPr="007C4A19" w:rsidTr="00AD729F">
        <w:tc>
          <w:tcPr>
            <w:tcW w:w="8828" w:type="dxa"/>
            <w:gridSpan w:val="2"/>
          </w:tcPr>
          <w:p w:rsidR="003403D7" w:rsidRDefault="003403D7" w:rsidP="003403D7">
            <w:pPr>
              <w:jc w:val="center"/>
              <w:rPr>
                <w:rFonts w:cs="Times New Roman"/>
                <w:b/>
              </w:rPr>
            </w:pPr>
          </w:p>
          <w:p w:rsidR="00EC7855" w:rsidRDefault="00EC7855" w:rsidP="003403D7">
            <w:pPr>
              <w:jc w:val="center"/>
              <w:rPr>
                <w:rFonts w:cs="Times New Roman"/>
                <w:b/>
              </w:rPr>
            </w:pPr>
          </w:p>
          <w:p w:rsidR="003C66A2" w:rsidRDefault="003C66A2" w:rsidP="003403D7">
            <w:pPr>
              <w:jc w:val="center"/>
              <w:rPr>
                <w:rFonts w:cs="Times New Roman"/>
                <w:b/>
              </w:rPr>
            </w:pPr>
          </w:p>
          <w:p w:rsidR="00EC7855" w:rsidRDefault="008F672F" w:rsidP="003403D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F11C02" w:rsidRPr="007C4A19" w:rsidRDefault="00F11C02" w:rsidP="003403D7">
            <w:pPr>
              <w:jc w:val="center"/>
              <w:rPr>
                <w:rFonts w:cs="Times New Roman"/>
                <w:b/>
                <w:bCs/>
              </w:rPr>
            </w:pPr>
            <w:r w:rsidRPr="007C4A19">
              <w:rPr>
                <w:rFonts w:cs="Times New Roman"/>
                <w:b/>
                <w:bCs/>
              </w:rPr>
              <w:t>LICDA. SUSANA AGUIL</w:t>
            </w:r>
            <w:bookmarkStart w:id="0" w:name="_GoBack"/>
            <w:bookmarkEnd w:id="0"/>
            <w:r w:rsidRPr="007C4A19">
              <w:rPr>
                <w:rFonts w:cs="Times New Roman"/>
                <w:b/>
                <w:bCs/>
              </w:rPr>
              <w:t>AR COVARRUBIAS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</w:rPr>
              <w:t>C</w:t>
            </w:r>
            <w:r w:rsidR="00F11C02" w:rsidRPr="007C4A19">
              <w:rPr>
                <w:rFonts w:cs="Times New Roman"/>
                <w:b/>
              </w:rPr>
              <w:t>OMISIONADA PRESIDENTA</w:t>
            </w:r>
          </w:p>
        </w:tc>
      </w:tr>
      <w:tr w:rsidR="00617C85" w:rsidRPr="007C4A19" w:rsidTr="00AD729F">
        <w:tc>
          <w:tcPr>
            <w:tcW w:w="4414" w:type="dxa"/>
          </w:tcPr>
          <w:p w:rsidR="00617C85" w:rsidRPr="007C4A19" w:rsidRDefault="00617C85" w:rsidP="003403D7">
            <w:pPr>
              <w:jc w:val="center"/>
              <w:rPr>
                <w:rFonts w:cs="Times New Roman"/>
                <w:b/>
                <w:bCs/>
              </w:rPr>
            </w:pPr>
          </w:p>
          <w:p w:rsidR="004D3044" w:rsidRPr="007C4A19" w:rsidRDefault="004D3044" w:rsidP="003403D7">
            <w:pPr>
              <w:jc w:val="center"/>
              <w:rPr>
                <w:rFonts w:cs="Times New Roman"/>
                <w:b/>
                <w:bCs/>
              </w:rPr>
            </w:pPr>
          </w:p>
          <w:p w:rsidR="00F11C02" w:rsidRDefault="00F11C02" w:rsidP="003403D7">
            <w:pPr>
              <w:rPr>
                <w:rFonts w:cs="Times New Roman"/>
                <w:b/>
                <w:bCs/>
              </w:rPr>
            </w:pPr>
          </w:p>
          <w:p w:rsidR="00EC7855" w:rsidRDefault="00EC7855" w:rsidP="00EC7855">
            <w:pPr>
              <w:jc w:val="center"/>
              <w:rPr>
                <w:rFonts w:cs="Times New Roman"/>
                <w:b/>
              </w:rPr>
            </w:pPr>
          </w:p>
          <w:p w:rsidR="008F672F" w:rsidRDefault="008F672F" w:rsidP="008F672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767A70" w:rsidRPr="007C4A19" w:rsidRDefault="00767A70" w:rsidP="00767A70">
            <w:pPr>
              <w:jc w:val="center"/>
              <w:rPr>
                <w:rFonts w:cs="Times New Roman"/>
                <w:b/>
                <w:bCs/>
              </w:rPr>
            </w:pPr>
            <w:r w:rsidRPr="007C4A19">
              <w:rPr>
                <w:rFonts w:cs="Times New Roman"/>
                <w:b/>
                <w:bCs/>
              </w:rPr>
              <w:t>LICDA. MARÍA EUGENIA SANSORES RUZ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  <w:bCs/>
              </w:rPr>
              <w:t>C</w:t>
            </w:r>
            <w:r w:rsidR="00767A70">
              <w:rPr>
                <w:rFonts w:cs="Times New Roman"/>
                <w:b/>
                <w:bCs/>
              </w:rPr>
              <w:t>OMISIONADA</w:t>
            </w:r>
          </w:p>
        </w:tc>
        <w:tc>
          <w:tcPr>
            <w:tcW w:w="4414" w:type="dxa"/>
          </w:tcPr>
          <w:p w:rsidR="00617C85" w:rsidRPr="007C4A19" w:rsidRDefault="00617C85" w:rsidP="003403D7">
            <w:pPr>
              <w:jc w:val="center"/>
              <w:rPr>
                <w:rFonts w:cs="Times New Roman"/>
                <w:b/>
                <w:bCs/>
              </w:rPr>
            </w:pPr>
          </w:p>
          <w:p w:rsidR="00617C85" w:rsidRPr="007C4A19" w:rsidRDefault="00617C85" w:rsidP="003403D7">
            <w:pPr>
              <w:rPr>
                <w:rFonts w:cs="Times New Roman"/>
                <w:b/>
                <w:bCs/>
              </w:rPr>
            </w:pPr>
          </w:p>
          <w:p w:rsidR="00F11C02" w:rsidRDefault="00F11C02" w:rsidP="003403D7">
            <w:pPr>
              <w:rPr>
                <w:rFonts w:cs="Times New Roman"/>
                <w:b/>
                <w:bCs/>
              </w:rPr>
            </w:pPr>
          </w:p>
          <w:p w:rsidR="00EC7855" w:rsidRDefault="00EC7855" w:rsidP="003403D7">
            <w:pPr>
              <w:jc w:val="center"/>
              <w:rPr>
                <w:rFonts w:cs="Times New Roman"/>
                <w:b/>
              </w:rPr>
            </w:pPr>
          </w:p>
          <w:p w:rsidR="008F672F" w:rsidRDefault="008F672F" w:rsidP="008F672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767A70" w:rsidRDefault="00767A70" w:rsidP="003403D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LIC. ALDRIN MARTÍN BRICEÑO CONRADO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  <w:bCs/>
              </w:rPr>
              <w:t>C</w:t>
            </w:r>
            <w:r w:rsidR="00767A70">
              <w:rPr>
                <w:rFonts w:cs="Times New Roman"/>
                <w:b/>
                <w:bCs/>
              </w:rPr>
              <w:t>OMISIONADO</w:t>
            </w:r>
          </w:p>
        </w:tc>
      </w:tr>
    </w:tbl>
    <w:p w:rsidR="00874401" w:rsidRPr="007C4A19" w:rsidRDefault="00874401" w:rsidP="003403D7">
      <w:pPr>
        <w:spacing w:after="0" w:line="240" w:lineRule="auto"/>
        <w:jc w:val="center"/>
        <w:rPr>
          <w:rFonts w:cs="Arial"/>
          <w:b/>
        </w:rPr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sectPr w:rsidR="0086649F" w:rsidRPr="007C4A19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44" w:rsidRDefault="004D3044" w:rsidP="004D3044">
      <w:pPr>
        <w:spacing w:after="0" w:line="240" w:lineRule="auto"/>
      </w:pPr>
      <w:r>
        <w:separator/>
      </w:r>
    </w:p>
  </w:endnote>
  <w:end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A2" w:rsidRPr="00C90B36" w:rsidRDefault="003C66A2" w:rsidP="003C66A2">
    <w:pPr>
      <w:pStyle w:val="Piedepgina"/>
      <w:jc w:val="center"/>
      <w:rPr>
        <w:rFonts w:ascii="Calibri Light" w:hAnsi="Calibri Light"/>
      </w:rPr>
    </w:pPr>
    <w:r w:rsidRPr="00C90B36">
      <w:rPr>
        <w:rFonts w:ascii="Calibri Light" w:hAnsi="Calibri Light"/>
        <w:lang w:val="es-ES"/>
      </w:rPr>
      <w:t xml:space="preserve">Página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PAGE  \* Arabic  \* MERGEFORMAT</w:instrText>
    </w:r>
    <w:r w:rsidRPr="00C90B36">
      <w:rPr>
        <w:rFonts w:ascii="Calibri Light" w:hAnsi="Calibri Light"/>
      </w:rPr>
      <w:fldChar w:fldCharType="separate"/>
    </w:r>
    <w:r w:rsidR="008F672F" w:rsidRPr="008F672F">
      <w:rPr>
        <w:rFonts w:ascii="Calibri Light" w:hAnsi="Calibri Light"/>
        <w:noProof/>
        <w:lang w:val="es-ES"/>
      </w:rPr>
      <w:t>3</w:t>
    </w:r>
    <w:r w:rsidRPr="00C90B36">
      <w:rPr>
        <w:rFonts w:ascii="Calibri Light" w:hAnsi="Calibri Light"/>
      </w:rPr>
      <w:fldChar w:fldCharType="end"/>
    </w:r>
    <w:r w:rsidRPr="00C90B36">
      <w:rPr>
        <w:rFonts w:ascii="Calibri Light" w:hAnsi="Calibri Light"/>
        <w:lang w:val="es-ES"/>
      </w:rPr>
      <w:t xml:space="preserve"> de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NUMPAGES  \* Arabic  \* MERGEFORMAT</w:instrText>
    </w:r>
    <w:r w:rsidRPr="00C90B36">
      <w:rPr>
        <w:rFonts w:ascii="Calibri Light" w:hAnsi="Calibri Light"/>
      </w:rPr>
      <w:fldChar w:fldCharType="separate"/>
    </w:r>
    <w:r w:rsidR="008F672F" w:rsidRPr="008F672F">
      <w:rPr>
        <w:rFonts w:ascii="Calibri Light" w:hAnsi="Calibri Light"/>
        <w:noProof/>
        <w:lang w:val="es-ES"/>
      </w:rPr>
      <w:t>3</w:t>
    </w:r>
    <w:r w:rsidRPr="00C90B36">
      <w:rPr>
        <w:rFonts w:ascii="Calibri Light" w:hAnsi="Calibri Light"/>
        <w:noProof/>
        <w:lang w:val="es-ES"/>
      </w:rPr>
      <w:fldChar w:fldCharType="end"/>
    </w:r>
  </w:p>
  <w:p w:rsidR="003C66A2" w:rsidRDefault="003C66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44" w:rsidRDefault="004D3044" w:rsidP="004D3044">
      <w:pPr>
        <w:spacing w:after="0" w:line="240" w:lineRule="auto"/>
      </w:pPr>
      <w:r>
        <w:separator/>
      </w:r>
    </w:p>
  </w:footnote>
  <w:foot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44" w:rsidRDefault="004D3044">
    <w:pPr>
      <w:pStyle w:val="Encabezado"/>
    </w:pPr>
    <w:r w:rsidRPr="004D3044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-147919</wp:posOffset>
          </wp:positionH>
          <wp:positionV relativeFrom="paragraph">
            <wp:posOffset>-120770</wp:posOffset>
          </wp:positionV>
          <wp:extent cx="6045096" cy="1017917"/>
          <wp:effectExtent l="0" t="0" r="0" b="0"/>
          <wp:wrapNone/>
          <wp:docPr id="1" name="Imagen 1" descr="\\NASINAIP2\ApoyoPlenario\CAPAA2016\LOGOS\logos 30Junio16\LogoINAI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INAIP2\ApoyoPlenario\CAPAA2016\LOGOS\logos 30Junio16\LogoINAI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096" cy="10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1D07"/>
    <w:multiLevelType w:val="hybridMultilevel"/>
    <w:tmpl w:val="B148C0D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157E"/>
    <w:multiLevelType w:val="hybridMultilevel"/>
    <w:tmpl w:val="486EF40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8D"/>
    <w:rsid w:val="000133FD"/>
    <w:rsid w:val="000251B3"/>
    <w:rsid w:val="000611A1"/>
    <w:rsid w:val="000658CA"/>
    <w:rsid w:val="000C45EB"/>
    <w:rsid w:val="000D14E5"/>
    <w:rsid w:val="000F6237"/>
    <w:rsid w:val="00121B47"/>
    <w:rsid w:val="0014196D"/>
    <w:rsid w:val="001771C3"/>
    <w:rsid w:val="00195959"/>
    <w:rsid w:val="001A1DB4"/>
    <w:rsid w:val="001E51CA"/>
    <w:rsid w:val="00202248"/>
    <w:rsid w:val="00222050"/>
    <w:rsid w:val="00250578"/>
    <w:rsid w:val="0027208D"/>
    <w:rsid w:val="002A2FA0"/>
    <w:rsid w:val="002D7F8D"/>
    <w:rsid w:val="002F7DA4"/>
    <w:rsid w:val="00335EC4"/>
    <w:rsid w:val="003403D7"/>
    <w:rsid w:val="0037755D"/>
    <w:rsid w:val="003B19B6"/>
    <w:rsid w:val="003B4FF1"/>
    <w:rsid w:val="003B639B"/>
    <w:rsid w:val="003C66A2"/>
    <w:rsid w:val="00402A71"/>
    <w:rsid w:val="004430D7"/>
    <w:rsid w:val="00470320"/>
    <w:rsid w:val="00474717"/>
    <w:rsid w:val="00481E06"/>
    <w:rsid w:val="004B1CFD"/>
    <w:rsid w:val="004B7219"/>
    <w:rsid w:val="004D3044"/>
    <w:rsid w:val="004F7B98"/>
    <w:rsid w:val="00534140"/>
    <w:rsid w:val="0060542E"/>
    <w:rsid w:val="0061746A"/>
    <w:rsid w:val="00617C85"/>
    <w:rsid w:val="0068414C"/>
    <w:rsid w:val="006D40AA"/>
    <w:rsid w:val="006E503D"/>
    <w:rsid w:val="006E51D2"/>
    <w:rsid w:val="00700BA3"/>
    <w:rsid w:val="0070462F"/>
    <w:rsid w:val="00704F7B"/>
    <w:rsid w:val="00767A70"/>
    <w:rsid w:val="0078230E"/>
    <w:rsid w:val="007B5104"/>
    <w:rsid w:val="007C4A19"/>
    <w:rsid w:val="007D019D"/>
    <w:rsid w:val="007F55B3"/>
    <w:rsid w:val="00811BD3"/>
    <w:rsid w:val="008138EF"/>
    <w:rsid w:val="00823CE0"/>
    <w:rsid w:val="00830EE7"/>
    <w:rsid w:val="00837E42"/>
    <w:rsid w:val="0085041A"/>
    <w:rsid w:val="00860AAD"/>
    <w:rsid w:val="0086649F"/>
    <w:rsid w:val="00874401"/>
    <w:rsid w:val="00877C57"/>
    <w:rsid w:val="00892C81"/>
    <w:rsid w:val="008C6C7A"/>
    <w:rsid w:val="008E798C"/>
    <w:rsid w:val="008F622B"/>
    <w:rsid w:val="008F672F"/>
    <w:rsid w:val="009206A7"/>
    <w:rsid w:val="009B25B4"/>
    <w:rsid w:val="009C2AAE"/>
    <w:rsid w:val="00A02741"/>
    <w:rsid w:val="00A10859"/>
    <w:rsid w:val="00A40AA6"/>
    <w:rsid w:val="00A5615E"/>
    <w:rsid w:val="00A67F45"/>
    <w:rsid w:val="00B70343"/>
    <w:rsid w:val="00BD4753"/>
    <w:rsid w:val="00BE00E8"/>
    <w:rsid w:val="00C21697"/>
    <w:rsid w:val="00C262D6"/>
    <w:rsid w:val="00C2641A"/>
    <w:rsid w:val="00C32BE9"/>
    <w:rsid w:val="00C51ABD"/>
    <w:rsid w:val="00CA0766"/>
    <w:rsid w:val="00CB216A"/>
    <w:rsid w:val="00CE532C"/>
    <w:rsid w:val="00D02924"/>
    <w:rsid w:val="00D476B4"/>
    <w:rsid w:val="00D85C11"/>
    <w:rsid w:val="00D8791E"/>
    <w:rsid w:val="00D909B8"/>
    <w:rsid w:val="00D93BB7"/>
    <w:rsid w:val="00DB4C34"/>
    <w:rsid w:val="00DC11F1"/>
    <w:rsid w:val="00DC6014"/>
    <w:rsid w:val="00DD1628"/>
    <w:rsid w:val="00E22809"/>
    <w:rsid w:val="00E27DDD"/>
    <w:rsid w:val="00E94408"/>
    <w:rsid w:val="00E97937"/>
    <w:rsid w:val="00EB417C"/>
    <w:rsid w:val="00EC7855"/>
    <w:rsid w:val="00F11C02"/>
    <w:rsid w:val="00F148A8"/>
    <w:rsid w:val="00F2566A"/>
    <w:rsid w:val="00F300F0"/>
    <w:rsid w:val="00F34418"/>
    <w:rsid w:val="00F95C66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DDEF-6179-4FD9-B7D5-783F4FEF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9</cp:revision>
  <cp:lastPrinted>2017-07-04T20:01:00Z</cp:lastPrinted>
  <dcterms:created xsi:type="dcterms:W3CDTF">2017-06-29T21:19:00Z</dcterms:created>
  <dcterms:modified xsi:type="dcterms:W3CDTF">2017-07-04T20:46:00Z</dcterms:modified>
</cp:coreProperties>
</file>