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816" w:rsidRPr="009A240E" w:rsidRDefault="005D2816" w:rsidP="005D2816">
      <w:pPr>
        <w:spacing w:after="0" w:line="240" w:lineRule="auto"/>
        <w:jc w:val="both"/>
        <w:rPr>
          <w:rFonts w:ascii="Calibri Light" w:eastAsia="Arial" w:hAnsi="Calibri Light" w:cs="Arial"/>
          <w:b/>
          <w:sz w:val="24"/>
          <w:szCs w:val="24"/>
        </w:rPr>
      </w:pPr>
      <w:r w:rsidRPr="009A240E">
        <w:rPr>
          <w:rFonts w:ascii="Calibri Light" w:eastAsia="Arial" w:hAnsi="Calibri Light" w:cs="Arial"/>
          <w:b/>
          <w:sz w:val="24"/>
          <w:szCs w:val="24"/>
        </w:rPr>
        <w:t>TABLAS DE APLICABILIDAD DE LAS OBLIGACIONES DE TRANSPARENCIA COMUNES DEL TRIBUNAL DE JUSTICIA ADMINISTRATIVA DEL ESTADO DE YUCATÁN Y DEL HOSPITAL GENERAL DE TEKAX YUCATÁN, EN TÉRMINOS DEL ÚLTIMO PÁRRAFO DEL ARTÍCULO 70 DE LA LEY GENERAL DE TRANSPARENCIA Y ACCESO A LA INFORMACIÓN PÚBLICA</w:t>
      </w:r>
    </w:p>
    <w:p w:rsidR="005D2816" w:rsidRPr="009A240E" w:rsidRDefault="005D2816" w:rsidP="005D2816">
      <w:pPr>
        <w:spacing w:after="0" w:line="240" w:lineRule="auto"/>
        <w:jc w:val="both"/>
        <w:rPr>
          <w:rFonts w:ascii="Calibri Light" w:hAnsi="Calibri Light"/>
          <w:b/>
          <w:sz w:val="24"/>
          <w:szCs w:val="24"/>
        </w:rPr>
      </w:pPr>
    </w:p>
    <w:p w:rsidR="005D2816" w:rsidRPr="009A240E" w:rsidRDefault="005D2816" w:rsidP="005D2816">
      <w:pPr>
        <w:spacing w:after="0" w:line="240" w:lineRule="auto"/>
        <w:jc w:val="center"/>
        <w:rPr>
          <w:rFonts w:ascii="Calibri Light" w:hAnsi="Calibri Light"/>
          <w:b/>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sz w:val="24"/>
          <w:szCs w:val="24"/>
        </w:rPr>
        <w:t>En la ciudad d</w:t>
      </w:r>
      <w:r w:rsidR="00333F9A">
        <w:rPr>
          <w:rFonts w:ascii="Calibri Light" w:eastAsia="Arial" w:hAnsi="Calibri Light" w:cs="Arial"/>
          <w:sz w:val="24"/>
          <w:szCs w:val="24"/>
        </w:rPr>
        <w:t>e Mérida, Yucatán, siendo las 14</w:t>
      </w:r>
      <w:r w:rsidRPr="009A240E">
        <w:rPr>
          <w:rFonts w:ascii="Calibri Light" w:eastAsia="Arial" w:hAnsi="Calibri Light" w:cs="Arial"/>
          <w:sz w:val="24"/>
          <w:szCs w:val="24"/>
        </w:rPr>
        <w:t xml:space="preserve"> ho</w:t>
      </w:r>
      <w:r w:rsidR="00B315A1">
        <w:rPr>
          <w:rFonts w:ascii="Calibri Light" w:eastAsia="Arial" w:hAnsi="Calibri Light" w:cs="Arial"/>
          <w:sz w:val="24"/>
          <w:szCs w:val="24"/>
        </w:rPr>
        <w:t>ras con 30</w:t>
      </w:r>
      <w:r w:rsidR="00E512E5">
        <w:rPr>
          <w:rFonts w:ascii="Calibri Light" w:eastAsia="Arial" w:hAnsi="Calibri Light" w:cs="Arial"/>
          <w:sz w:val="24"/>
          <w:szCs w:val="24"/>
        </w:rPr>
        <w:t xml:space="preserve"> minutos, del día 21</w:t>
      </w:r>
      <w:r w:rsidRPr="009A240E">
        <w:rPr>
          <w:rFonts w:ascii="Calibri Light" w:eastAsia="Arial" w:hAnsi="Calibri Light" w:cs="Arial"/>
          <w:sz w:val="24"/>
          <w:szCs w:val="24"/>
        </w:rPr>
        <w:t xml:space="preserve"> de </w:t>
      </w:r>
      <w:r w:rsidR="00E512E5">
        <w:rPr>
          <w:rFonts w:ascii="Calibri Light" w:eastAsia="Arial" w:hAnsi="Calibri Light" w:cs="Arial"/>
          <w:sz w:val="24"/>
          <w:szCs w:val="24"/>
        </w:rPr>
        <w:t xml:space="preserve">noviembre </w:t>
      </w:r>
      <w:r w:rsidRPr="009A240E">
        <w:rPr>
          <w:rFonts w:ascii="Calibri Light" w:eastAsia="Arial" w:hAnsi="Calibri Light" w:cs="Arial"/>
          <w:sz w:val="24"/>
          <w:szCs w:val="24"/>
        </w:rPr>
        <w:t>del año 2017,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 emiten el presente acuerdo de conformidad con los siguientes:</w:t>
      </w:r>
    </w:p>
    <w:p w:rsidR="005D2816" w:rsidRPr="009A240E" w:rsidRDefault="005D2816" w:rsidP="005D2816">
      <w:pPr>
        <w:spacing w:after="0" w:line="240" w:lineRule="auto"/>
        <w:jc w:val="center"/>
        <w:rPr>
          <w:rFonts w:ascii="Calibri Light" w:hAnsi="Calibri Light"/>
          <w:b/>
          <w:sz w:val="24"/>
          <w:szCs w:val="24"/>
        </w:rPr>
      </w:pPr>
    </w:p>
    <w:p w:rsidR="005D2816" w:rsidRPr="009A240E" w:rsidRDefault="005D2816" w:rsidP="005D2816">
      <w:pPr>
        <w:spacing w:after="0" w:line="240" w:lineRule="auto"/>
        <w:jc w:val="center"/>
        <w:rPr>
          <w:rFonts w:ascii="Calibri Light" w:hAnsi="Calibri Light"/>
          <w:b/>
          <w:sz w:val="24"/>
          <w:szCs w:val="24"/>
        </w:rPr>
      </w:pPr>
      <w:r w:rsidRPr="009A240E">
        <w:rPr>
          <w:rFonts w:ascii="Calibri Light" w:hAnsi="Calibri Light"/>
          <w:b/>
          <w:sz w:val="24"/>
          <w:szCs w:val="24"/>
        </w:rPr>
        <w:t>ANTECEDENTES</w:t>
      </w:r>
    </w:p>
    <w:p w:rsidR="005D2816" w:rsidRPr="009A240E" w:rsidRDefault="005D2816" w:rsidP="005D2816">
      <w:pPr>
        <w:spacing w:after="0" w:line="240" w:lineRule="auto"/>
        <w:jc w:val="center"/>
        <w:rPr>
          <w:rFonts w:ascii="Calibri Light" w:hAnsi="Calibri Light"/>
          <w:b/>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hAnsi="Calibri Light"/>
          <w:b/>
          <w:sz w:val="24"/>
          <w:szCs w:val="24"/>
        </w:rPr>
        <w:t>PRIMERO.-</w:t>
      </w:r>
      <w:r w:rsidRPr="009A240E">
        <w:rPr>
          <w:rFonts w:ascii="Calibri Light" w:hAnsi="Calibri Light"/>
          <w:sz w:val="24"/>
          <w:szCs w:val="24"/>
        </w:rPr>
        <w:t xml:space="preserve"> </w:t>
      </w:r>
      <w:r w:rsidRPr="009A240E">
        <w:rPr>
          <w:rFonts w:ascii="Calibri Light" w:eastAsia="Arial" w:hAnsi="Calibri Light" w:cs="Arial"/>
          <w:sz w:val="24"/>
          <w:szCs w:val="24"/>
        </w:rPr>
        <w:t xml:space="preserve">El </w:t>
      </w:r>
      <w:r w:rsidR="00B569E7" w:rsidRPr="009A240E">
        <w:rPr>
          <w:rFonts w:ascii="Calibri Light" w:eastAsia="Arial" w:hAnsi="Calibri Light" w:cs="Arial"/>
          <w:sz w:val="24"/>
          <w:szCs w:val="24"/>
        </w:rPr>
        <w:t xml:space="preserve">día </w:t>
      </w:r>
      <w:r w:rsidRPr="009A240E">
        <w:rPr>
          <w:rFonts w:ascii="Calibri Light" w:eastAsia="Arial" w:hAnsi="Calibri Light" w:cs="Arial"/>
          <w:sz w:val="24"/>
          <w:szCs w:val="24"/>
        </w:rPr>
        <w:t>21 de julio de 2017, el Pleno del Instituto Estatal de Transparencia, Acceso a la Información Pública y Protección de Datos Personales, aprobó la</w:t>
      </w:r>
      <w:r w:rsidR="00E33870">
        <w:rPr>
          <w:rFonts w:ascii="Calibri Light" w:eastAsia="Arial" w:hAnsi="Calibri Light" w:cs="Arial"/>
          <w:sz w:val="24"/>
          <w:szCs w:val="24"/>
        </w:rPr>
        <w:t>s</w:t>
      </w:r>
      <w:r w:rsidRPr="009A240E">
        <w:rPr>
          <w:rFonts w:ascii="Calibri Light" w:eastAsia="Arial" w:hAnsi="Calibri Light" w:cs="Arial"/>
          <w:sz w:val="24"/>
          <w:szCs w:val="24"/>
        </w:rPr>
        <w:t xml:space="preserve"> tabla</w:t>
      </w:r>
      <w:r w:rsidR="00E33870">
        <w:rPr>
          <w:rFonts w:ascii="Calibri Light" w:eastAsia="Arial" w:hAnsi="Calibri Light" w:cs="Arial"/>
          <w:sz w:val="24"/>
          <w:szCs w:val="24"/>
        </w:rPr>
        <w:t>s</w:t>
      </w:r>
      <w:r w:rsidRPr="009A240E">
        <w:rPr>
          <w:rFonts w:ascii="Calibri Light" w:eastAsia="Arial" w:hAnsi="Calibri Light" w:cs="Arial"/>
          <w:sz w:val="24"/>
          <w:szCs w:val="24"/>
        </w:rPr>
        <w:t xml:space="preserve"> de aplicabilidad de las obligaciones de transparencia comunes de los sujetos obligados del Poder </w:t>
      </w:r>
      <w:r w:rsidR="00B569E7" w:rsidRPr="009A240E">
        <w:rPr>
          <w:rFonts w:ascii="Calibri Light" w:eastAsia="Arial" w:hAnsi="Calibri Light" w:cs="Arial"/>
          <w:sz w:val="24"/>
          <w:szCs w:val="24"/>
        </w:rPr>
        <w:t>Judicial de Yucatán, entre los cuales se encontraba el Tribunal de Justicia Fiscal y Administrativa.</w:t>
      </w:r>
    </w:p>
    <w:p w:rsidR="00B569E7" w:rsidRPr="009A240E" w:rsidRDefault="00B569E7" w:rsidP="005D2816">
      <w:pPr>
        <w:spacing w:after="0" w:line="240" w:lineRule="auto"/>
        <w:jc w:val="both"/>
        <w:rPr>
          <w:rFonts w:ascii="Calibri Light" w:eastAsia="Arial" w:hAnsi="Calibri Light" w:cs="Arial"/>
          <w:sz w:val="24"/>
          <w:szCs w:val="24"/>
        </w:rPr>
      </w:pPr>
    </w:p>
    <w:p w:rsidR="00B569E7" w:rsidRPr="009A240E" w:rsidRDefault="00B569E7"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t xml:space="preserve">SEGUNDO.- </w:t>
      </w:r>
      <w:r w:rsidRPr="009A240E">
        <w:rPr>
          <w:rFonts w:ascii="Calibri Light" w:eastAsia="Arial" w:hAnsi="Calibri Light" w:cs="Arial"/>
          <w:sz w:val="24"/>
          <w:szCs w:val="24"/>
        </w:rPr>
        <w:t xml:space="preserve">En fecha 18 de septiembre de 2017, el Pleno aprobó el acuerdo mediante el cual se modifica el padrón de sujetos obligados del estado de Yucatán, retirando de dicho padrón al </w:t>
      </w:r>
      <w:r w:rsidR="00E206F0" w:rsidRPr="009A240E">
        <w:rPr>
          <w:rFonts w:ascii="Calibri Light" w:eastAsia="Arial" w:hAnsi="Calibri Light" w:cs="Arial"/>
          <w:sz w:val="24"/>
          <w:szCs w:val="24"/>
        </w:rPr>
        <w:t xml:space="preserve">extinto </w:t>
      </w:r>
      <w:r w:rsidRPr="009A240E">
        <w:rPr>
          <w:rFonts w:ascii="Calibri Light" w:eastAsia="Arial" w:hAnsi="Calibri Light" w:cs="Arial"/>
          <w:sz w:val="24"/>
          <w:szCs w:val="24"/>
        </w:rPr>
        <w:t>Tribunal de Justicia Fiscal y Administrativa del Poder Judicial e incorporando al Tribunal de Justicia Administrativa del Estado de Yucatán como un organismo constitucional aut</w:t>
      </w:r>
      <w:r w:rsidR="00E206F0" w:rsidRPr="009A240E">
        <w:rPr>
          <w:rFonts w:ascii="Calibri Light" w:eastAsia="Arial" w:hAnsi="Calibri Light" w:cs="Arial"/>
          <w:sz w:val="24"/>
          <w:szCs w:val="24"/>
        </w:rPr>
        <w:t>ónomo.</w:t>
      </w:r>
    </w:p>
    <w:p w:rsidR="00E206F0" w:rsidRPr="009A240E" w:rsidRDefault="00E206F0" w:rsidP="005D2816">
      <w:pPr>
        <w:spacing w:after="0" w:line="240" w:lineRule="auto"/>
        <w:jc w:val="both"/>
        <w:rPr>
          <w:rFonts w:ascii="Calibri Light" w:eastAsia="Arial" w:hAnsi="Calibri Light" w:cs="Arial"/>
          <w:sz w:val="24"/>
          <w:szCs w:val="24"/>
        </w:rPr>
      </w:pPr>
    </w:p>
    <w:p w:rsidR="00E206F0" w:rsidRPr="009A240E" w:rsidRDefault="00E206F0"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t xml:space="preserve">TERCERO.- </w:t>
      </w:r>
      <w:r w:rsidRPr="009A240E">
        <w:rPr>
          <w:rFonts w:ascii="Calibri Light" w:eastAsia="Arial" w:hAnsi="Calibri Light" w:cs="Arial"/>
          <w:sz w:val="24"/>
          <w:szCs w:val="24"/>
        </w:rPr>
        <w:t>En el mismo acuerdo de modificación del padrón de sujetos obligados,</w:t>
      </w:r>
      <w:r w:rsidR="00712D4A">
        <w:rPr>
          <w:rFonts w:ascii="Calibri Light" w:eastAsia="Arial" w:hAnsi="Calibri Light" w:cs="Arial"/>
          <w:sz w:val="24"/>
          <w:szCs w:val="24"/>
        </w:rPr>
        <w:t xml:space="preserve"> referido en el antecedente inmediato anterior,</w:t>
      </w:r>
      <w:r w:rsidRPr="009A240E">
        <w:rPr>
          <w:rFonts w:ascii="Calibri Light" w:eastAsia="Arial" w:hAnsi="Calibri Light" w:cs="Arial"/>
          <w:sz w:val="24"/>
          <w:szCs w:val="24"/>
        </w:rPr>
        <w:t xml:space="preserve"> se aprobó incorporar al organismo público descentralizado </w:t>
      </w:r>
      <w:r w:rsidR="00712D4A">
        <w:rPr>
          <w:rFonts w:ascii="Calibri Light" w:eastAsia="Arial" w:hAnsi="Calibri Light" w:cs="Arial"/>
          <w:sz w:val="24"/>
          <w:szCs w:val="24"/>
        </w:rPr>
        <w:t xml:space="preserve">denominado </w:t>
      </w:r>
      <w:r w:rsidRPr="009A240E">
        <w:rPr>
          <w:rFonts w:ascii="Calibri Light" w:eastAsia="Arial" w:hAnsi="Calibri Light" w:cs="Arial"/>
          <w:sz w:val="24"/>
          <w:szCs w:val="24"/>
        </w:rPr>
        <w:t>Hospital General de Tekax, Yucatán, como un sujeto obligado del Poder Ejecutivo.</w:t>
      </w:r>
    </w:p>
    <w:p w:rsidR="005D2816" w:rsidRPr="009A240E" w:rsidRDefault="005D2816" w:rsidP="005D2816">
      <w:pPr>
        <w:spacing w:after="0" w:line="240" w:lineRule="auto"/>
        <w:jc w:val="both"/>
        <w:rPr>
          <w:rFonts w:ascii="Calibri Light" w:eastAsia="Arial" w:hAnsi="Calibri Light" w:cs="Arial"/>
          <w:sz w:val="24"/>
          <w:szCs w:val="24"/>
        </w:rPr>
      </w:pPr>
    </w:p>
    <w:p w:rsidR="005D2816" w:rsidRPr="009A240E" w:rsidRDefault="005D2816" w:rsidP="005D2816">
      <w:pPr>
        <w:spacing w:after="0" w:line="240" w:lineRule="auto"/>
        <w:jc w:val="center"/>
        <w:rPr>
          <w:rFonts w:ascii="Calibri Light" w:hAnsi="Calibri Light"/>
          <w:b/>
          <w:sz w:val="24"/>
          <w:szCs w:val="24"/>
        </w:rPr>
      </w:pPr>
      <w:r w:rsidRPr="009A240E">
        <w:rPr>
          <w:rFonts w:ascii="Calibri Light" w:hAnsi="Calibri Light"/>
          <w:b/>
          <w:sz w:val="24"/>
          <w:szCs w:val="24"/>
        </w:rPr>
        <w:t>CONSIDERANDOS</w:t>
      </w:r>
    </w:p>
    <w:p w:rsidR="005D2816" w:rsidRPr="009A240E" w:rsidRDefault="005D2816" w:rsidP="005D2816">
      <w:pPr>
        <w:spacing w:after="0" w:line="240" w:lineRule="auto"/>
        <w:jc w:val="both"/>
        <w:rPr>
          <w:rFonts w:ascii="Calibri Light" w:eastAsia="Arial" w:hAnsi="Calibri Light" w:cs="Arial"/>
          <w:b/>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t xml:space="preserve">PRIMERO.- </w:t>
      </w:r>
      <w:r w:rsidRPr="009A240E">
        <w:rPr>
          <w:rFonts w:ascii="Calibri Light" w:eastAsia="Arial" w:hAnsi="Calibri Light" w:cs="Arial"/>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w:t>
      </w:r>
      <w:r w:rsidRPr="009A240E">
        <w:rPr>
          <w:rFonts w:ascii="Calibri Light" w:eastAsia="Arial" w:hAnsi="Calibri Light" w:cs="Arial"/>
          <w:sz w:val="24"/>
          <w:szCs w:val="24"/>
        </w:rPr>
        <w:lastRenderedPageBreak/>
        <w:t>dispuesto en la Constitución Política del Estado de Yucatán, la Ley general, la Ley estatal de la materia y demás disposiciones normativas aplicables.</w:t>
      </w:r>
    </w:p>
    <w:p w:rsidR="005D2816" w:rsidRPr="009A240E" w:rsidRDefault="005D2816" w:rsidP="005D2816">
      <w:pPr>
        <w:spacing w:after="0" w:line="240" w:lineRule="auto"/>
        <w:jc w:val="both"/>
        <w:rPr>
          <w:rFonts w:ascii="Calibri Light" w:eastAsia="Arial" w:hAnsi="Calibri Light" w:cs="Arial"/>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t>SEGUNDO.</w:t>
      </w:r>
      <w:r w:rsidRPr="009A240E">
        <w:rPr>
          <w:rFonts w:ascii="Calibri Light" w:eastAsia="Arial" w:hAnsi="Calibri Light" w:cs="Arial"/>
          <w:sz w:val="24"/>
          <w:szCs w:val="24"/>
        </w:rPr>
        <w:t>- De conformidad con lo señalado en el numeral noveno de los Lineamientos Técnicos Generales, en su fracción III, los sujetos obligados publicarán las tablas de aplicabilidad de las obligaciones de transparencia comunes y específicas, las cuales deberán ser verificadas y aprobadas por el órgano garante.</w:t>
      </w:r>
    </w:p>
    <w:p w:rsidR="005D2816" w:rsidRPr="009A240E" w:rsidRDefault="005D2816" w:rsidP="005D2816">
      <w:pPr>
        <w:spacing w:after="0" w:line="240" w:lineRule="auto"/>
        <w:jc w:val="both"/>
        <w:rPr>
          <w:rFonts w:ascii="Calibri Light" w:eastAsia="Arial" w:hAnsi="Calibri Light" w:cs="Arial"/>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t xml:space="preserve">TERCERO.- </w:t>
      </w:r>
      <w:r w:rsidRPr="009A240E">
        <w:rPr>
          <w:rFonts w:ascii="Calibri Light" w:eastAsia="Arial" w:hAnsi="Calibri Light" w:cs="Arial"/>
          <w:sz w:val="24"/>
          <w:szCs w:val="24"/>
        </w:rPr>
        <w:t>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5D2816" w:rsidRPr="009A240E" w:rsidRDefault="005D2816" w:rsidP="005D2816">
      <w:pPr>
        <w:spacing w:after="0" w:line="240" w:lineRule="auto"/>
        <w:jc w:val="both"/>
        <w:rPr>
          <w:rFonts w:ascii="Calibri Light" w:eastAsia="Arial" w:hAnsi="Calibri Light" w:cs="Arial"/>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t>CUARTO.-</w:t>
      </w:r>
      <w:r w:rsidRPr="009A240E">
        <w:rPr>
          <w:rFonts w:ascii="Calibri Light" w:eastAsia="Arial" w:hAnsi="Calibri Light" w:cs="Arial"/>
          <w:sz w:val="24"/>
          <w:szCs w:val="24"/>
        </w:rPr>
        <w:t xml:space="preserve"> </w:t>
      </w:r>
      <w:r w:rsidR="00E512E5">
        <w:rPr>
          <w:rFonts w:ascii="Calibri Light" w:eastAsia="Arial" w:hAnsi="Calibri Light" w:cs="Arial"/>
          <w:sz w:val="24"/>
          <w:szCs w:val="24"/>
        </w:rPr>
        <w:t>P</w:t>
      </w:r>
      <w:r w:rsidR="009D4C9E" w:rsidRPr="009A240E">
        <w:rPr>
          <w:rFonts w:ascii="Calibri Light" w:eastAsia="Arial" w:hAnsi="Calibri Light" w:cs="Arial"/>
          <w:sz w:val="24"/>
          <w:szCs w:val="24"/>
        </w:rPr>
        <w:t xml:space="preserve">ara poder determinar la aplicabilidad de las obligaciones de transparencia comunes del Tribunal de Justicia Administrativa </w:t>
      </w:r>
      <w:r w:rsidR="00F974E3" w:rsidRPr="009A240E">
        <w:rPr>
          <w:rFonts w:ascii="Calibri Light" w:eastAsia="Arial" w:hAnsi="Calibri Light" w:cs="Arial"/>
          <w:sz w:val="24"/>
          <w:szCs w:val="24"/>
        </w:rPr>
        <w:t xml:space="preserve">del Estado de Yucatán </w:t>
      </w:r>
      <w:r w:rsidR="00DC3F4B">
        <w:rPr>
          <w:rFonts w:ascii="Calibri Light" w:eastAsia="Arial" w:hAnsi="Calibri Light" w:cs="Arial"/>
          <w:sz w:val="24"/>
          <w:szCs w:val="24"/>
        </w:rPr>
        <w:t xml:space="preserve">como un </w:t>
      </w:r>
      <w:r w:rsidR="00DC3F4B" w:rsidRPr="009A240E">
        <w:rPr>
          <w:rFonts w:ascii="Calibri Light" w:eastAsia="Arial" w:hAnsi="Calibri Light" w:cs="Arial"/>
          <w:sz w:val="24"/>
          <w:szCs w:val="24"/>
        </w:rPr>
        <w:t>organismo constitucional aut</w:t>
      </w:r>
      <w:r w:rsidR="00DC3F4B">
        <w:rPr>
          <w:rFonts w:ascii="Calibri Light" w:eastAsia="Arial" w:hAnsi="Calibri Light" w:cs="Arial"/>
          <w:sz w:val="24"/>
          <w:szCs w:val="24"/>
        </w:rPr>
        <w:t xml:space="preserve">ónomo </w:t>
      </w:r>
      <w:r w:rsidR="00F974E3" w:rsidRPr="009A240E">
        <w:rPr>
          <w:rFonts w:ascii="Calibri Light" w:eastAsia="Arial" w:hAnsi="Calibri Light" w:cs="Arial"/>
          <w:sz w:val="24"/>
          <w:szCs w:val="24"/>
        </w:rPr>
        <w:t>y del Hospital General de Tekax, Yucatán,</w:t>
      </w:r>
      <w:r w:rsidR="00DC3F4B">
        <w:rPr>
          <w:rFonts w:ascii="Calibri Light" w:eastAsia="Arial" w:hAnsi="Calibri Light" w:cs="Arial"/>
          <w:sz w:val="24"/>
          <w:szCs w:val="24"/>
        </w:rPr>
        <w:t xml:space="preserve"> como organismo </w:t>
      </w:r>
      <w:r w:rsidR="006156CC">
        <w:rPr>
          <w:rFonts w:ascii="Calibri Light" w:eastAsia="Arial" w:hAnsi="Calibri Light" w:cs="Arial"/>
          <w:sz w:val="24"/>
          <w:szCs w:val="24"/>
        </w:rPr>
        <w:t xml:space="preserve">público </w:t>
      </w:r>
      <w:r w:rsidR="00DC3F4B">
        <w:rPr>
          <w:rFonts w:ascii="Calibri Light" w:eastAsia="Arial" w:hAnsi="Calibri Light" w:cs="Arial"/>
          <w:sz w:val="24"/>
          <w:szCs w:val="24"/>
        </w:rPr>
        <w:t>descentralizado</w:t>
      </w:r>
      <w:r w:rsidR="006156CC">
        <w:rPr>
          <w:rFonts w:ascii="Calibri Light" w:eastAsia="Arial" w:hAnsi="Calibri Light" w:cs="Arial"/>
          <w:sz w:val="24"/>
          <w:szCs w:val="24"/>
        </w:rPr>
        <w:t xml:space="preserve"> de la administración pública estatal, </w:t>
      </w:r>
      <w:r w:rsidR="009D4C9E" w:rsidRPr="009A240E">
        <w:rPr>
          <w:rFonts w:ascii="Calibri Light" w:eastAsia="Arial" w:hAnsi="Calibri Light" w:cs="Arial"/>
          <w:sz w:val="24"/>
          <w:szCs w:val="24"/>
        </w:rPr>
        <w:t>se consideró la naturaleza jurídica de estos sujetos obligados, así como de sus funciones, atribuciones y competencias establecidas en sus leyes</w:t>
      </w:r>
      <w:r w:rsidR="006156CC">
        <w:rPr>
          <w:rFonts w:ascii="Calibri Light" w:eastAsia="Arial" w:hAnsi="Calibri Light" w:cs="Arial"/>
          <w:sz w:val="24"/>
          <w:szCs w:val="24"/>
        </w:rPr>
        <w:t>, decretos</w:t>
      </w:r>
      <w:r w:rsidR="009D4C9E" w:rsidRPr="009A240E">
        <w:rPr>
          <w:rFonts w:ascii="Calibri Light" w:eastAsia="Arial" w:hAnsi="Calibri Light" w:cs="Arial"/>
          <w:sz w:val="24"/>
          <w:szCs w:val="24"/>
        </w:rPr>
        <w:t xml:space="preserve"> y reglamentos; por lo que con base </w:t>
      </w:r>
      <w:r w:rsidR="009A240E" w:rsidRPr="009A240E">
        <w:rPr>
          <w:rFonts w:ascii="Calibri Light" w:eastAsia="Arial" w:hAnsi="Calibri Light" w:cs="Arial"/>
          <w:sz w:val="24"/>
          <w:szCs w:val="24"/>
        </w:rPr>
        <w:t>en lo anterior, se determinó qué</w:t>
      </w:r>
      <w:r w:rsidR="009D4C9E" w:rsidRPr="009A240E">
        <w:rPr>
          <w:rFonts w:ascii="Calibri Light" w:eastAsia="Arial" w:hAnsi="Calibri Light" w:cs="Arial"/>
          <w:sz w:val="24"/>
          <w:szCs w:val="24"/>
        </w:rPr>
        <w:t xml:space="preserve"> obligaciones de transparencia comunes les iban a aplicar y cuáles no, de conformidad con lo siguiente:</w:t>
      </w:r>
    </w:p>
    <w:p w:rsidR="005D2816" w:rsidRPr="009A240E" w:rsidRDefault="005D2816" w:rsidP="005D2816">
      <w:pPr>
        <w:spacing w:after="0" w:line="240" w:lineRule="auto"/>
        <w:jc w:val="both"/>
        <w:rPr>
          <w:rFonts w:ascii="Calibri Light" w:eastAsia="Arial" w:hAnsi="Calibri Light" w:cs="Arial"/>
          <w:b/>
          <w:sz w:val="24"/>
          <w:szCs w:val="24"/>
        </w:rPr>
      </w:pPr>
    </w:p>
    <w:p w:rsidR="009A240E" w:rsidRPr="009A240E" w:rsidRDefault="009A240E" w:rsidP="009A240E">
      <w:pPr>
        <w:shd w:val="clear" w:color="auto" w:fill="FFFFFF" w:themeFill="background1"/>
        <w:rPr>
          <w:rFonts w:ascii="Calibri Light" w:hAnsi="Calibri Light" w:cs="Calibri Light"/>
          <w:b/>
          <w:color w:val="000000"/>
          <w:sz w:val="24"/>
          <w:szCs w:val="24"/>
          <w:shd w:val="clear" w:color="auto" w:fill="FFFFFF"/>
        </w:rPr>
      </w:pPr>
      <w:r>
        <w:rPr>
          <w:rFonts w:ascii="Calibri Light" w:hAnsi="Calibri Light" w:cs="Calibri Light"/>
          <w:b/>
          <w:color w:val="000000"/>
          <w:sz w:val="24"/>
          <w:szCs w:val="24"/>
          <w:shd w:val="clear" w:color="auto" w:fill="FFFFFF"/>
        </w:rPr>
        <w:t xml:space="preserve">31-05-05-001 </w:t>
      </w:r>
      <w:r w:rsidRPr="009A240E">
        <w:rPr>
          <w:rFonts w:ascii="Calibri Light" w:hAnsi="Calibri Light" w:cs="Calibri Light"/>
          <w:b/>
          <w:color w:val="000000"/>
          <w:sz w:val="24"/>
          <w:szCs w:val="24"/>
          <w:shd w:val="clear" w:color="auto" w:fill="FFFFFF"/>
        </w:rPr>
        <w:t>Tribunal de Justicia Administrativa del Estado de Yucatán.</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9A240E" w:rsidRPr="00C62C22" w:rsidTr="00DC3F4B">
        <w:trPr>
          <w:trHeight w:val="501"/>
          <w:tblHeader/>
          <w:jc w:val="center"/>
        </w:trPr>
        <w:tc>
          <w:tcPr>
            <w:tcW w:w="4916" w:type="dxa"/>
            <w:gridSpan w:val="2"/>
            <w:shd w:val="clear" w:color="auto" w:fill="D5DCE4" w:themeFill="text2" w:themeFillTint="33"/>
            <w:vAlign w:val="center"/>
            <w:hideMark/>
          </w:tcPr>
          <w:p w:rsidR="009A240E" w:rsidRPr="00C62C22" w:rsidRDefault="009A240E" w:rsidP="00DC3F4B">
            <w:pPr>
              <w:spacing w:after="0" w:line="240" w:lineRule="auto"/>
              <w:jc w:val="center"/>
              <w:rPr>
                <w:rFonts w:ascii="Calibri Light" w:eastAsia="Times New Roman" w:hAnsi="Calibri Light" w:cs="Calibri Light"/>
                <w:b/>
                <w:bCs/>
                <w:sz w:val="23"/>
                <w:szCs w:val="23"/>
              </w:rPr>
            </w:pPr>
            <w:r w:rsidRPr="00C62C22">
              <w:rPr>
                <w:rFonts w:ascii="Calibri Light" w:eastAsia="Times New Roman" w:hAnsi="Calibri Light" w:cs="Calibri Light"/>
                <w:b/>
                <w:bCs/>
                <w:sz w:val="23"/>
                <w:szCs w:val="23"/>
              </w:rPr>
              <w:t>FRACCIÓN</w:t>
            </w:r>
          </w:p>
        </w:tc>
        <w:tc>
          <w:tcPr>
            <w:tcW w:w="4397" w:type="dxa"/>
            <w:shd w:val="clear" w:color="auto" w:fill="D5DCE4" w:themeFill="text2" w:themeFillTint="33"/>
            <w:vAlign w:val="center"/>
            <w:hideMark/>
          </w:tcPr>
          <w:p w:rsidR="009A240E" w:rsidRPr="00C62C22" w:rsidRDefault="009A240E" w:rsidP="00DC3F4B">
            <w:pPr>
              <w:spacing w:after="0" w:line="240" w:lineRule="auto"/>
              <w:jc w:val="center"/>
              <w:rPr>
                <w:rFonts w:ascii="Calibri Light" w:eastAsia="Times New Roman" w:hAnsi="Calibri Light" w:cs="Calibri Light"/>
                <w:b/>
                <w:bCs/>
                <w:sz w:val="23"/>
                <w:szCs w:val="23"/>
              </w:rPr>
            </w:pPr>
            <w:r w:rsidRPr="00C62C22">
              <w:rPr>
                <w:rFonts w:ascii="Calibri Light" w:eastAsia="Times New Roman" w:hAnsi="Calibri Light" w:cs="Calibri Light"/>
                <w:b/>
                <w:bCs/>
                <w:sz w:val="23"/>
                <w:szCs w:val="23"/>
              </w:rPr>
              <w:t>APLICABLE / NO APLICABLE</w:t>
            </w:r>
          </w:p>
        </w:tc>
      </w:tr>
      <w:tr w:rsidR="009A240E" w:rsidRPr="00C62C22" w:rsidTr="00DC3F4B">
        <w:trPr>
          <w:trHeight w:val="1967"/>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Times New Roman"/>
                <w:color w:val="000000"/>
                <w:sz w:val="23"/>
                <w:szCs w:val="23"/>
              </w:rPr>
              <w:t>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w:t>
            </w:r>
          </w:p>
        </w:tc>
      </w:tr>
      <w:tr w:rsidR="009A240E" w:rsidRPr="00C62C22" w:rsidTr="00DC3F4B">
        <w:trPr>
          <w:trHeight w:val="1967"/>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FFFFFF" w:themeFill="background1"/>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 xml:space="preserve">Le es aplicable, toda vez que de conformidad con lo señalado en el artículo 17 de la Ley Orgánica del Tribunal de Justicia Administrativa del Estado de Yucatán, en el reglamento interior del tribunal </w:t>
            </w:r>
            <w:r w:rsidRPr="00C62C22">
              <w:rPr>
                <w:rFonts w:ascii="Calibri Light" w:eastAsia="Times New Roman" w:hAnsi="Calibri Light" w:cs="Calibri Light"/>
                <w:sz w:val="23"/>
                <w:szCs w:val="23"/>
                <w:lang w:eastAsia="es-MX"/>
              </w:rPr>
              <w:t>se establecerán las bases de su organización, así como las facultades y funciones que correspondan a las distintas áreas que lo integran.</w:t>
            </w:r>
          </w:p>
        </w:tc>
      </w:tr>
      <w:tr w:rsidR="009A240E" w:rsidRPr="00C62C22" w:rsidTr="00DC3F4B">
        <w:trPr>
          <w:trHeight w:val="1234"/>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facultades de cada Área;</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Le es aplicable, ya que en la Ley Orgánica del Tribunal de Justicia Administrativa del Estado de Yucatán, así como en el reglamento interior del Tribunal, se encontrarán reguladas las bases de su organización, así como las facultades, atribuciones y funciones de las áreas que lo integran.</w:t>
            </w:r>
          </w:p>
        </w:tc>
      </w:tr>
      <w:tr w:rsidR="009A240E" w:rsidRPr="00C62C22" w:rsidTr="00DC3F4B">
        <w:trPr>
          <w:trHeight w:val="1479"/>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IV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metas y objetivos de las Áreas de conformidad con sus programas operativos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 xml:space="preserve">Le es aplicable, toda vez que el artículo 36 fracción VIII de la Ley Orgánica del Tribunal de Justicia Administrativa del Estado de Yucatán, dispone que es atribución del Director de Administración del Tribunal, elaborar los programas operativos anuales; aunado a lo anterior, el </w:t>
            </w:r>
            <w:r w:rsidRPr="00C62C22">
              <w:rPr>
                <w:rFonts w:ascii="Calibri Light" w:eastAsia="Times New Roman" w:hAnsi="Calibri Light" w:cs="Calibri Light"/>
                <w:color w:val="000000" w:themeColor="text1"/>
                <w:sz w:val="23"/>
                <w:szCs w:val="23"/>
                <w:lang w:eastAsia="es-MX"/>
              </w:rPr>
              <w:t>artículo 33 y la fracción III del artículo 34 de la Ley del Presupuesto y Contabilidad Gubernamental del Estado de Yucatán, disponen que todos los anteproyectos de presupuesto de los Organismos Autónomos, contendrán el Programa Operativo Anual, donde se señalará las metas e indicadores de desempeño necesarios para medir el cumplimiento de los programas.</w:t>
            </w:r>
          </w:p>
        </w:tc>
      </w:tr>
      <w:tr w:rsidR="009A240E" w:rsidRPr="00C62C22" w:rsidTr="00DC3F4B">
        <w:trPr>
          <w:trHeight w:val="745"/>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indicadores relacionados con temas de interés público o trascendencia social que conforme a sus funciones, deban establecer;</w:t>
            </w:r>
          </w:p>
        </w:tc>
        <w:tc>
          <w:tcPr>
            <w:tcW w:w="4397" w:type="dxa"/>
            <w:shd w:val="clear" w:color="auto" w:fill="FFFFFF" w:themeFill="background1"/>
            <w:vAlign w:val="center"/>
            <w:hideMark/>
          </w:tcPr>
          <w:p w:rsidR="009A240E" w:rsidRPr="00C62C22" w:rsidRDefault="009A240E" w:rsidP="00DC3F4B">
            <w:pPr>
              <w:spacing w:after="0" w:line="240" w:lineRule="auto"/>
              <w:jc w:val="both"/>
              <w:rPr>
                <w:rFonts w:ascii="Calibri Light" w:eastAsia="Times New Roman" w:hAnsi="Calibri Light" w:cs="Calibri Light"/>
                <w:b/>
                <w:bCs/>
                <w:sz w:val="23"/>
                <w:szCs w:val="23"/>
                <w:highlight w:val="yellow"/>
              </w:rPr>
            </w:pPr>
            <w:r w:rsidRPr="00C62C22">
              <w:rPr>
                <w:rFonts w:ascii="Calibri Light" w:eastAsia="Times New Roman" w:hAnsi="Calibri Light" w:cs="Times New Roman"/>
                <w:sz w:val="23"/>
                <w:szCs w:val="23"/>
                <w:lang w:eastAsia="es-MX"/>
              </w:rPr>
              <w:t xml:space="preserve">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w:t>
            </w:r>
            <w:r w:rsidR="005E0AC4">
              <w:rPr>
                <w:rFonts w:ascii="Calibri Light" w:eastAsia="Times New Roman" w:hAnsi="Calibri Light" w:cs="Times New Roman"/>
                <w:sz w:val="23"/>
                <w:szCs w:val="23"/>
                <w:lang w:eastAsia="es-MX"/>
              </w:rPr>
              <w:lastRenderedPageBreak/>
              <w:t xml:space="preserve">los regulen; </w:t>
            </w:r>
            <w:r w:rsidR="005E0AC4" w:rsidRPr="003A01CC">
              <w:rPr>
                <w:rFonts w:ascii="Calibri Light" w:eastAsia="Times New Roman" w:hAnsi="Calibri Light" w:cs="Times New Roman"/>
                <w:color w:val="000000"/>
                <w:sz w:val="24"/>
                <w:szCs w:val="24"/>
                <w:lang w:eastAsia="es-MX"/>
              </w:rPr>
              <w:t>motivo por el cual, este sujeto obligado debe publicar aquellos indicadores que son relevantes o beneficiosos para la sociedad, y cuya divulgación resulte útil para que el público comprenda las actividades que llevan a cabo, para el cumplimiento de sus objetivos.</w:t>
            </w:r>
          </w:p>
        </w:tc>
      </w:tr>
      <w:tr w:rsidR="009A240E" w:rsidRPr="00C62C22" w:rsidTr="00DC3F4B">
        <w:trPr>
          <w:trHeight w:val="1723"/>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VI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indicadores que permitan rendir cuenta de sus objetivos y resultados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de conformidad con lo señalado en los artículos 4 último párrafo y 33 de la Ley del Presupuesto y Contabilidad Gubernamental del Estado de Yucatán, donde se señala que los organismos autónomos incluirán los indicadores de desempeño que faciliten el examen de sus proyectos de presupuesto de egresos.</w:t>
            </w:r>
          </w:p>
        </w:tc>
      </w:tr>
      <w:tr w:rsidR="009A240E" w:rsidRPr="00C62C22" w:rsidTr="00DC3F4B">
        <w:trPr>
          <w:trHeight w:val="3434"/>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VII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9A240E" w:rsidRPr="00C62C22" w:rsidTr="00E33870">
        <w:trPr>
          <w:trHeight w:val="545"/>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VIII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 xml:space="preserve">Le es aplicable de conformidad con lo señalado en el artículo 39 de la Ley del Presupuesto y Contabilidad Gubernamental del Estado de Yucatán; donde se establece que los organismos autónomos como ejecutores del gasto, deben incluir en sus proyectos de presupuestos de egresos el número de plazas, todas las categorías laborales de los servidores públicos, así como el desglose de las </w:t>
            </w:r>
            <w:r w:rsidRPr="00C62C22">
              <w:rPr>
                <w:rFonts w:ascii="Calibri Light" w:eastAsia="Times New Roman" w:hAnsi="Calibri Light" w:cs="Calibri Light"/>
                <w:sz w:val="23"/>
                <w:szCs w:val="23"/>
                <w:lang w:eastAsia="es-MX"/>
              </w:rPr>
              <w:lastRenderedPageBreak/>
              <w:t>remuneraciones por salarios, prestaciones de ley y cualquier otro concepto.</w:t>
            </w:r>
          </w:p>
        </w:tc>
      </w:tr>
      <w:tr w:rsidR="009A240E" w:rsidRPr="00C62C22" w:rsidTr="00DC3F4B">
        <w:trPr>
          <w:trHeight w:val="1176"/>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IX</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gastos de representación y viáticos, así como el objeto e informe de comisión correspondiente;</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entre ellos a los organismos autónomos, a sujetarse a las disposiciones aplicables para la autorización de gastos de representación.</w:t>
            </w:r>
          </w:p>
        </w:tc>
      </w:tr>
      <w:tr w:rsidR="009A240E" w:rsidRPr="00C62C22" w:rsidTr="00DC3F4B">
        <w:trPr>
          <w:trHeight w:val="603"/>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de conformidad con lo señalado en el artículo 39 de la Ley del Presupuesto y Contabilidad Gubernamental del Estado de Yucatán; toda vez que dicho numeral establece que los ejecutores del gasto, entre ellos los organismos autónomos, deben incluir en sus proyectos de presupuestos de egresos el número de plazas, todas las categorías laborales de los servidores públicos, así como el desglose de las remuneraciones por salarios, prestaciones de ley y cualquier otro concepto.</w:t>
            </w:r>
          </w:p>
        </w:tc>
      </w:tr>
      <w:tr w:rsidR="009A240E" w:rsidRPr="00C62C22" w:rsidTr="00E33870">
        <w:trPr>
          <w:trHeight w:val="1112"/>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de conformidad con lo señalado en el artículo 123 de la Ley del Presupuesto y Contabilidad Gubernamental del Estado de Yucatán, toda vez que el citado numeral posibilita a los ejecutores del gasto, entre ellos a los organismos autónomos, a contratar servicios profesionales, debiéndose sujetar a los requisitos señalados en dicho artículo.</w:t>
            </w:r>
          </w:p>
        </w:tc>
      </w:tr>
      <w:tr w:rsidR="009A240E" w:rsidRPr="00C62C22" w:rsidTr="00DC3F4B">
        <w:trPr>
          <w:trHeight w:val="160"/>
          <w:jc w:val="center"/>
        </w:trPr>
        <w:tc>
          <w:tcPr>
            <w:tcW w:w="810" w:type="dxa"/>
            <w:shd w:val="clear" w:color="auto" w:fill="auto"/>
            <w:vAlign w:val="center"/>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XII</w:t>
            </w:r>
          </w:p>
        </w:tc>
        <w:tc>
          <w:tcPr>
            <w:tcW w:w="4106" w:type="dxa"/>
            <w:shd w:val="clear" w:color="auto" w:fill="auto"/>
            <w:vAlign w:val="center"/>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FFFFFF" w:themeFill="background1"/>
            <w:vAlign w:val="center"/>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Le es aplicable, toda vez que de conformidad con el artículo 41 fracción IV de la Ley Orgánica del Tribunal de Justicia Administrativa del Estado de Yucatán, y el artículo 28 de la Ley de Responsabilidades Administrativas del Estado de Yucatán, le corresponde a su órgano de control interno, llevar el registro y seguimiento de la evolución de la situación patrimonial de los servidores públicos del tribunal.</w:t>
            </w:r>
          </w:p>
        </w:tc>
      </w:tr>
      <w:tr w:rsidR="009A240E" w:rsidRPr="00C62C22" w:rsidTr="00DC3F4B">
        <w:trPr>
          <w:trHeight w:val="989"/>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9A240E" w:rsidRPr="00C62C22" w:rsidTr="00DC3F4B">
        <w:trPr>
          <w:trHeight w:val="745"/>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XIV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convocatorias a concursos para ocupar cargos públicos y los resultados de los mismos;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 xml:space="preserve">Le es aplicable de conformidad con el artículo 18 de la Ley Orgánica del Tribunal de Justicia Administrativa del Estado de Yucatán, que dispone que el tribunal establecerá mediante disposiciones generales, un sistema profesional de carrera jurisdiccional, que entre otros, abarcará las fases de ingreso y promoción de los servidores públicos del tribunal, de manera que se procure la excelencia por medio de concursos y evaluaciones periódicas, de conformidad con los procedimientos y criterios establecidos en la normativa correspondiente; aunado a lo anterior en concordancia con lo señalado en </w:t>
            </w:r>
            <w:r w:rsidRPr="00C62C22">
              <w:rPr>
                <w:rFonts w:ascii="Calibri Light" w:eastAsia="Times New Roman" w:hAnsi="Calibri Light" w:cs="Calibri Light"/>
                <w:sz w:val="23"/>
                <w:szCs w:val="23"/>
              </w:rPr>
              <w:lastRenderedPageBreak/>
              <w:t>los Lineamientos técnicos generales, se publicarán los avisos, invitaciones y/o convocatorias que se emitan para ocupar cualquier tipo de cargo, puesto o equivalente.</w:t>
            </w:r>
          </w:p>
        </w:tc>
      </w:tr>
      <w:tr w:rsidR="009A240E" w:rsidRPr="00C62C22" w:rsidTr="00DC3F4B">
        <w:trPr>
          <w:trHeight w:val="1479"/>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No le es aplicable, toda vez que de conformidad con lo establecido en los artículos 2, 4 y 15 de la Ley Orgánica del Tribunal de Justicia Administrativa del Estado de Yucatán, no se encuentra dentro del ámbito de sus facultades, competencias y funciones, toda vez que éste no desarrolla, ni opera programas que impliquen el otorgamiento de subsidios, estímulos y apoyos en efectivo o en especie.</w:t>
            </w:r>
          </w:p>
        </w:tc>
      </w:tr>
      <w:tr w:rsidR="009A240E" w:rsidRPr="00C62C22" w:rsidTr="00DC3F4B">
        <w:trPr>
          <w:trHeight w:val="2014"/>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XVI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Le es aplicable, toda vez que de conformidad con los artículos 18 y 36 fracciones XVII y XX de la Ley Orgánica del Tribunal de Justicia Administrativa del Estado de Yucatán, y 88 y 89 de la Ley de los Trabajadores al Servicio del Estado y los Municipios de Yucatán, se encuentra dentro del ámbito de sus facultades, competencias y funciones.</w:t>
            </w:r>
          </w:p>
        </w:tc>
      </w:tr>
      <w:tr w:rsidR="009A240E" w:rsidRPr="00C62C22" w:rsidTr="00DC3F4B">
        <w:trPr>
          <w:trHeight w:val="1362"/>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XVII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 xml:space="preserve">Le es aplicable, toda vez que de conformidad con el artículo 36 fracción XIII de la Ley Orgánica del Tribunal de Justicia Administrativa del Estado de Yucatán, el </w:t>
            </w:r>
            <w:r w:rsidR="005E0AC4">
              <w:rPr>
                <w:rFonts w:ascii="Calibri Light" w:eastAsia="Times New Roman" w:hAnsi="Calibri Light" w:cs="Calibri Light"/>
                <w:sz w:val="23"/>
                <w:szCs w:val="23"/>
              </w:rPr>
              <w:t>Director de Administración del T</w:t>
            </w:r>
            <w:r w:rsidRPr="00C62C22">
              <w:rPr>
                <w:rFonts w:ascii="Calibri Light" w:eastAsia="Times New Roman" w:hAnsi="Calibri Light" w:cs="Calibri Light"/>
                <w:sz w:val="23"/>
                <w:szCs w:val="23"/>
              </w:rPr>
              <w:t>ribunal, debe tener bajo su custodia y vigilancia, la integración de los expedientes del personal del tribunal, así mismo de conformidad con el artículo 38 de la misma Ley, todos los servidores públicos del tribunal son sujetos de responsabilidad administrativa por los actos u omisiones en que incurran en el desempeño de sus funciones.</w:t>
            </w:r>
          </w:p>
        </w:tc>
      </w:tr>
      <w:tr w:rsidR="009A240E" w:rsidRPr="00C62C22" w:rsidTr="00DC3F4B">
        <w:trPr>
          <w:trHeight w:val="780"/>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XVIII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El listado de Servidores Públicos con sanciones administrativas definitivas, especificando la causa de sanción y la disposición;</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 xml:space="preserve">Le es aplicable, toda vez que de conformidad con el artículo 41 de la Ley Orgánica del Tribunal de Justicia Administrativa del Estado de Yucatán, le corresponde al órgano de control interno del tribunal, resolver sobre las </w:t>
            </w:r>
            <w:r w:rsidRPr="00C62C22">
              <w:rPr>
                <w:rFonts w:ascii="Calibri Light" w:eastAsia="Times New Roman" w:hAnsi="Calibri Light" w:cs="Calibri Light"/>
                <w:sz w:val="23"/>
                <w:szCs w:val="23"/>
              </w:rPr>
              <w:lastRenderedPageBreak/>
              <w:t>responsabilidades de los servidores públicos e imponer, en su caso, las sanciones administrativas correspondientes. Aunado a lo anterior de conformidad con lo señalado en los Lineamientos técnicos generales, deberán incluir además un hipervínculo al sistema de registro de sanciones administrativas que les corresponda.</w:t>
            </w:r>
          </w:p>
        </w:tc>
      </w:tr>
      <w:tr w:rsidR="009A240E" w:rsidRPr="00C62C22" w:rsidTr="00DC3F4B">
        <w:trPr>
          <w:trHeight w:val="256"/>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XIX</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servicios que ofrecen señalando los requisitos para acceder a ellos;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de conformidad con lo establecido en los Lineamientos técnicos generales, pues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9A240E" w:rsidRPr="00C62C22" w:rsidTr="00DC3F4B">
        <w:trPr>
          <w:trHeight w:val="501"/>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trámites, requisitos y formatos que ofrecen;</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Le es aplicable, toda vez que de conformidad con el artículo 4 de la Ley Orgánica del Tribunal de Justicia Administrativa del Estado de Yucatán, se encuentra dentro del ámbito de sus facultades, competencias y funciones.</w:t>
            </w:r>
          </w:p>
        </w:tc>
      </w:tr>
      <w:tr w:rsidR="009A240E" w:rsidRPr="00C62C22" w:rsidTr="00DC3F4B">
        <w:trPr>
          <w:trHeight w:val="1170"/>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de conformidad con lo señalado en los artículos 5 y 6</w:t>
            </w:r>
            <w:r w:rsidRPr="00C62C22">
              <w:rPr>
                <w:rFonts w:ascii="Calibri Light" w:hAnsi="Calibri Light" w:cs="Calibri Light"/>
                <w:sz w:val="23"/>
                <w:szCs w:val="23"/>
              </w:rPr>
              <w:t xml:space="preserve"> </w:t>
            </w:r>
            <w:proofErr w:type="gramStart"/>
            <w:r w:rsidRPr="00C62C22">
              <w:rPr>
                <w:rFonts w:ascii="Calibri Light" w:hAnsi="Calibri Light" w:cs="Calibri Light"/>
                <w:sz w:val="23"/>
                <w:szCs w:val="23"/>
              </w:rPr>
              <w:t>fracción</w:t>
            </w:r>
            <w:proofErr w:type="gramEnd"/>
            <w:r w:rsidRPr="00C62C22">
              <w:rPr>
                <w:rFonts w:ascii="Calibri Light" w:hAnsi="Calibri Light" w:cs="Calibri Light"/>
                <w:sz w:val="23"/>
                <w:szCs w:val="23"/>
              </w:rPr>
              <w:t xml:space="preserve"> I de la </w:t>
            </w:r>
            <w:r w:rsidRPr="00C62C22">
              <w:rPr>
                <w:rFonts w:ascii="Calibri Light" w:eastAsia="Times New Roman" w:hAnsi="Calibri Light" w:cs="Calibri Light"/>
                <w:sz w:val="23"/>
                <w:szCs w:val="23"/>
                <w:lang w:eastAsia="es-MX"/>
              </w:rPr>
              <w:t>Ley del Presupuesto y Contabilidad Gubernamental del Estado de Yucatán; ya que en virtud de dichos ordenamientos, los ejecutores del gasto, entre ellos los organismos autónomos, deben generar los informes financieros, presupuestarios, programáticos y contables para la integración de la cuenta pública.</w:t>
            </w:r>
          </w:p>
        </w:tc>
      </w:tr>
      <w:tr w:rsidR="009A240E" w:rsidRPr="00C62C22" w:rsidTr="00DC3F4B">
        <w:trPr>
          <w:trHeight w:val="501"/>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 información relativa a la deuda pública, en términos de la normatividad aplicable;</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No le es aplicable de conformidad con los artículo 1 y 2, fracciones VIII y XII y 3 de la Ley de Deuda Pública</w:t>
            </w:r>
            <w:r w:rsidR="005E0AC4">
              <w:rPr>
                <w:rFonts w:ascii="Calibri Light" w:eastAsia="Times New Roman" w:hAnsi="Calibri Light" w:cs="Calibri Light"/>
                <w:sz w:val="23"/>
                <w:szCs w:val="23"/>
                <w:lang w:eastAsia="es-MX"/>
              </w:rPr>
              <w:t xml:space="preserve"> del Estado de Yucatán</w:t>
            </w:r>
            <w:r w:rsidRPr="00C62C22">
              <w:rPr>
                <w:rFonts w:ascii="Calibri Light" w:eastAsia="Times New Roman" w:hAnsi="Calibri Light" w:cs="Calibri Light"/>
                <w:sz w:val="23"/>
                <w:szCs w:val="23"/>
                <w:lang w:eastAsia="es-MX"/>
              </w:rPr>
              <w:t xml:space="preserve">, toda vez que los organismos autónomos no son sujetos obligados de dicha Ley, así mismo no </w:t>
            </w:r>
            <w:r w:rsidRPr="00C62C22">
              <w:rPr>
                <w:rFonts w:ascii="Calibri Light" w:eastAsia="Times New Roman" w:hAnsi="Calibri Light" w:cs="Calibri Light"/>
                <w:sz w:val="23"/>
                <w:szCs w:val="23"/>
                <w:lang w:eastAsia="es-MX"/>
              </w:rPr>
              <w:lastRenderedPageBreak/>
              <w:t>se encuentra dentro del ámbito de sus facultades, competencias y funciones.</w:t>
            </w:r>
          </w:p>
        </w:tc>
      </w:tr>
      <w:tr w:rsidR="009A240E" w:rsidRPr="00C62C22" w:rsidTr="00DC3F4B">
        <w:trPr>
          <w:trHeight w:val="989"/>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XXIII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montos destinados a gastos relativos a comunicación social y publicidad oficial desglosada por tipo de medio, proveedores, número de contrato y concepto o campaña;</w:t>
            </w:r>
          </w:p>
        </w:tc>
        <w:tc>
          <w:tcPr>
            <w:tcW w:w="4397" w:type="dxa"/>
            <w:shd w:val="clear" w:color="auto" w:fill="FFFFFF" w:themeFill="background1"/>
            <w:vAlign w:val="center"/>
            <w:hideMark/>
          </w:tcPr>
          <w:p w:rsidR="009A240E" w:rsidRPr="00C62C22" w:rsidRDefault="009A240E" w:rsidP="00DC3F4B">
            <w:pPr>
              <w:spacing w:after="0" w:line="240" w:lineRule="auto"/>
              <w:jc w:val="both"/>
              <w:rPr>
                <w:rFonts w:ascii="Calibri Light" w:hAnsi="Calibri Light" w:cs="Calibri Light"/>
                <w:sz w:val="23"/>
                <w:szCs w:val="23"/>
                <w:highlight w:val="yellow"/>
              </w:rPr>
            </w:pPr>
            <w:r w:rsidRPr="00C62C22">
              <w:rPr>
                <w:rFonts w:ascii="Calibri Light" w:eastAsia="Times New Roman" w:hAnsi="Calibri Light" w:cs="Calibri Light"/>
                <w:sz w:val="23"/>
                <w:szCs w:val="23"/>
                <w:lang w:eastAsia="es-MX"/>
              </w:rPr>
              <w:t>Le es aplicable de conformidad con lo señalado en el artículo 117 de la Ley de Presupuesto y Contabilidad Gubernamental del Estado de Yucatán, que prevé que los organismos autónomos, para la difusión de sus actividades, podrán destinar recursos presupuestales considerando la naturaleza e importancia social del contenido de la información, el requerimiento de horarios y audiencias específicos o por la falta de disponibilidad de los tiempos de transmisión asignados en los medios de comunicación estatales.</w:t>
            </w:r>
          </w:p>
        </w:tc>
      </w:tr>
      <w:tr w:rsidR="009A240E" w:rsidRPr="00C62C22" w:rsidTr="00DC3F4B">
        <w:trPr>
          <w:trHeight w:val="989"/>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XXIV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9A240E" w:rsidRPr="00C62C22" w:rsidRDefault="009A240E" w:rsidP="005E0AC4">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 xml:space="preserve">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w:t>
            </w:r>
            <w:r w:rsidR="005E0AC4">
              <w:rPr>
                <w:rFonts w:ascii="Calibri Light" w:eastAsia="Times New Roman" w:hAnsi="Calibri Light" w:cs="Calibri Light"/>
                <w:sz w:val="23"/>
                <w:szCs w:val="23"/>
              </w:rPr>
              <w:t xml:space="preserve">en el artículo 76 </w:t>
            </w:r>
            <w:r w:rsidRPr="00C62C22">
              <w:rPr>
                <w:rFonts w:ascii="Calibri Light" w:eastAsia="Times New Roman" w:hAnsi="Calibri Light" w:cs="Calibri Light"/>
                <w:sz w:val="23"/>
                <w:szCs w:val="23"/>
              </w:rPr>
              <w:t>de la Ley de Fiscalización de la Cuenta Pública del Estado de Yucatán; y en lo que respecta a las auditorías internas, estas se refieren a las revisiones realizadas por el órgano de control interno.</w:t>
            </w:r>
          </w:p>
        </w:tc>
      </w:tr>
      <w:tr w:rsidR="009A240E" w:rsidRPr="00C62C22" w:rsidTr="00DC3F4B">
        <w:trPr>
          <w:trHeight w:val="501"/>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 xml:space="preserve">El resultado de la </w:t>
            </w:r>
            <w:proofErr w:type="spellStart"/>
            <w:r w:rsidRPr="00C62C22">
              <w:rPr>
                <w:rFonts w:ascii="Calibri Light" w:eastAsia="Times New Roman" w:hAnsi="Calibri Light" w:cs="Calibri Light"/>
                <w:sz w:val="23"/>
                <w:szCs w:val="23"/>
              </w:rPr>
              <w:t>dictaminación</w:t>
            </w:r>
            <w:proofErr w:type="spellEnd"/>
            <w:r w:rsidRPr="00C62C22">
              <w:rPr>
                <w:rFonts w:ascii="Calibri Light" w:eastAsia="Times New Roman" w:hAnsi="Calibri Light" w:cs="Calibri Light"/>
                <w:sz w:val="23"/>
                <w:szCs w:val="23"/>
              </w:rPr>
              <w:t xml:space="preserve"> de los estados financieros;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Le es aplicable, toda vez que de conformidad con los Lineamientos técnicos generales, todos los sujetos obligados deberán publicar los informes de resultados de los dictámenes realizados a sus estados financieros por las empresas auditoras contratadas para tal fin.</w:t>
            </w:r>
          </w:p>
        </w:tc>
      </w:tr>
      <w:tr w:rsidR="009A240E" w:rsidRPr="00C62C22" w:rsidTr="00DC3F4B">
        <w:trPr>
          <w:trHeight w:val="629"/>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XXVI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 xml:space="preserve">Los montos, criterios, convocatorias y listado de personas físicas o morales a quienes, por cualquier motivo, se les asigne o permita usar recursos públicos o, en los términos de las disposiciones aplicables, </w:t>
            </w:r>
            <w:r w:rsidRPr="00C62C22">
              <w:rPr>
                <w:rFonts w:ascii="Calibri Light" w:eastAsia="Times New Roman" w:hAnsi="Calibri Light" w:cs="Calibri Light"/>
                <w:sz w:val="23"/>
                <w:szCs w:val="23"/>
              </w:rPr>
              <w:lastRenderedPageBreak/>
              <w:t>realicen actos de autoridad. Asimismo, los informes que dichas personas les entreguen sobre el uso y destino de dichos recursos;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lastRenderedPageBreak/>
              <w:t xml:space="preserve">Le es aplicable, toda vez que de conformidad con lo dispuesto en la fracción VI del artículo 5 y el artículo 137 de la Ley del Presupuesto y Contabilidad Gubernamental del Estado de Yucatán, los ejecutores del gastos, entre ellos </w:t>
            </w:r>
            <w:r w:rsidRPr="00C62C22">
              <w:rPr>
                <w:rFonts w:ascii="Calibri Light" w:eastAsia="Times New Roman" w:hAnsi="Calibri Light" w:cs="Calibri Light"/>
                <w:sz w:val="23"/>
                <w:szCs w:val="23"/>
                <w:lang w:eastAsia="es-MX"/>
              </w:rPr>
              <w:lastRenderedPageBreak/>
              <w:t>los organismos autónomos, pueden otorgar excepcionalmente ayudas a personas físicas o morales, siempre que cuente con suficiencia presupuestal, reúna los requisitos establecidos en el reglamento y medie autorización previa.</w:t>
            </w:r>
          </w:p>
        </w:tc>
      </w:tr>
      <w:tr w:rsidR="009A240E" w:rsidRPr="00C62C22" w:rsidTr="00DC3F4B">
        <w:trPr>
          <w:trHeight w:val="2212"/>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XXVII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Le es aplicable en lo relativo a contratos y convenios, lo anterior de conformidad con los artículos 32 fracción IX y 36 fracción XVII de la Ley Orgánica del Tribunal de Justicia Administrativa del Estado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9A240E" w:rsidRPr="00C62C22" w:rsidTr="00DC3F4B">
        <w:trPr>
          <w:trHeight w:val="1723"/>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XXVIII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toda vez que de conformidad con el artículo 15 fracción VII de la Ley Orgánica del Tribunal de Justicia Administrativa del Estado de Yucatán, se encuentra dentro del ámbito de sus facultades, competencias y funciones, la generación de la información a que se refiere esta fracción.</w:t>
            </w:r>
          </w:p>
        </w:tc>
      </w:tr>
      <w:tr w:rsidR="009A240E" w:rsidRPr="00C62C22" w:rsidTr="00DC3F4B">
        <w:trPr>
          <w:trHeight w:val="629"/>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XXIX</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informes que por disposición legal generen los sujetos obligados;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 xml:space="preserve">Le es aplicable, toda vez que de conformidad con el artículo 32 fracciones XI y XII de la Ley </w:t>
            </w:r>
            <w:r w:rsidRPr="00C62C22">
              <w:rPr>
                <w:rFonts w:ascii="Calibri Light" w:eastAsia="Times New Roman" w:hAnsi="Calibri Light" w:cs="Calibri Light"/>
                <w:sz w:val="23"/>
                <w:szCs w:val="23"/>
                <w:lang w:eastAsia="es-MX"/>
              </w:rPr>
              <w:t>Orgánica del Tribunal de Justicia Administrativa del Estado de Yucatán, se encuentra dentro del ámbito de sus facultades, competencias y funciones.</w:t>
            </w:r>
          </w:p>
        </w:tc>
      </w:tr>
      <w:tr w:rsidR="009A240E" w:rsidRPr="00C62C22" w:rsidTr="00DC3F4B">
        <w:trPr>
          <w:trHeight w:val="885"/>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XXX</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estadísticas que generen en cumplimiento de sus facultades, competencias o funciones con la mayor desagregación posible;</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Times New Roman"/>
                <w:color w:val="000000"/>
                <w:sz w:val="23"/>
                <w:szCs w:val="23"/>
                <w:lang w:eastAsia="es-MX"/>
              </w:rPr>
              <w:t>Le es aplicable, considerando que los Lineamientos técnicos generales, disponen que todos los sujetos obligados deben publicar una relación de las estadísticas de cualquier tipo que hayan generado en cumplimiento de sus competencias, facultades y/o funciones.</w:t>
            </w:r>
          </w:p>
        </w:tc>
      </w:tr>
      <w:tr w:rsidR="009A240E" w:rsidRPr="00C62C22" w:rsidTr="00DC3F4B">
        <w:trPr>
          <w:trHeight w:val="256"/>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XXXI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Informe de avances programáticos o presupuestales, balances generales y su estado financiero;</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9A240E" w:rsidRPr="00C62C22" w:rsidTr="00E33870">
        <w:trPr>
          <w:trHeight w:val="687"/>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XXXII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Padrón de proveedores y contratistas;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toda vez que de conformidad con el artículo 15 fracción VII de la Ley Orgánica del Tribunal de Justicia Administrativa del Estado de Yucatán, se encuentra dentro del ámbito de sus facultades, competencias y funciones, la generación de la información a que se refiere esta fracción.</w:t>
            </w:r>
          </w:p>
        </w:tc>
      </w:tr>
      <w:tr w:rsidR="009A240E" w:rsidRPr="00C62C22" w:rsidTr="00DC3F4B">
        <w:trPr>
          <w:trHeight w:val="745"/>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XXXIII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convenios de coordinación de concertación con los sectores social y privado;</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 xml:space="preserve">Le es aplicable, toda vez que de conformidad con la Ley </w:t>
            </w:r>
            <w:r w:rsidRPr="00C62C22">
              <w:rPr>
                <w:rFonts w:ascii="Calibri Light" w:eastAsia="Times New Roman" w:hAnsi="Calibri Light" w:cs="Calibri Light"/>
                <w:sz w:val="23"/>
                <w:szCs w:val="23"/>
                <w:lang w:eastAsia="es-MX"/>
              </w:rPr>
              <w:t>Orgánica del Tribunal de Justicia Administrativa del Estado de Yucatán, se encuentra dentro del ámbito de sus facultades, competencias y funciones.</w:t>
            </w:r>
          </w:p>
        </w:tc>
      </w:tr>
      <w:tr w:rsidR="009A240E" w:rsidRPr="00C62C22" w:rsidTr="00DC3F4B">
        <w:trPr>
          <w:trHeight w:val="501"/>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XXXIV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El inventario de bienes muebles e inmuebles en posesión y propiedad;</w:t>
            </w:r>
          </w:p>
        </w:tc>
        <w:tc>
          <w:tcPr>
            <w:tcW w:w="4397" w:type="dxa"/>
            <w:shd w:val="clear" w:color="auto" w:fill="auto"/>
            <w:vAlign w:val="center"/>
            <w:hideMark/>
          </w:tcPr>
          <w:p w:rsidR="009A240E" w:rsidRPr="00C62C22" w:rsidRDefault="009A240E" w:rsidP="00FA73C0">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 xml:space="preserve">Le es aplicable, de conformidad con lo señalado en el artículo 15 fracción XIX de la Ley </w:t>
            </w:r>
            <w:r w:rsidRPr="00C62C22">
              <w:rPr>
                <w:rFonts w:ascii="Calibri Light" w:eastAsia="Times New Roman" w:hAnsi="Calibri Light" w:cs="Calibri Light"/>
                <w:sz w:val="23"/>
                <w:szCs w:val="23"/>
                <w:lang w:eastAsia="es-MX"/>
              </w:rPr>
              <w:t xml:space="preserve">Orgánica del Tribunal de Justicia Administrativa del Estado de Yucatán, ya que es atribución del Pleno, </w:t>
            </w:r>
            <w:r w:rsidR="00FA73C0">
              <w:rPr>
                <w:rFonts w:ascii="Calibri Light" w:eastAsia="Times New Roman" w:hAnsi="Calibri Light" w:cs="Calibri Light"/>
                <w:sz w:val="23"/>
                <w:szCs w:val="23"/>
                <w:lang w:eastAsia="es-MX"/>
              </w:rPr>
              <w:t>administrar y desincorporar los bienes muebles e inmuebles del Tribunal</w:t>
            </w:r>
            <w:r w:rsidRPr="00C62C22">
              <w:rPr>
                <w:rFonts w:ascii="Calibri Light" w:eastAsia="Times New Roman" w:hAnsi="Calibri Light" w:cs="Calibri Light"/>
                <w:sz w:val="23"/>
                <w:szCs w:val="23"/>
                <w:lang w:eastAsia="es-MX"/>
              </w:rPr>
              <w:t>; aunado a lo anterior</w:t>
            </w:r>
            <w:r w:rsidRPr="00C62C22">
              <w:rPr>
                <w:rFonts w:ascii="Calibri Light" w:eastAsia="Times New Roman" w:hAnsi="Calibri Light" w:cs="Calibri Light"/>
                <w:sz w:val="23"/>
                <w:szCs w:val="23"/>
              </w:rPr>
              <w:t xml:space="preserve"> el artículo 155 de la Ley del Presupuesto y Contabilidad Gubernamental del Estado de Yucatán, señala que como parte de la contabilidad gubernamental, los ejecutores del gasto, deberán llevar el registro de los bienes muebles e inmuebles.</w:t>
            </w:r>
          </w:p>
        </w:tc>
      </w:tr>
      <w:tr w:rsidR="009A240E" w:rsidRPr="00C62C22" w:rsidTr="00712D4A">
        <w:trPr>
          <w:trHeight w:val="545"/>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XXXV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 xml:space="preserve">Las recomendaciones emitidas por los órganos públicos del Estado mexicano u organismos internacionales garantes de los </w:t>
            </w:r>
            <w:r w:rsidRPr="00C62C22">
              <w:rPr>
                <w:rFonts w:ascii="Calibri Light" w:eastAsia="Times New Roman" w:hAnsi="Calibri Light" w:cs="Calibri Light"/>
                <w:sz w:val="23"/>
                <w:szCs w:val="23"/>
              </w:rPr>
              <w:lastRenderedPageBreak/>
              <w:t>derechos humanos, así como las acciones que han llevado a cabo para su atención;</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lastRenderedPageBreak/>
              <w:t xml:space="preserve">Le es aplicable, de conformidad con lo señalado en el artículo 74 de la Constitución Política del Estado de Yucatán, en el que se </w:t>
            </w:r>
            <w:r w:rsidRPr="00C62C22">
              <w:rPr>
                <w:rFonts w:ascii="Calibri Light" w:eastAsia="Times New Roman" w:hAnsi="Calibri Light" w:cs="Calibri Light"/>
                <w:sz w:val="23"/>
                <w:szCs w:val="23"/>
                <w:lang w:eastAsia="es-MX"/>
              </w:rPr>
              <w:lastRenderedPageBreak/>
              <w:t>establece que la Comisión de Derechos Humanos del Estado de Yucatán, puede formular recomendaciones públicas derivadas de quejas en contra de actos u omisiones de servidores públicos, entre ellos los Organismos Autónomos, quienes están obligados a responder dichas recomendaciones.</w:t>
            </w:r>
          </w:p>
        </w:tc>
      </w:tr>
      <w:tr w:rsidR="009A240E" w:rsidRPr="00C62C22" w:rsidTr="00DC3F4B">
        <w:trPr>
          <w:trHeight w:val="745"/>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XXXVI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resoluciones y laudos que se emitan en procesos o procedimientos seguidos en forma de juicio;</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 xml:space="preserve">Le es aplicable, toda vez que de conformidad con el artículo 2 de la Ley </w:t>
            </w:r>
            <w:r w:rsidRPr="00C62C22">
              <w:rPr>
                <w:rFonts w:ascii="Calibri Light" w:eastAsia="Times New Roman" w:hAnsi="Calibri Light" w:cs="Calibri Light"/>
                <w:sz w:val="23"/>
                <w:szCs w:val="23"/>
                <w:lang w:eastAsia="es-MX"/>
              </w:rPr>
              <w:t>Orgánica del Tribunal de Justicia Administrativa del Estado de Yucatán</w:t>
            </w:r>
            <w:r w:rsidRPr="00C62C22">
              <w:rPr>
                <w:rFonts w:ascii="Calibri Light" w:eastAsia="Times New Roman" w:hAnsi="Calibri Light" w:cs="Calibri Light"/>
                <w:sz w:val="23"/>
                <w:szCs w:val="23"/>
              </w:rPr>
              <w:t>, se encuentra dentro del ámbito de sus facultades, competencias y funciones.</w:t>
            </w:r>
          </w:p>
        </w:tc>
      </w:tr>
      <w:tr w:rsidR="009A240E" w:rsidRPr="00C62C22" w:rsidTr="00DC3F4B">
        <w:trPr>
          <w:trHeight w:val="256"/>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XXXVII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mecanismos de participación ciudadana;</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No le es aplicable, toda vez que de conformidad con lo señalado en la Ley Orgánica del Tribunal de Justicia Administrativa del Estado de Yucatán, no se encuentra dentro del ámbito de sus facultades, competencias y funciones.</w:t>
            </w:r>
          </w:p>
        </w:tc>
      </w:tr>
      <w:tr w:rsidR="009A240E" w:rsidRPr="00C62C22" w:rsidTr="00DC3F4B">
        <w:trPr>
          <w:trHeight w:val="1234"/>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XXXVIII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hAnsi="Calibri Light"/>
                <w:sz w:val="23"/>
                <w:szCs w:val="23"/>
                <w:highlight w:val="yellow"/>
              </w:rPr>
            </w:pPr>
            <w:r w:rsidRPr="00C62C22">
              <w:rPr>
                <w:rFonts w:ascii="Calibri Light" w:eastAsia="Times New Roman" w:hAnsi="Calibri Light" w:cs="Calibri Light"/>
                <w:sz w:val="23"/>
                <w:szCs w:val="23"/>
                <w:lang w:eastAsia="es-MX"/>
              </w:rPr>
              <w:t>No le es aplicable, toda vez que de conformidad con lo establecido en los artículos 2 y 4 de la Ley Orgánica del Tribunal de Justicia Administrativa del Estado de Yucatán, la generación de la información a la que se refiere esta fracción, no se encuentra dentro del ámbito de sus facultades, competencias y atribuciones, toda vez que éste no desarrolla, ni opera programas que impliquen el otorgamiento de apoyos en efectivo o en especie.</w:t>
            </w:r>
          </w:p>
        </w:tc>
      </w:tr>
      <w:tr w:rsidR="009A240E" w:rsidRPr="00C62C22" w:rsidTr="00DC3F4B">
        <w:trPr>
          <w:trHeight w:val="501"/>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XXXIX</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actas y resoluciones del Comité de Transparencia de los sujetos obligados;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 xml:space="preserve">Le es aplicable de conformidad con los artículos 24 fracción I de la Ley General de Transparencia y Acceso a la Información a la Información Pública, y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w:t>
            </w:r>
            <w:r w:rsidRPr="00C62C22">
              <w:rPr>
                <w:rFonts w:ascii="Calibri Light" w:eastAsia="Times New Roman" w:hAnsi="Calibri Light" w:cs="Calibri Light"/>
                <w:sz w:val="23"/>
                <w:szCs w:val="23"/>
                <w:lang w:eastAsia="es-MX"/>
              </w:rPr>
              <w:lastRenderedPageBreak/>
              <w:t>consideración, como los responsables de velar por el derecho de acceso a la información y a la vez tutelar la protección de datos personales.</w:t>
            </w:r>
          </w:p>
        </w:tc>
      </w:tr>
      <w:tr w:rsidR="009A240E" w:rsidRPr="00C62C22" w:rsidTr="00DC3F4B">
        <w:trPr>
          <w:trHeight w:val="920"/>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XL</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Todas las evaluaciones y encuestas que hagan los sujetos obligados a programas financiados con recursos públicos;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9A240E" w:rsidRPr="00C62C22" w:rsidTr="00DC3F4B">
        <w:trPr>
          <w:trHeight w:val="617"/>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XLI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estudios financiados con recursos públicos;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toda vez que de conformidad con el artículo 2 de Ley Orgánica del Tribunal de Justicia Administrativa del Estado de Yucatán, se encuentra dentro del ámbito de sus facultades, competencias y funciones; aunado a lo anterior, el sujeto obligado no se encuentra impedido a financiar estudios relacionados con el objeto para el que fue creado o con el cumplimiento del mismo.</w:t>
            </w:r>
          </w:p>
        </w:tc>
      </w:tr>
      <w:tr w:rsidR="009A240E" w:rsidRPr="00C62C22" w:rsidTr="00DC3F4B">
        <w:trPr>
          <w:trHeight w:val="536"/>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XLII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El listado de jubilados y pensionados y el monto que reciben;</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de los primeros, así como el monto de la pensión que reciban.</w:t>
            </w:r>
          </w:p>
        </w:tc>
      </w:tr>
      <w:tr w:rsidR="009A240E" w:rsidRPr="00C62C22" w:rsidTr="00DC3F4B">
        <w:trPr>
          <w:trHeight w:val="1479"/>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XLIII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 xml:space="preserve">Le es aplicable, toda vez que de conformidad con el artículo transitorio décimo quinto del decreto 380/2016, por el que se modifica la Constitución Política del Estado de Yucatán, en materia de anticorrupción y transparencia, se </w:t>
            </w:r>
            <w:r w:rsidRPr="00C62C22">
              <w:rPr>
                <w:rFonts w:ascii="Calibri Light" w:eastAsia="Times New Roman" w:hAnsi="Calibri Light" w:cs="Calibri Light"/>
                <w:sz w:val="23"/>
                <w:szCs w:val="23"/>
              </w:rPr>
              <w:lastRenderedPageBreak/>
              <w:t>encuentra dentro del ámbito de sus facultades, competencias y funciones; ya que en dicho artículo se señala que todos los recursos materiales, financieros y presupuestales con que contaba el Tribunal de Justicia Fiscal y Administrativa del Poder Judicial del Estado de Yucatán, incluyendo todos sus bienes y los derechos derivados de fondos o fideicomisos, pasaban a formar parte del Tribunal de Justicia Administrativa del Estado de Yucatán.</w:t>
            </w:r>
          </w:p>
        </w:tc>
      </w:tr>
      <w:tr w:rsidR="009A240E" w:rsidRPr="00C62C22" w:rsidTr="00DC3F4B">
        <w:trPr>
          <w:trHeight w:val="756"/>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XLIV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Donaciones hechas a terceros en dinero o en especie;</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 xml:space="preserve">Le es aplicable toda vez que de conformidad con lo señalado en los artículos 3 fracción IV y 7 </w:t>
            </w:r>
            <w:proofErr w:type="gramStart"/>
            <w:r w:rsidRPr="00C62C22">
              <w:rPr>
                <w:rFonts w:ascii="Calibri Light" w:eastAsia="Times New Roman" w:hAnsi="Calibri Light" w:cs="Calibri Light"/>
                <w:sz w:val="23"/>
                <w:szCs w:val="23"/>
                <w:lang w:eastAsia="es-MX"/>
              </w:rPr>
              <w:t>fracción</w:t>
            </w:r>
            <w:proofErr w:type="gramEnd"/>
            <w:r w:rsidRPr="00C62C22">
              <w:rPr>
                <w:rFonts w:ascii="Calibri Light" w:eastAsia="Times New Roman" w:hAnsi="Calibri Light" w:cs="Calibri Light"/>
                <w:sz w:val="23"/>
                <w:szCs w:val="23"/>
                <w:lang w:eastAsia="es-MX"/>
              </w:rPr>
              <w:t xml:space="preserve"> III de la Ley de Bienes del Estado de Yucatán, se encuentra dentro del ámbito de sus competencias, facultades o funciones.</w:t>
            </w:r>
          </w:p>
        </w:tc>
      </w:tr>
      <w:tr w:rsidR="009A240E" w:rsidRPr="00C62C22" w:rsidTr="00DC3F4B">
        <w:trPr>
          <w:trHeight w:val="780"/>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XLV</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El catálogo de disposición y guía de archivo documental;</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b/>
                <w:sz w:val="23"/>
                <w:szCs w:val="23"/>
              </w:rPr>
            </w:pPr>
            <w:r w:rsidRPr="00C62C22">
              <w:rPr>
                <w:rFonts w:ascii="Calibri Light" w:eastAsia="Times New Roman" w:hAnsi="Calibri Light" w:cs="Calibri Light"/>
                <w:sz w:val="23"/>
                <w:szCs w:val="23"/>
              </w:rPr>
              <w:t>Le es aplicable,</w:t>
            </w:r>
            <w:r w:rsidRPr="00C62C22">
              <w:rPr>
                <w:rFonts w:ascii="Calibri Light" w:eastAsia="Times New Roman" w:hAnsi="Calibri Light" w:cs="Calibri Light"/>
                <w:b/>
                <w:sz w:val="23"/>
                <w:szCs w:val="23"/>
              </w:rPr>
              <w:t xml:space="preserve"> </w:t>
            </w:r>
            <w:r w:rsidRPr="00C62C22">
              <w:rPr>
                <w:rFonts w:ascii="Calibri Light" w:hAnsi="Calibri Light"/>
                <w:sz w:val="23"/>
                <w:szCs w:val="23"/>
              </w:rPr>
              <w:t>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 aunado a lo anterior, de conformidad con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9A240E" w:rsidRPr="00C62C22" w:rsidTr="00DC3F4B">
        <w:trPr>
          <w:trHeight w:val="1036"/>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XLVI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toda vez que uno de los pilares de la democracia es la participación ciudadana y lo mucho que ésta contribuye y enriquece con sus opiniones al fortalecimiento de los sujetos obligados; por lo que es una buena </w:t>
            </w:r>
            <w:r w:rsidRPr="00C62C22">
              <w:rPr>
                <w:rFonts w:ascii="Calibri Light" w:eastAsia="Times New Roman" w:hAnsi="Calibri Light" w:cs="Calibri Light"/>
                <w:sz w:val="23"/>
                <w:szCs w:val="23"/>
                <w:lang w:eastAsia="es-MX"/>
              </w:rPr>
              <w:lastRenderedPageBreak/>
              <w:t xml:space="preserve">práctica que los sujetos obligados fomenten la creación de consejos consultivos, como foros ciudadanos en donde puedan exponer su quehacer diario, como un ejercicio de rendición de cuentas. </w:t>
            </w:r>
          </w:p>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En el caso de que el sujeto obligado no haya llevado a cabo ningún tipo de sesión del que se deriven actas, opiniones y recomendaciones por parte de los consejos consultivos, o que no cuente con esta figura, de conformidad con los Lineamientos técnicos generales deberá especificarlo mediante una leyenda motivada, fundamentada y actualizada al periodo correspondiente.</w:t>
            </w:r>
          </w:p>
        </w:tc>
      </w:tr>
      <w:tr w:rsidR="009A240E" w:rsidRPr="00C62C22" w:rsidTr="00DC3F4B">
        <w:trPr>
          <w:trHeight w:val="1234"/>
          <w:jc w:val="center"/>
        </w:trPr>
        <w:tc>
          <w:tcPr>
            <w:tcW w:w="810" w:type="dxa"/>
            <w:shd w:val="clear" w:color="auto" w:fill="auto"/>
            <w:vAlign w:val="center"/>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lastRenderedPageBreak/>
              <w:t>XLVII</w:t>
            </w:r>
          </w:p>
        </w:tc>
        <w:tc>
          <w:tcPr>
            <w:tcW w:w="4106" w:type="dxa"/>
            <w:shd w:val="clear" w:color="auto" w:fill="auto"/>
            <w:vAlign w:val="center"/>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9A240E" w:rsidRPr="00C62C22" w:rsidRDefault="009A240E" w:rsidP="00DC3F4B">
            <w:pPr>
              <w:spacing w:after="0" w:line="240" w:lineRule="auto"/>
              <w:jc w:val="both"/>
              <w:rPr>
                <w:rFonts w:ascii="Calibri Light" w:eastAsia="Times New Roman" w:hAnsi="Calibri Light" w:cs="Times New Roman"/>
                <w:color w:val="000000"/>
                <w:sz w:val="23"/>
                <w:szCs w:val="23"/>
                <w:highlight w:val="yellow"/>
              </w:rPr>
            </w:pPr>
            <w:r w:rsidRPr="00C62C22">
              <w:rPr>
                <w:rFonts w:ascii="Calibri Light" w:eastAsia="Times New Roman" w:hAnsi="Calibri Light" w:cs="Times New Roman"/>
                <w:color w:val="000000"/>
                <w:sz w:val="23"/>
                <w:szCs w:val="23"/>
                <w:lang w:eastAsia="es-MX"/>
              </w:rPr>
              <w:t xml:space="preserve">No le es aplicable, toda vez que no se encuentra dentro de su ámbito de competencias, facultades o funciones; ya que </w:t>
            </w:r>
            <w:r w:rsidRPr="00C62C22">
              <w:rPr>
                <w:rFonts w:ascii="Calibri Light" w:hAnsi="Calibri Light"/>
                <w:color w:val="000000"/>
                <w:sz w:val="23"/>
                <w:szCs w:val="23"/>
              </w:rPr>
              <w:t>de conformidad con lo establecido en el artículo 27 de la Constitución Política de los Estados Unidos Mexicanos, las concesiones en materia de telecomunicaciones son otorgadas por el Instituto Federal de Telecomunicaciones.</w:t>
            </w:r>
          </w:p>
        </w:tc>
      </w:tr>
      <w:tr w:rsidR="009A240E" w:rsidRPr="00C62C22" w:rsidTr="00DC3F4B">
        <w:trPr>
          <w:trHeight w:val="679"/>
          <w:jc w:val="center"/>
        </w:trPr>
        <w:tc>
          <w:tcPr>
            <w:tcW w:w="810" w:type="dxa"/>
            <w:shd w:val="clear" w:color="auto" w:fill="auto"/>
            <w:vAlign w:val="center"/>
            <w:hideMark/>
          </w:tcPr>
          <w:p w:rsidR="009A240E" w:rsidRPr="00C62C22" w:rsidRDefault="009A240E" w:rsidP="00DC3F4B">
            <w:pPr>
              <w:spacing w:after="0" w:line="240" w:lineRule="auto"/>
              <w:jc w:val="center"/>
              <w:rPr>
                <w:rFonts w:ascii="Calibri Light" w:eastAsia="Times New Roman" w:hAnsi="Calibri Light" w:cs="Calibri Light"/>
                <w:sz w:val="23"/>
                <w:szCs w:val="23"/>
              </w:rPr>
            </w:pPr>
            <w:r w:rsidRPr="00C62C22">
              <w:rPr>
                <w:rFonts w:ascii="Calibri Light" w:eastAsia="Times New Roman" w:hAnsi="Calibri Light" w:cs="Calibri Light"/>
                <w:sz w:val="23"/>
                <w:szCs w:val="23"/>
              </w:rPr>
              <w:t>XLVIII</w:t>
            </w:r>
          </w:p>
        </w:tc>
        <w:tc>
          <w:tcPr>
            <w:tcW w:w="4106"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rPr>
            </w:pPr>
            <w:r w:rsidRPr="00C62C22">
              <w:rPr>
                <w:rFonts w:ascii="Calibri Light" w:eastAsia="Times New Roman" w:hAnsi="Calibri Light" w:cs="Calibri Light"/>
                <w:sz w:val="23"/>
                <w:szCs w:val="23"/>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9A240E" w:rsidRPr="00C62C22" w:rsidRDefault="009A240E" w:rsidP="00DC3F4B">
            <w:pPr>
              <w:spacing w:after="0" w:line="240" w:lineRule="auto"/>
              <w:jc w:val="both"/>
              <w:rPr>
                <w:rFonts w:ascii="Calibri Light" w:eastAsia="Times New Roman" w:hAnsi="Calibri Light" w:cs="Calibri Light"/>
                <w:sz w:val="23"/>
                <w:szCs w:val="23"/>
                <w:highlight w:val="yellow"/>
              </w:rPr>
            </w:pPr>
            <w:r w:rsidRPr="00C62C22">
              <w:rPr>
                <w:rFonts w:ascii="Calibri Light" w:eastAsia="Times New Roman" w:hAnsi="Calibri Light" w:cs="Calibri Light"/>
                <w:sz w:val="23"/>
                <w:szCs w:val="23"/>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981D93" w:rsidRPr="009A240E" w:rsidRDefault="00981D93" w:rsidP="009A240E">
      <w:pPr>
        <w:spacing w:after="0" w:line="240" w:lineRule="auto"/>
        <w:rPr>
          <w:rFonts w:ascii="Calibri Light" w:hAnsi="Calibri Light"/>
          <w:sz w:val="24"/>
          <w:szCs w:val="24"/>
        </w:rPr>
      </w:pPr>
    </w:p>
    <w:p w:rsidR="00712D4A" w:rsidRDefault="00712D4A" w:rsidP="00712D4A">
      <w:pPr>
        <w:rPr>
          <w:rFonts w:ascii="Calibri Light" w:hAnsi="Calibri Light"/>
          <w:b/>
          <w:sz w:val="24"/>
          <w:szCs w:val="24"/>
        </w:rPr>
      </w:pPr>
      <w:r>
        <w:rPr>
          <w:rFonts w:ascii="Calibri Light" w:hAnsi="Calibri Light"/>
          <w:b/>
          <w:sz w:val="24"/>
          <w:szCs w:val="24"/>
        </w:rPr>
        <w:t xml:space="preserve">31-01-03-048 </w:t>
      </w:r>
      <w:r w:rsidRPr="00E43FDA">
        <w:rPr>
          <w:rFonts w:ascii="Calibri Light" w:hAnsi="Calibri Light"/>
          <w:b/>
          <w:sz w:val="24"/>
          <w:szCs w:val="24"/>
        </w:rPr>
        <w:t>Hospital General de Tekax, Yucatán</w:t>
      </w:r>
      <w:r>
        <w:rPr>
          <w:rFonts w:ascii="Calibri Light" w:hAnsi="Calibri Light"/>
          <w:b/>
          <w:sz w:val="24"/>
          <w:szCs w:val="24"/>
        </w:rPr>
        <w:t>.</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712D4A" w:rsidRPr="00C62C22" w:rsidTr="005F52D5">
        <w:trPr>
          <w:trHeight w:val="501"/>
          <w:tblHeader/>
          <w:jc w:val="center"/>
        </w:trPr>
        <w:tc>
          <w:tcPr>
            <w:tcW w:w="4916" w:type="dxa"/>
            <w:gridSpan w:val="2"/>
            <w:shd w:val="clear" w:color="auto" w:fill="D5DCE4" w:themeFill="text2" w:themeFillTint="33"/>
            <w:vAlign w:val="center"/>
            <w:hideMark/>
          </w:tcPr>
          <w:p w:rsidR="00712D4A" w:rsidRPr="00C62C22" w:rsidRDefault="00712D4A" w:rsidP="00DC3F4B">
            <w:pPr>
              <w:spacing w:after="0" w:line="240" w:lineRule="auto"/>
              <w:jc w:val="center"/>
              <w:rPr>
                <w:rFonts w:ascii="Calibri Light" w:eastAsia="Times New Roman" w:hAnsi="Calibri Light" w:cs="Calibri Light"/>
                <w:b/>
                <w:bCs/>
                <w:sz w:val="23"/>
                <w:szCs w:val="23"/>
                <w:lang w:eastAsia="es-MX"/>
              </w:rPr>
            </w:pPr>
            <w:r w:rsidRPr="00C62C22">
              <w:rPr>
                <w:rFonts w:ascii="Calibri Light" w:eastAsia="Times New Roman" w:hAnsi="Calibri Light" w:cs="Calibri Light"/>
                <w:b/>
                <w:bCs/>
                <w:sz w:val="23"/>
                <w:szCs w:val="23"/>
                <w:lang w:eastAsia="es-MX"/>
              </w:rPr>
              <w:t>FRACCIÓN</w:t>
            </w:r>
          </w:p>
        </w:tc>
        <w:tc>
          <w:tcPr>
            <w:tcW w:w="4397" w:type="dxa"/>
            <w:shd w:val="clear" w:color="auto" w:fill="D5DCE4" w:themeFill="text2" w:themeFillTint="33"/>
            <w:vAlign w:val="center"/>
            <w:hideMark/>
          </w:tcPr>
          <w:p w:rsidR="00712D4A" w:rsidRPr="00C62C22" w:rsidRDefault="00712D4A" w:rsidP="00DC3F4B">
            <w:pPr>
              <w:spacing w:after="0" w:line="240" w:lineRule="auto"/>
              <w:jc w:val="center"/>
              <w:rPr>
                <w:rFonts w:ascii="Calibri Light" w:eastAsia="Times New Roman" w:hAnsi="Calibri Light" w:cs="Calibri Light"/>
                <w:b/>
                <w:bCs/>
                <w:sz w:val="23"/>
                <w:szCs w:val="23"/>
                <w:lang w:eastAsia="es-MX"/>
              </w:rPr>
            </w:pPr>
            <w:r w:rsidRPr="00C62C22">
              <w:rPr>
                <w:rFonts w:ascii="Calibri Light" w:eastAsia="Times New Roman" w:hAnsi="Calibri Light" w:cs="Calibri Light"/>
                <w:b/>
                <w:bCs/>
                <w:sz w:val="23"/>
                <w:szCs w:val="23"/>
                <w:lang w:eastAsia="es-MX"/>
              </w:rPr>
              <w:t>APLICABLE / NO APLICABLE</w:t>
            </w:r>
          </w:p>
        </w:tc>
      </w:tr>
      <w:tr w:rsidR="00712D4A" w:rsidRPr="00C62C22" w:rsidTr="00DC3F4B">
        <w:trPr>
          <w:trHeight w:val="1967"/>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El marco normativo aplicable al sujeto obligado, en el que deberá incluirse leyes, códigos, reglamentos, decretos de creación, manuales administrativos, reglas de operación, criterios, políticas, entre otros;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Times New Roman"/>
                <w:color w:val="000000"/>
                <w:sz w:val="23"/>
                <w:szCs w:val="23"/>
                <w:lang w:eastAsia="es-MX"/>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712D4A" w:rsidRPr="00C62C22" w:rsidTr="00712D4A">
        <w:trPr>
          <w:trHeight w:val="970"/>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toda vez que de conformidad con lo señalado en el artícu</w:t>
            </w:r>
            <w:r w:rsidR="00FA73C0">
              <w:rPr>
                <w:rFonts w:ascii="Calibri Light" w:eastAsia="Times New Roman" w:hAnsi="Calibri Light" w:cs="Calibri Light"/>
                <w:sz w:val="23"/>
                <w:szCs w:val="23"/>
                <w:lang w:eastAsia="es-MX"/>
              </w:rPr>
              <w:t>lo 5 del Decreto por el que se r</w:t>
            </w:r>
            <w:r w:rsidRPr="00C62C22">
              <w:rPr>
                <w:rFonts w:ascii="Calibri Light" w:eastAsia="Times New Roman" w:hAnsi="Calibri Light" w:cs="Calibri Light"/>
                <w:sz w:val="23"/>
                <w:szCs w:val="23"/>
                <w:lang w:eastAsia="es-MX"/>
              </w:rPr>
              <w:t>egula el Hospital General de Tekax, Yucatán y los artículos 31 fracción III y 68 del Código de la Administración Pública de Yucatán, se encuentran reguladas en su estatuto orgánico, las bases de su organización, así como las facultades y funciones que correspondan a las distintas áreas que lo integran, siendo que su estructura orgánica deberá ser aprobada por la Secretaría de Administración y Finanzas.</w:t>
            </w:r>
          </w:p>
        </w:tc>
      </w:tr>
      <w:tr w:rsidR="00712D4A" w:rsidRPr="00C62C22" w:rsidTr="00DC3F4B">
        <w:trPr>
          <w:trHeight w:val="1234"/>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III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facultades de cada Área;</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 señalado en el decreto que regula su funcionamiento y el artículo 68 del Código de la Administración Pública de Yucatán, pues este ordenamiento faculta al órgano de gobierno d</w:t>
            </w:r>
            <w:r w:rsidR="005F52D5" w:rsidRPr="00C62C22">
              <w:rPr>
                <w:rFonts w:ascii="Calibri Light" w:eastAsia="Times New Roman" w:hAnsi="Calibri Light" w:cs="Calibri Light"/>
                <w:sz w:val="23"/>
                <w:szCs w:val="23"/>
                <w:lang w:eastAsia="es-MX"/>
              </w:rPr>
              <w:t>el organismo descentralizado, para</w:t>
            </w:r>
            <w:r w:rsidRPr="00C62C22">
              <w:rPr>
                <w:rFonts w:ascii="Calibri Light" w:eastAsia="Times New Roman" w:hAnsi="Calibri Light" w:cs="Calibri Light"/>
                <w:sz w:val="23"/>
                <w:szCs w:val="23"/>
                <w:lang w:eastAsia="es-MX"/>
              </w:rPr>
              <w:t xml:space="preserve"> expedir el estatuto orgánico que establezca las bases de su organización, así como las facultades y funciones que correspondan a las distintas áreas que lo integran.</w:t>
            </w:r>
          </w:p>
        </w:tc>
      </w:tr>
      <w:tr w:rsidR="00712D4A" w:rsidRPr="00C62C22" w:rsidTr="00C62C22">
        <w:trPr>
          <w:trHeight w:val="1112"/>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IV</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metas y objetivos de las Áreas de conformidad con sus programas operativos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de conformidad con lo señalado en el último párrafo del artículo 33 y en la fracción I del artículo 34 de la Ley del Presupuesto y Contabilidad Gubernamental del Estado de Yucatán, pues estos disponen que todos los anteproyectos de presupuesto </w:t>
            </w:r>
            <w:r w:rsidRPr="00C62C22">
              <w:rPr>
                <w:rFonts w:ascii="Calibri Light" w:eastAsia="Times New Roman" w:hAnsi="Calibri Light" w:cs="Calibri Light"/>
                <w:sz w:val="23"/>
                <w:szCs w:val="23"/>
                <w:lang w:eastAsia="es-MX"/>
              </w:rPr>
              <w:lastRenderedPageBreak/>
              <w:t>de las entidades, contendrán el Programa Operativo Anual, donde se señalará las metas e indicadores de desempeño necesarios para medir el cumplimiento de los programas.</w:t>
            </w:r>
          </w:p>
        </w:tc>
      </w:tr>
      <w:tr w:rsidR="00712D4A" w:rsidRPr="00C62C22" w:rsidTr="00DC3F4B">
        <w:trPr>
          <w:trHeight w:val="745"/>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V</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indicadores relacionados con temas de interés público o trascendencia social que conforme a sus funciones, deban establecer;</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b/>
                <w:bCs/>
                <w:sz w:val="23"/>
                <w:szCs w:val="23"/>
                <w:lang w:eastAsia="es-MX"/>
              </w:rPr>
            </w:pPr>
            <w:r w:rsidRPr="00C62C22">
              <w:rPr>
                <w:rFonts w:ascii="Calibri Light" w:eastAsia="Times New Roman" w:hAnsi="Calibri Light" w:cs="Times New Roman"/>
                <w:color w:val="000000"/>
                <w:sz w:val="23"/>
                <w:szCs w:val="23"/>
                <w:lang w:eastAsia="es-MX"/>
              </w:rPr>
              <w:t xml:space="preserve">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 aunado a lo anterior el artículo 66 del Código de la Administración Pública de Yucatán, señala que los organismos públicos descentralizados son creados para cubrir la prestación de un servicio público, la realización de actividades correspondientes a áreas prioritarias y para la obtención o aplicación de recursos para fines de asistencia o seguridad social, motivo por el cual, estos deben publicar aquellos indicadores que son relevantes o beneficiosos para la sociedad, y cuya divulgación resulte útil para que el público comprenda las actividades que llevan a cabo, para el cumplimiento de sus objetivos. </w:t>
            </w:r>
          </w:p>
        </w:tc>
      </w:tr>
      <w:tr w:rsidR="00712D4A" w:rsidRPr="00C62C22" w:rsidTr="00DC3F4B">
        <w:trPr>
          <w:trHeight w:val="1723"/>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VI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indicadores que permitan rendir cuenta de sus objetivos y resultados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 señalado en los artículos 4 último párrafo y 34 fracción I de la Ley del Presupuesto y Contabilidad Gubernamental del Estado de Yucatán, donde se señala que el proyecto de presupuesto de egresos incluirá los resultados que se propongan alcanzar con los programas presupuestados e incluirá los correspondientes indicadores de desempeño para medir el cumplimiento de sus programas.</w:t>
            </w:r>
          </w:p>
        </w:tc>
      </w:tr>
      <w:tr w:rsidR="00712D4A" w:rsidRPr="00C62C22" w:rsidTr="00DC3F4B">
        <w:trPr>
          <w:trHeight w:val="3434"/>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VII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712D4A" w:rsidRPr="00C62C22" w:rsidTr="00E33870">
        <w:trPr>
          <w:trHeight w:val="545"/>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VIII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de conformidad con lo señalado en el artículo 39 de la Ley del Presupuesto y Contabilidad Gubernamental del Estado de Yucatán; </w:t>
            </w:r>
            <w:r w:rsidR="005F52D5" w:rsidRPr="00C62C22">
              <w:rPr>
                <w:rFonts w:ascii="Calibri Light" w:eastAsia="Times New Roman" w:hAnsi="Calibri Light" w:cs="Calibri Light"/>
                <w:sz w:val="23"/>
                <w:szCs w:val="23"/>
                <w:lang w:eastAsia="es-MX"/>
              </w:rPr>
              <w:t xml:space="preserve">donde </w:t>
            </w:r>
            <w:r w:rsidRPr="00C62C22">
              <w:rPr>
                <w:rFonts w:ascii="Calibri Light" w:eastAsia="Times New Roman" w:hAnsi="Calibri Light" w:cs="Calibri Light"/>
                <w:sz w:val="23"/>
                <w:szCs w:val="23"/>
                <w:lang w:eastAsia="es-MX"/>
              </w:rPr>
              <w:t>se establece que el órgano descentralizado como ejecutor del gasto, debe incluir en su proyecto de presupuesto de egresos el número de plazas, todas las categorías laborales de los servidores públicos, así como el desglose de las remuneraciones por salarios, prestaciones de ley y cualquier otro concepto.</w:t>
            </w:r>
          </w:p>
        </w:tc>
      </w:tr>
      <w:tr w:rsidR="00712D4A" w:rsidRPr="00C62C22" w:rsidTr="00DC3F4B">
        <w:trPr>
          <w:trHeight w:val="602"/>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IX</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gastos de representación y viáticos, así como el objeto e informe de comisión correspondiente;</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w:t>
            </w:r>
            <w:r w:rsidRPr="00C62C22">
              <w:rPr>
                <w:rFonts w:ascii="Calibri Light" w:eastAsia="Times New Roman" w:hAnsi="Calibri Light" w:cs="Calibri Light"/>
                <w:sz w:val="23"/>
                <w:szCs w:val="23"/>
                <w:lang w:eastAsia="es-MX"/>
              </w:rPr>
              <w:lastRenderedPageBreak/>
              <w:t>disposiciones aplicables para la autorización de gastos de representación.</w:t>
            </w:r>
          </w:p>
        </w:tc>
      </w:tr>
      <w:tr w:rsidR="00712D4A" w:rsidRPr="00C62C22" w:rsidTr="00DC3F4B">
        <w:trPr>
          <w:trHeight w:val="1234"/>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El número total de las plazas y del personal de base y confianza, especificando el total de las vacantes, por nivel de puesto, para cada unidad administrativa;</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 señalado en el artículo 39 de la Ley del Presupuesto y Contabilidad Gubernamental del Estado de Yucatán; toda vez que dicho numeral establece que los ejecutores del gasto, entre ellos los organismos descentralizados, deben incluir en sus proyectos de presupuestos de egresos el número de plazas, todas las categorías laborales de los servidores públicos, así como el desglose de las remuneraciones por salarios, prestaciones de ley y cualquier otro concepto.</w:t>
            </w:r>
          </w:p>
        </w:tc>
      </w:tr>
      <w:tr w:rsidR="00712D4A" w:rsidRPr="00C62C22" w:rsidTr="00E33870">
        <w:trPr>
          <w:trHeight w:val="970"/>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contrataciones de servicios profesionales por honorarios, señalando los nombres de los prestadores de servicios, los servicios contratados, el monto de los honorarios y el periodo de contratación;</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 señalado en el artículo 123 de la Ley del Presupuesto y Contabilidad Gubernamental del Estado de Yucatán, toda vez que el citado numeral posibilita a los ejecutores del gasto, entre ellos a los organismos descentralizados, a contratar servicios profesionales, debiéndose sujetar a los requisitos señalados en dicho artículo.</w:t>
            </w:r>
          </w:p>
        </w:tc>
      </w:tr>
      <w:tr w:rsidR="00712D4A" w:rsidRPr="00C62C22" w:rsidTr="00DC3F4B">
        <w:trPr>
          <w:trHeight w:val="160"/>
          <w:jc w:val="center"/>
        </w:trPr>
        <w:tc>
          <w:tcPr>
            <w:tcW w:w="810" w:type="dxa"/>
            <w:shd w:val="clear" w:color="auto" w:fill="auto"/>
            <w:vAlign w:val="center"/>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XII</w:t>
            </w:r>
          </w:p>
        </w:tc>
        <w:tc>
          <w:tcPr>
            <w:tcW w:w="4106" w:type="dxa"/>
            <w:shd w:val="clear" w:color="auto" w:fill="auto"/>
            <w:vAlign w:val="center"/>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 información en Versión Pública de las declaraciones patrimoniales de los Servidores Públicos que así lo determinen, en los sistemas habilitados para ello, de acuerdo a la normatividad aplicable;</w:t>
            </w:r>
          </w:p>
        </w:tc>
        <w:tc>
          <w:tcPr>
            <w:tcW w:w="4397" w:type="dxa"/>
            <w:shd w:val="clear" w:color="auto" w:fill="auto"/>
            <w:vAlign w:val="center"/>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No le es aplicable, por no encontrarse dentro del ámbito de sus facultades, competencias y funciones; toda vez que de conformidad con lo señalado en el artículo 46 fracción VII del Código de la Administración Pública de Yucatán, </w:t>
            </w:r>
            <w:r w:rsidRPr="00C62C22">
              <w:rPr>
                <w:rFonts w:ascii="Calibri Light" w:eastAsia="Times New Roman" w:hAnsi="Calibri Light" w:cs="Times New Roman"/>
                <w:color w:val="000000"/>
                <w:sz w:val="23"/>
                <w:szCs w:val="23"/>
                <w:lang w:eastAsia="es-MX"/>
              </w:rPr>
              <w:t>le corresponde a la Secretaría de la Contraloría General del Estado (SECOGEY) en términos de los artículos 28 y 29 de la Ley de Responsabilidades Administrativas del Estado de Yucatán, recibir y registrar las declaraciones de situación patrimonial de los servidores públicos del Estado.</w:t>
            </w:r>
          </w:p>
        </w:tc>
      </w:tr>
      <w:tr w:rsidR="00712D4A" w:rsidRPr="00C62C22" w:rsidTr="00DC3F4B">
        <w:trPr>
          <w:trHeight w:val="989"/>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XIII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El domicilio de la Unidad de Transparencia, además de la dirección electrónica donde podrán recibirse las solicitudes para obtener la información;</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ya que la publicación de la información permite que los ciudadanos puedan ejercer de manera fácil y accesible, su derecho de acceso a la información, ya que de </w:t>
            </w:r>
            <w:r w:rsidRPr="00C62C22">
              <w:rPr>
                <w:rFonts w:ascii="Calibri Light" w:eastAsia="Times New Roman" w:hAnsi="Calibri Light" w:cs="Calibri Light"/>
                <w:sz w:val="23"/>
                <w:szCs w:val="23"/>
                <w:lang w:eastAsia="es-MX"/>
              </w:rPr>
              <w:lastRenderedPageBreak/>
              <w:t>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712D4A" w:rsidRPr="00C62C22" w:rsidTr="00DC3F4B">
        <w:trPr>
          <w:trHeight w:val="745"/>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XIV</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convocatorias a concursos para ocupar cargos públicos y los resultados de los mismos;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toda vez que de conformidad con el decreto que regula su funcionamiento y lo dispuesto en el artículo 116 fracción VI del Código de la Administración Pública de Yucatán, el Director General o su equivalente, cuenta con atribuciones para nombrar y remover libremente a los servidores públicos de su entidad, que ocupen cargos con la jerarquía inmediata inferior a la de éste, aunado a que la junta de gobierno tiene facultades suficientes para aprobar las normas, políticas y bases generales para las contrataciones de servicios, de conformidad con lo señalado en el artículo 614 fracción III del Reglamento del Código de la Administración Pública de Yucatán; por lo que bajo esta premisa, se infiere que el titular del sujeto obligado no se encuentra impedido a realizar o implementar procedimientos convocatorios, no obstante lo anterior, en concordancia con lo señalado en los Lineamientos técnicos generales, se publicarán los avisos, invitaciones y/o convocatorias que se emitan para ocupar cualquier tipo de cargo, puesto o equivalente.</w:t>
            </w:r>
          </w:p>
        </w:tc>
      </w:tr>
      <w:tr w:rsidR="00712D4A" w:rsidRPr="00C62C22" w:rsidTr="00DC3F4B">
        <w:trPr>
          <w:trHeight w:val="886"/>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XV</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La información de los programas de subsidios, estímulos y apoyos, en el que se deberá informar respecto de los programas </w:t>
            </w:r>
            <w:r w:rsidRPr="00C62C22">
              <w:rPr>
                <w:rFonts w:ascii="Calibri Light" w:eastAsia="Times New Roman" w:hAnsi="Calibri Light" w:cs="Calibri Light"/>
                <w:sz w:val="23"/>
                <w:szCs w:val="23"/>
                <w:lang w:eastAsia="es-MX"/>
              </w:rPr>
              <w:lastRenderedPageBreak/>
              <w:t>de transferencia, de servicios, de infraestructura social y de subsidio, en los que se deberá contener lo siguiente:</w:t>
            </w:r>
          </w:p>
        </w:tc>
        <w:tc>
          <w:tcPr>
            <w:tcW w:w="4397" w:type="dxa"/>
            <w:shd w:val="clear" w:color="auto" w:fill="auto"/>
            <w:vAlign w:val="center"/>
            <w:hideMark/>
          </w:tcPr>
          <w:p w:rsidR="00712D4A" w:rsidRPr="00C62C22" w:rsidRDefault="00712D4A" w:rsidP="00FA73C0">
            <w:pPr>
              <w:autoSpaceDE w:val="0"/>
              <w:autoSpaceDN w:val="0"/>
              <w:adjustRightInd w:val="0"/>
              <w:spacing w:after="0" w:line="240" w:lineRule="auto"/>
              <w:jc w:val="both"/>
              <w:rPr>
                <w:rFonts w:ascii="Calibri Light" w:hAnsi="Calibri Light" w:cs="Arial"/>
                <w:sz w:val="23"/>
                <w:szCs w:val="23"/>
              </w:rPr>
            </w:pPr>
            <w:r w:rsidRPr="00C62C22">
              <w:rPr>
                <w:rFonts w:ascii="Calibri Light" w:hAnsi="Calibri Light"/>
                <w:sz w:val="23"/>
                <w:szCs w:val="23"/>
              </w:rPr>
              <w:lastRenderedPageBreak/>
              <w:t xml:space="preserve">Le es aplicable, </w:t>
            </w:r>
            <w:r w:rsidR="00FA73C0">
              <w:rPr>
                <w:rFonts w:ascii="Calibri Light" w:hAnsi="Calibri Light"/>
                <w:sz w:val="23"/>
                <w:szCs w:val="23"/>
              </w:rPr>
              <w:t xml:space="preserve">lo anterior </w:t>
            </w:r>
            <w:r w:rsidRPr="00C62C22">
              <w:rPr>
                <w:rFonts w:ascii="Calibri Light" w:hAnsi="Calibri Light"/>
                <w:sz w:val="23"/>
                <w:szCs w:val="23"/>
              </w:rPr>
              <w:t xml:space="preserve">de conformidad con lo señalado en los artículos 132, 133, 134, 135, 135 Bis, 136, 137 y </w:t>
            </w:r>
            <w:r w:rsidR="00B46EF6">
              <w:rPr>
                <w:rFonts w:ascii="Calibri Light" w:hAnsi="Calibri Light"/>
                <w:sz w:val="23"/>
                <w:szCs w:val="23"/>
              </w:rPr>
              <w:t xml:space="preserve">138 de la Ley de </w:t>
            </w:r>
            <w:r w:rsidR="00B46EF6">
              <w:rPr>
                <w:rFonts w:ascii="Calibri Light" w:hAnsi="Calibri Light"/>
                <w:sz w:val="23"/>
                <w:szCs w:val="23"/>
              </w:rPr>
              <w:lastRenderedPageBreak/>
              <w:t>Presupuesto y C</w:t>
            </w:r>
            <w:r w:rsidRPr="00C62C22">
              <w:rPr>
                <w:rFonts w:ascii="Calibri Light" w:hAnsi="Calibri Light"/>
                <w:sz w:val="23"/>
                <w:szCs w:val="23"/>
              </w:rPr>
              <w:t>ontabilidad Gubernamental del Estado de Y</w:t>
            </w:r>
            <w:r w:rsidR="00FA73C0">
              <w:rPr>
                <w:rFonts w:ascii="Calibri Light" w:hAnsi="Calibri Light"/>
                <w:sz w:val="23"/>
                <w:szCs w:val="23"/>
              </w:rPr>
              <w:t>ucatán, en los que se establece</w:t>
            </w:r>
            <w:r w:rsidRPr="00C62C22">
              <w:rPr>
                <w:rFonts w:ascii="Calibri Light" w:hAnsi="Calibri Light"/>
                <w:sz w:val="23"/>
                <w:szCs w:val="23"/>
              </w:rPr>
              <w:t xml:space="preserve"> que el Poder Ejecutivo a través de la Secretaría de Administración y Finanzas, autorizará la ministración de las transferencias, subsidios y ayudas que con cargo a los presupuestos de las dependencias y entidades, se aprueben en el presupuesto de egresos, y que los titulares de las dependencias y entidades, en el ámbito de sus respectivas competencias, serán las responsables de vigilar que la ministración de transferencias, subsidios y ayudas, se otorguen y ejerzan de conformidad con las disposiciones legales y normativas aplicables. En razón de lo anterior se determinó que el sujeto obligado no se encuentra impedido para operar y administrar los programas señalados, por lo que se determina que le es aplicable a este organismo, por lo que de no contar con programas de subsidios, estímulos y apoyos, bastará con especificar las razones por las cuales algún rubro no pueda ser actualizado mediante una leyenda fundada, motivada y actualizada al periodo que corresponda, en términos de la normatividad aplicable.</w:t>
            </w:r>
          </w:p>
        </w:tc>
      </w:tr>
      <w:tr w:rsidR="00712D4A" w:rsidRPr="00C62C22" w:rsidTr="00DC3F4B">
        <w:trPr>
          <w:trHeight w:val="744"/>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XVI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 señalado en la fracción X del artículo 116 del Código de la Administración Pública de Yucatán, el cual otorga la facultad a los Directores generales o equivalentes de las entidades paraestatales, para suscribir contratos individuales y colectivos que regulen las relaciones laborales de la entidad con sus trabajadores.</w:t>
            </w:r>
          </w:p>
        </w:tc>
      </w:tr>
      <w:tr w:rsidR="00712D4A" w:rsidRPr="00C62C22" w:rsidTr="00DC3F4B">
        <w:trPr>
          <w:trHeight w:val="1362"/>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XVII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 información curricular, desde el nivel de jefe de departamento o equivalente, hasta el titular del sujeto obligado, así como, en su caso, las sanciones administrativas de que haya sido objeto;</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toda vez que la publicación de esta información, brindará certeza a los particulares de que las personas más capacitadas acorde a las áreas solicitadas, ejercerán las funciones en la administración </w:t>
            </w:r>
            <w:r w:rsidRPr="00C62C22">
              <w:rPr>
                <w:rFonts w:ascii="Calibri Light" w:eastAsia="Times New Roman" w:hAnsi="Calibri Light" w:cs="Calibri Light"/>
                <w:sz w:val="23"/>
                <w:szCs w:val="23"/>
                <w:lang w:eastAsia="es-MX"/>
              </w:rPr>
              <w:lastRenderedPageBreak/>
              <w:t>pública, aunado a que permitirá conocer las infracciones y faltas que haya cometido el servidor público.</w:t>
            </w:r>
          </w:p>
        </w:tc>
      </w:tr>
      <w:tr w:rsidR="00712D4A" w:rsidRPr="00C62C22" w:rsidTr="00DC3F4B">
        <w:trPr>
          <w:trHeight w:val="780"/>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XVIII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El listado de Servidores Públicos con sanciones administrativas definitivas, especificando la causa de sanción y la disposición;</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toda vez que </w:t>
            </w:r>
            <w:r w:rsidR="005F52D5" w:rsidRPr="00C62C22">
              <w:rPr>
                <w:rFonts w:ascii="Calibri Light" w:eastAsia="Times New Roman" w:hAnsi="Calibri Light" w:cs="Calibri Light"/>
                <w:sz w:val="23"/>
                <w:szCs w:val="23"/>
                <w:lang w:eastAsia="es-MX"/>
              </w:rPr>
              <w:t xml:space="preserve">de </w:t>
            </w:r>
            <w:r w:rsidRPr="00C62C22">
              <w:rPr>
                <w:rFonts w:ascii="Calibri Light" w:eastAsia="Times New Roman" w:hAnsi="Calibri Light" w:cs="Calibri Light"/>
                <w:sz w:val="23"/>
                <w:szCs w:val="23"/>
                <w:lang w:eastAsia="es-MX"/>
              </w:rPr>
              <w:t>conformidad con lo dispuesto en los Lineamientos técnicos generales,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de que deberán incluir un hipervínculo al sistema de registro de sanciones administrativas que les corresponda.</w:t>
            </w:r>
          </w:p>
        </w:tc>
      </w:tr>
      <w:tr w:rsidR="00712D4A" w:rsidRPr="00C62C22" w:rsidTr="00DC3F4B">
        <w:trPr>
          <w:trHeight w:val="256"/>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XIX</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servicios que ofrecen señalando los requisitos para acceder a ellos;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 señalado en el artículo 3 del decreto por el que se regula su funcionamiento, toda vez que tiene por objeto proporcionar servicios médicos de alta especialidad, no obstante lo anterior,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712D4A" w:rsidRPr="00C62C22" w:rsidTr="00DC3F4B">
        <w:trPr>
          <w:trHeight w:val="501"/>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trámites, requisitos y formatos que ofrecen;</w:t>
            </w:r>
          </w:p>
        </w:tc>
        <w:tc>
          <w:tcPr>
            <w:tcW w:w="4397" w:type="dxa"/>
            <w:shd w:val="clear" w:color="auto" w:fill="auto"/>
            <w:vAlign w:val="center"/>
            <w:hideMark/>
          </w:tcPr>
          <w:p w:rsidR="00712D4A" w:rsidRPr="00C62C22" w:rsidRDefault="00712D4A" w:rsidP="00DC3F4B">
            <w:pPr>
              <w:autoSpaceDE w:val="0"/>
              <w:autoSpaceDN w:val="0"/>
              <w:adjustRightInd w:val="0"/>
              <w:spacing w:after="0" w:line="240" w:lineRule="auto"/>
              <w:jc w:val="both"/>
              <w:rPr>
                <w:rFonts w:ascii="Calibri Light" w:hAnsi="Calibri Light" w:cs="Arial"/>
                <w:sz w:val="23"/>
                <w:szCs w:val="23"/>
              </w:rPr>
            </w:pPr>
            <w:r w:rsidRPr="00C62C22">
              <w:rPr>
                <w:rFonts w:ascii="Calibri Light" w:eastAsia="Times New Roman" w:hAnsi="Calibri Light" w:cs="Calibri Light"/>
                <w:sz w:val="23"/>
                <w:szCs w:val="23"/>
                <w:lang w:eastAsia="es-MX"/>
              </w:rPr>
              <w:t xml:space="preserve">Le es aplicable, toda vez que de conformidad con el artículo 3 del decreto que regula su funcionamiento, la generación de la información a que se refiere esta fracción, se encuentra dentro del ámbito de sus facultades, competencias y funciones. </w:t>
            </w:r>
          </w:p>
        </w:tc>
      </w:tr>
      <w:tr w:rsidR="00712D4A" w:rsidRPr="00C62C22" w:rsidTr="00DC3F4B">
        <w:trPr>
          <w:trHeight w:val="1479"/>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XXI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de conformidad con lo señalado en el artículo 107 del Código de la Administración Pública del Estado de Yucatán y el artículo 638 fracción III del Reglamento del Código de la Administración Pública del Estado de Yucatán; lo anterior en concordancia con lo señalado en los artículos 5 y 6 fracción II, y del capítulo II del Título Quinto </w:t>
            </w:r>
            <w:r w:rsidRPr="00C62C22">
              <w:rPr>
                <w:rFonts w:ascii="Calibri Light" w:hAnsi="Calibri Light" w:cs="Calibri Light"/>
                <w:sz w:val="23"/>
                <w:szCs w:val="23"/>
              </w:rPr>
              <w:t xml:space="preserve">de la </w:t>
            </w:r>
            <w:r w:rsidRPr="00C62C22">
              <w:rPr>
                <w:rFonts w:ascii="Calibri Light" w:eastAsia="Times New Roman" w:hAnsi="Calibri Light" w:cs="Calibri Light"/>
                <w:sz w:val="23"/>
                <w:szCs w:val="23"/>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712D4A" w:rsidRPr="00C62C22" w:rsidTr="00DC3F4B">
        <w:trPr>
          <w:trHeight w:val="501"/>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 información relativa a la deuda pública, en términos de la normatividad aplicable;</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toda vez que de conformidad con lo señalado en los artículos 1 fracción I, 7 </w:t>
            </w:r>
            <w:proofErr w:type="gramStart"/>
            <w:r w:rsidRPr="00C62C22">
              <w:rPr>
                <w:rFonts w:ascii="Calibri Light" w:eastAsia="Times New Roman" w:hAnsi="Calibri Light" w:cs="Calibri Light"/>
                <w:sz w:val="23"/>
                <w:szCs w:val="23"/>
                <w:lang w:eastAsia="es-MX"/>
              </w:rPr>
              <w:t>fracción</w:t>
            </w:r>
            <w:proofErr w:type="gramEnd"/>
            <w:r w:rsidRPr="00C62C22">
              <w:rPr>
                <w:rFonts w:ascii="Calibri Light" w:eastAsia="Times New Roman" w:hAnsi="Calibri Light" w:cs="Calibri Light"/>
                <w:sz w:val="23"/>
                <w:szCs w:val="23"/>
                <w:lang w:eastAsia="es-MX"/>
              </w:rPr>
              <w:t xml:space="preserve"> X y 12 de la Ley de Deuda Pública del Estado de Yucatán, las entidades paraestatales pueden contratar y gestionar deuda, siempre y cuando acrediten solvencia suficiente para afrontar los compromisos que pretenden contraer o adquirir.</w:t>
            </w:r>
          </w:p>
        </w:tc>
      </w:tr>
      <w:tr w:rsidR="00712D4A" w:rsidRPr="00C62C22" w:rsidTr="00DC3F4B">
        <w:trPr>
          <w:trHeight w:val="989"/>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XXIII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montos destinados a gastos relativos a comunicación social y publicidad oficial desglosada por tipo de medio, proveedores, número de contrato y concepto o campaña;</w:t>
            </w:r>
          </w:p>
        </w:tc>
        <w:tc>
          <w:tcPr>
            <w:tcW w:w="4397" w:type="dxa"/>
            <w:shd w:val="clear" w:color="auto" w:fill="auto"/>
            <w:vAlign w:val="center"/>
            <w:hideMark/>
          </w:tcPr>
          <w:p w:rsidR="00712D4A" w:rsidRPr="00C62C22" w:rsidRDefault="00712D4A" w:rsidP="00DC3F4B">
            <w:pPr>
              <w:spacing w:after="0" w:line="240" w:lineRule="auto"/>
              <w:jc w:val="both"/>
              <w:rPr>
                <w:rFonts w:ascii="Calibri Light" w:hAnsi="Calibri Light" w:cs="Calibri Light"/>
                <w:sz w:val="23"/>
                <w:szCs w:val="23"/>
              </w:rPr>
            </w:pPr>
            <w:r w:rsidRPr="00C62C22">
              <w:rPr>
                <w:rFonts w:ascii="Calibri Light" w:eastAsia="Times New Roman" w:hAnsi="Calibri Light" w:cs="Calibri Light"/>
                <w:sz w:val="23"/>
                <w:szCs w:val="23"/>
                <w:lang w:eastAsia="es-MX"/>
              </w:rPr>
              <w:t>Le es aplicable de conformidad con lo señalado en el artículo 44 de la Ley de Presupuesto y Contabilidad Gubernamental del Estado de Yucatán, que prevé que para el caso de las entidades paraestatales, los gastos destinados al rubro de comunicación social, deberán ser autorizados por la dependencia de la administración pública competente y adicionalmente por su órgano de gobierno.</w:t>
            </w:r>
          </w:p>
        </w:tc>
      </w:tr>
      <w:tr w:rsidR="00712D4A" w:rsidRPr="00C62C22" w:rsidTr="00DC3F4B">
        <w:trPr>
          <w:trHeight w:val="989"/>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XXIV</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informes de resultados de las auditorías al ejercicio presupuestal de cada sujeto obligado que se realicen y, en su caso, las aclaraciones que correspondan;</w:t>
            </w:r>
          </w:p>
        </w:tc>
        <w:tc>
          <w:tcPr>
            <w:tcW w:w="4397" w:type="dxa"/>
            <w:shd w:val="clear" w:color="auto" w:fill="auto"/>
            <w:vAlign w:val="center"/>
            <w:hideMark/>
          </w:tcPr>
          <w:p w:rsidR="00712D4A" w:rsidRPr="00C62C22" w:rsidRDefault="00712D4A" w:rsidP="00FA73C0">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theme="majorHAnsi"/>
                <w:sz w:val="23"/>
                <w:szCs w:val="23"/>
              </w:rPr>
              <w:t xml:space="preserve">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w:t>
            </w:r>
            <w:r w:rsidR="00FA73C0">
              <w:rPr>
                <w:rFonts w:ascii="Calibri Light" w:eastAsia="Times New Roman" w:hAnsi="Calibri Light" w:cstheme="majorHAnsi"/>
                <w:sz w:val="23"/>
                <w:szCs w:val="23"/>
              </w:rPr>
              <w:t xml:space="preserve">el artículo 76 </w:t>
            </w:r>
            <w:r w:rsidRPr="00C62C22">
              <w:rPr>
                <w:rFonts w:ascii="Calibri Light" w:eastAsia="Times New Roman" w:hAnsi="Calibri Light" w:cstheme="majorHAnsi"/>
                <w:sz w:val="23"/>
                <w:szCs w:val="23"/>
              </w:rPr>
              <w:t xml:space="preserve">de la Ley de </w:t>
            </w:r>
            <w:r w:rsidRPr="00C62C22">
              <w:rPr>
                <w:rFonts w:ascii="Calibri Light" w:eastAsia="Times New Roman" w:hAnsi="Calibri Light" w:cstheme="majorHAnsi"/>
                <w:sz w:val="23"/>
                <w:szCs w:val="23"/>
              </w:rPr>
              <w:lastRenderedPageBreak/>
              <w:t>Fiscalización de la Cuenta Pública del Estado de Yucatán; y en lo que respecta a las auditorías internas, estas se refieren a las revisiones realizadas por el órgano de control interno.</w:t>
            </w:r>
          </w:p>
        </w:tc>
      </w:tr>
      <w:tr w:rsidR="00712D4A" w:rsidRPr="00C62C22" w:rsidTr="00DC3F4B">
        <w:trPr>
          <w:trHeight w:val="501"/>
          <w:jc w:val="center"/>
        </w:trPr>
        <w:tc>
          <w:tcPr>
            <w:tcW w:w="810" w:type="dxa"/>
            <w:shd w:val="clear" w:color="auto" w:fill="auto"/>
            <w:vAlign w:val="center"/>
            <w:hideMark/>
          </w:tcPr>
          <w:p w:rsidR="00712D4A" w:rsidRPr="00FA73C0" w:rsidRDefault="00712D4A" w:rsidP="00DC3F4B">
            <w:pPr>
              <w:spacing w:after="0" w:line="240" w:lineRule="auto"/>
              <w:jc w:val="center"/>
              <w:rPr>
                <w:rFonts w:ascii="Calibri Light" w:eastAsia="Times New Roman" w:hAnsi="Calibri Light" w:cs="Calibri Light"/>
                <w:sz w:val="23"/>
                <w:szCs w:val="23"/>
                <w:lang w:eastAsia="es-MX"/>
              </w:rPr>
            </w:pPr>
            <w:r w:rsidRPr="00FA73C0">
              <w:rPr>
                <w:rFonts w:ascii="Calibri Light" w:eastAsia="Times New Roman" w:hAnsi="Calibri Light" w:cs="Calibri Light"/>
                <w:sz w:val="23"/>
                <w:szCs w:val="23"/>
                <w:lang w:eastAsia="es-MX"/>
              </w:rPr>
              <w:lastRenderedPageBreak/>
              <w:t>XXV</w:t>
            </w:r>
          </w:p>
        </w:tc>
        <w:tc>
          <w:tcPr>
            <w:tcW w:w="4106" w:type="dxa"/>
            <w:shd w:val="clear" w:color="auto" w:fill="auto"/>
            <w:vAlign w:val="center"/>
            <w:hideMark/>
          </w:tcPr>
          <w:p w:rsidR="00712D4A" w:rsidRPr="00FA73C0" w:rsidRDefault="00712D4A" w:rsidP="00DC3F4B">
            <w:pPr>
              <w:spacing w:after="0" w:line="240" w:lineRule="auto"/>
              <w:jc w:val="both"/>
              <w:rPr>
                <w:rFonts w:ascii="Calibri Light" w:eastAsia="Times New Roman" w:hAnsi="Calibri Light" w:cs="Calibri Light"/>
                <w:sz w:val="23"/>
                <w:szCs w:val="23"/>
                <w:lang w:eastAsia="es-MX"/>
              </w:rPr>
            </w:pPr>
            <w:r w:rsidRPr="00FA73C0">
              <w:rPr>
                <w:rFonts w:ascii="Calibri Light" w:eastAsia="Times New Roman" w:hAnsi="Calibri Light" w:cs="Calibri Light"/>
                <w:sz w:val="23"/>
                <w:szCs w:val="23"/>
                <w:lang w:eastAsia="es-MX"/>
              </w:rPr>
              <w:t xml:space="preserve">El resultado de la </w:t>
            </w:r>
            <w:proofErr w:type="spellStart"/>
            <w:r w:rsidRPr="00FA73C0">
              <w:rPr>
                <w:rFonts w:ascii="Calibri Light" w:eastAsia="Times New Roman" w:hAnsi="Calibri Light" w:cs="Calibri Light"/>
                <w:sz w:val="23"/>
                <w:szCs w:val="23"/>
                <w:lang w:eastAsia="es-MX"/>
              </w:rPr>
              <w:t>dictaminación</w:t>
            </w:r>
            <w:proofErr w:type="spellEnd"/>
            <w:r w:rsidRPr="00FA73C0">
              <w:rPr>
                <w:rFonts w:ascii="Calibri Light" w:eastAsia="Times New Roman" w:hAnsi="Calibri Light" w:cs="Calibri Light"/>
                <w:sz w:val="23"/>
                <w:szCs w:val="23"/>
                <w:lang w:eastAsia="es-MX"/>
              </w:rPr>
              <w:t xml:space="preserve"> de los estados financieros;</w:t>
            </w:r>
          </w:p>
        </w:tc>
        <w:tc>
          <w:tcPr>
            <w:tcW w:w="4397" w:type="dxa"/>
            <w:shd w:val="clear" w:color="auto" w:fill="auto"/>
            <w:vAlign w:val="center"/>
            <w:hideMark/>
          </w:tcPr>
          <w:p w:rsidR="00712D4A" w:rsidRPr="00FA73C0" w:rsidRDefault="00FA73C0" w:rsidP="007123CC">
            <w:pPr>
              <w:spacing w:after="0" w:line="240" w:lineRule="auto"/>
              <w:jc w:val="both"/>
              <w:rPr>
                <w:rFonts w:ascii="Calibri Light" w:eastAsia="Times New Roman" w:hAnsi="Calibri Light" w:cs="Calibri Light"/>
                <w:sz w:val="23"/>
                <w:szCs w:val="23"/>
                <w:highlight w:val="yellow"/>
                <w:lang w:eastAsia="es-MX"/>
              </w:rPr>
            </w:pPr>
            <w:r w:rsidRPr="00FA73C0">
              <w:rPr>
                <w:rFonts w:ascii="Calibri Light" w:eastAsia="Times New Roman" w:hAnsi="Calibri Light" w:cs="Calibri Light"/>
                <w:sz w:val="23"/>
                <w:szCs w:val="23"/>
                <w:lang w:eastAsia="es-MX"/>
              </w:rPr>
              <w:t xml:space="preserve">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w:t>
            </w:r>
            <w:r w:rsidR="00B46EF6">
              <w:rPr>
                <w:rFonts w:ascii="Calibri Light" w:eastAsia="Times New Roman" w:hAnsi="Calibri Light" w:cs="Calibri Light"/>
                <w:sz w:val="23"/>
                <w:szCs w:val="23"/>
                <w:lang w:eastAsia="es-MX"/>
              </w:rPr>
              <w:t xml:space="preserve">señalar de forma fundada y motivada la no disponibilidad de la </w:t>
            </w:r>
            <w:r w:rsidR="007123CC">
              <w:rPr>
                <w:rFonts w:ascii="Calibri Light" w:eastAsia="Times New Roman" w:hAnsi="Calibri Light" w:cs="Calibri Light"/>
                <w:sz w:val="23"/>
                <w:szCs w:val="23"/>
                <w:lang w:eastAsia="es-MX"/>
              </w:rPr>
              <w:t>misma</w:t>
            </w:r>
            <w:r w:rsidR="00B46EF6">
              <w:rPr>
                <w:rFonts w:ascii="Calibri Light" w:eastAsia="Times New Roman" w:hAnsi="Calibri Light" w:cs="Calibri Light"/>
                <w:sz w:val="23"/>
                <w:szCs w:val="23"/>
                <w:lang w:eastAsia="es-MX"/>
              </w:rPr>
              <w:t>.</w:t>
            </w:r>
          </w:p>
        </w:tc>
      </w:tr>
      <w:tr w:rsidR="00712D4A" w:rsidRPr="00C62C22" w:rsidTr="00DC3F4B">
        <w:trPr>
          <w:trHeight w:val="1967"/>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XXVI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theme="majorHAnsi"/>
                <w:sz w:val="23"/>
                <w:szCs w:val="23"/>
                <w:lang w:eastAsia="es-MX"/>
              </w:rPr>
              <w:t>Le es aplicable, toda vez que de conformidad con lo dispuesto en la fracción V del artículo 5 y el artículo 137 de la Ley del Presupu</w:t>
            </w:r>
            <w:bookmarkStart w:id="0" w:name="_GoBack"/>
            <w:bookmarkEnd w:id="0"/>
            <w:r w:rsidRPr="00C62C22">
              <w:rPr>
                <w:rFonts w:ascii="Calibri Light" w:eastAsia="Times New Roman" w:hAnsi="Calibri Light" w:cstheme="majorHAnsi"/>
                <w:sz w:val="23"/>
                <w:szCs w:val="23"/>
                <w:lang w:eastAsia="es-MX"/>
              </w:rPr>
              <w:t>esto y Contabilidad Gubernamental del Estado de Yucatán, los ejecutores del gastos, entre ellos las entidades de la administración pública paraestatal, pueden otorgar excepcionalmente ayudas a personas físicas o morales, siempre que cuente con suficiencia presupuestal, reúna los requisitos establecidos en el reglamento y medie autorización previa.</w:t>
            </w:r>
          </w:p>
        </w:tc>
      </w:tr>
      <w:tr w:rsidR="00712D4A" w:rsidRPr="00C62C22" w:rsidTr="00DC3F4B">
        <w:trPr>
          <w:trHeight w:val="602"/>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XXVII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en lo relativo a contratos y convenios, lo anterior de conformidad con los artículos 6 fracción V y 15 fracción I del decreto que regula su funcionamiento,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712D4A" w:rsidRPr="00C62C22" w:rsidTr="00DC3F4B">
        <w:trPr>
          <w:trHeight w:val="1723"/>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XXVIII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toda vez que para la adquisición de bienes muebles, arrendamientos de bienes muebles y de prestación de servicios relacionados con dichos bienes, el sujeto obligado debe observar lo dispuesto por la Ley de Adquisiciones, Arrendamientos y Prestación de Servicios Relacionados con Bienes Muebles del Estado, esto de conformidad con los artículos 1, 2 fracción V y 8 de dicha Ley; asimismo para realización de obra pública, le son aplicables las disposiciones de la Ley de Obra Pública y Servicios Conexos del Estado de Yucatán, de conformidad con lo señalado en el artículo 1 de dicho ordenamiento.</w:t>
            </w:r>
          </w:p>
        </w:tc>
      </w:tr>
      <w:tr w:rsidR="00712D4A" w:rsidRPr="00C62C22" w:rsidTr="00DC3F4B">
        <w:trPr>
          <w:trHeight w:val="629"/>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XXIX</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informes que por disposición legal generen los sujetos obligados;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toda vez que de conformidad con el artículo 15 fracción VII del decreto que regula su funcionamiento, y el artículo 116 fracción VIII del Código de la Administración Pública de Yucatán, el Director General debe presentar periódicamente al órgano de gobierno, el informe del desempeño de la entidad, asimismo en el artículo 624 fracción I, inciso a, del Reglamento del Código de la Administración Pública de Yucatán, se señala que en la Primera Sesión del año de la Junta de Gobierno, se deberá presentar el informe de gestión del titular de la entidad, correspondiente al ejercicio del año anterior.</w:t>
            </w:r>
          </w:p>
        </w:tc>
      </w:tr>
      <w:tr w:rsidR="00712D4A" w:rsidRPr="00C62C22" w:rsidTr="00DC3F4B">
        <w:trPr>
          <w:trHeight w:val="885"/>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XXX</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estadísticas que generen en cumplimiento de sus facultades, competencias o funciones con la mayor desagregación posible;</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Times New Roman"/>
                <w:color w:val="000000"/>
                <w:sz w:val="23"/>
                <w:szCs w:val="23"/>
                <w:lang w:eastAsia="es-MX"/>
              </w:rPr>
              <w:t xml:space="preserve">Le es aplicable, considerando que los Lineamientos técnicos generales, disponen que todos los sujetos obligados deben publicar una relación de las estadísticas de cualquier tipo que hayan generado en cumplimiento de su competencia, facultades y/o funciones. </w:t>
            </w:r>
          </w:p>
        </w:tc>
      </w:tr>
      <w:tr w:rsidR="00712D4A" w:rsidRPr="00C62C22" w:rsidTr="00DC3F4B">
        <w:trPr>
          <w:trHeight w:val="256"/>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XXXI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Informe de avances programáticos o presupuestales, balances generales y su estado financiero;</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de conformidad con lo señalado en el artículo 156 de la Ley del Presupuesto y Contabilidad Gubernamental del Estado de Yucatán y los artículos 69 y 70 de la Ley de Fiscalización de la Cuenta Pública del </w:t>
            </w:r>
            <w:r w:rsidRPr="00C62C22">
              <w:rPr>
                <w:rFonts w:ascii="Calibri Light" w:eastAsia="Times New Roman" w:hAnsi="Calibri Light" w:cs="Calibri Light"/>
                <w:sz w:val="23"/>
                <w:szCs w:val="23"/>
                <w:lang w:eastAsia="es-MX"/>
              </w:rPr>
              <w:lastRenderedPageBreak/>
              <w:t>Estado de Yucatán, que señalan la información sobre los estados y la situación financiera que deben generar; y lo que se debe de reportar en el informe de avance de la gestión financiera, por los ejecutores del gasto, respectivamente.</w:t>
            </w:r>
          </w:p>
        </w:tc>
      </w:tr>
      <w:tr w:rsidR="00712D4A" w:rsidRPr="00C62C22" w:rsidTr="00DC3F4B">
        <w:trPr>
          <w:trHeight w:val="1145"/>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XXXII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Padrón de proveedores y contratistas;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Times New Roman"/>
                <w:color w:val="000000"/>
                <w:sz w:val="23"/>
                <w:szCs w:val="23"/>
                <w:lang w:eastAsia="es-MX"/>
              </w:rPr>
              <w:t xml:space="preserve">Le es aplicable, toda vez que de conformidad con el artículo 13 último párrafo de la </w:t>
            </w:r>
            <w:r w:rsidRPr="00C62C22">
              <w:rPr>
                <w:rFonts w:ascii="Calibri Light" w:eastAsia="Times New Roman" w:hAnsi="Calibri Light" w:cs="Calibri Light"/>
                <w:sz w:val="23"/>
                <w:szCs w:val="23"/>
                <w:lang w:eastAsia="es-MX"/>
              </w:rPr>
              <w:t>Ley de Adquisiciones, Arrendamientos y Prestación de Servicios Relacionados con Bienes Muebles del Estado, solo se podrán celebrar contratos con las personas inscritas en el padrón de proveedores, por lo que la información que para efecto de esta fracción publiquen los sujetos obligados, deberá guardar relación con dicho padrón.</w:t>
            </w:r>
          </w:p>
        </w:tc>
      </w:tr>
      <w:tr w:rsidR="00712D4A" w:rsidRPr="00C62C22" w:rsidTr="00DC3F4B">
        <w:trPr>
          <w:trHeight w:val="745"/>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XXXIII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convenios de coordinación de concertación con los sectores social y privado;</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toda vez que de conformidad con los artículos 3 fracción VIII y 6 fracción VIII del decreto que regula su funcionamiento y el artículo 76 fracción I del Código de la Administración Pública de Yucatán, se encuentra dentro del ámbito de sus facultades, competencias y funciones.</w:t>
            </w:r>
          </w:p>
        </w:tc>
      </w:tr>
      <w:tr w:rsidR="00712D4A" w:rsidRPr="00C62C22" w:rsidTr="00DC3F4B">
        <w:trPr>
          <w:trHeight w:val="501"/>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XXXIV</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El inventario de bienes muebles e inmuebles en posesión y propiedad;</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 señalado en el artículo 15 fracción VI del decreto que regula su funcionamiento y 155 de la Ley del Presupuesto y Contabilidad Gubernamental del Estado de Yucatán, pues señalan que el sujeto obligado debe realizar y actualizar el inventario de sus bienes.</w:t>
            </w:r>
          </w:p>
        </w:tc>
      </w:tr>
      <w:tr w:rsidR="00712D4A" w:rsidRPr="00C62C22" w:rsidTr="00DC3F4B">
        <w:trPr>
          <w:trHeight w:val="1234"/>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XXXV</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recomendaciones emitidas por los órganos públicos del Estado mexicano u organismos internacionales garantes de los derechos humanos, así como las acciones que han llevado a cabo para su atención;</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órganos descentralizados, quienes están obligados a responder dichas recomendaciones.</w:t>
            </w:r>
          </w:p>
        </w:tc>
      </w:tr>
      <w:tr w:rsidR="00712D4A" w:rsidRPr="00C62C22" w:rsidTr="00DC3F4B">
        <w:trPr>
          <w:trHeight w:val="745"/>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XXXVI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resoluciones y laudos que se emitan en procesos o procedimientos seguidos en forma de juicio;</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No le es aplicable, ya que de conformidad con el decreto que regula su funcionamiento y el artículo 66 del Código de la Administración Pública de Yucatán, no cuenta con facultades ni atribuciones para emitir sentencias o resoluciones de tipo judicial, jurisdiccional o arbitral, ni mucho menos para seguir procedimientos en forma de juicio.</w:t>
            </w:r>
          </w:p>
        </w:tc>
      </w:tr>
      <w:tr w:rsidR="00712D4A" w:rsidRPr="00C62C22" w:rsidTr="00DC3F4B">
        <w:trPr>
          <w:trHeight w:val="256"/>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XXXVII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mecanismos de participación ciudadana;</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No le es aplicable, toda vez que de conformidad con el decreto que regula su funcionamiento y el artículo 66 del Código de la Administración Pública de Yucatán, no se encuentra dentro de su ámbito de competencias, facultades o funciones.</w:t>
            </w:r>
          </w:p>
        </w:tc>
      </w:tr>
      <w:tr w:rsidR="00712D4A" w:rsidRPr="00C62C22" w:rsidTr="00BA1D32">
        <w:trPr>
          <w:trHeight w:val="1234"/>
          <w:jc w:val="center"/>
        </w:trPr>
        <w:tc>
          <w:tcPr>
            <w:tcW w:w="810" w:type="dxa"/>
            <w:shd w:val="clear" w:color="auto" w:fill="auto"/>
            <w:vAlign w:val="center"/>
            <w:hideMark/>
          </w:tcPr>
          <w:p w:rsidR="00712D4A" w:rsidRPr="00F55CD0" w:rsidRDefault="00712D4A" w:rsidP="00DC3F4B">
            <w:pPr>
              <w:spacing w:after="0" w:line="240" w:lineRule="auto"/>
              <w:jc w:val="center"/>
              <w:rPr>
                <w:rFonts w:ascii="Calibri Light" w:eastAsia="Times New Roman" w:hAnsi="Calibri Light" w:cs="Calibri Light"/>
                <w:sz w:val="23"/>
                <w:szCs w:val="23"/>
                <w:lang w:eastAsia="es-MX"/>
              </w:rPr>
            </w:pPr>
            <w:r w:rsidRPr="00F55CD0">
              <w:rPr>
                <w:rFonts w:ascii="Calibri Light" w:eastAsia="Times New Roman" w:hAnsi="Calibri Light" w:cs="Calibri Light"/>
                <w:sz w:val="23"/>
                <w:szCs w:val="23"/>
                <w:lang w:eastAsia="es-MX"/>
              </w:rPr>
              <w:t>XXXVIII</w:t>
            </w:r>
          </w:p>
        </w:tc>
        <w:tc>
          <w:tcPr>
            <w:tcW w:w="4106" w:type="dxa"/>
            <w:shd w:val="clear" w:color="auto" w:fill="auto"/>
            <w:vAlign w:val="center"/>
            <w:hideMark/>
          </w:tcPr>
          <w:p w:rsidR="00712D4A" w:rsidRPr="00F55CD0" w:rsidRDefault="00712D4A" w:rsidP="00DC3F4B">
            <w:pPr>
              <w:spacing w:after="0" w:line="240" w:lineRule="auto"/>
              <w:jc w:val="both"/>
              <w:rPr>
                <w:rFonts w:ascii="Calibri Light" w:eastAsia="Times New Roman" w:hAnsi="Calibri Light" w:cs="Calibri Light"/>
                <w:sz w:val="23"/>
                <w:szCs w:val="23"/>
                <w:lang w:eastAsia="es-MX"/>
              </w:rPr>
            </w:pPr>
            <w:r w:rsidRPr="00F55CD0">
              <w:rPr>
                <w:rFonts w:ascii="Calibri Light" w:eastAsia="Times New Roman" w:hAnsi="Calibri Light" w:cs="Calibri Light"/>
                <w:sz w:val="23"/>
                <w:szCs w:val="23"/>
                <w:lang w:eastAsia="es-MX"/>
              </w:rPr>
              <w:t>Los programas que ofrecen, incluyendo información sobre la población, objetivo y destino, así como los trámites, tiempos de respuesta, requisitos y formatos para acceder a los mismos;</w:t>
            </w:r>
          </w:p>
        </w:tc>
        <w:tc>
          <w:tcPr>
            <w:tcW w:w="4397" w:type="dxa"/>
            <w:shd w:val="clear" w:color="auto" w:fill="auto"/>
            <w:vAlign w:val="center"/>
            <w:hideMark/>
          </w:tcPr>
          <w:p w:rsidR="00712D4A" w:rsidRPr="00C62C22" w:rsidRDefault="00BA1D32" w:rsidP="00AA5C80">
            <w:pPr>
              <w:spacing w:after="0" w:line="240" w:lineRule="auto"/>
              <w:jc w:val="both"/>
              <w:rPr>
                <w:rFonts w:ascii="Calibri Light" w:eastAsia="Times New Roman" w:hAnsi="Calibri Light" w:cs="Calibri Light"/>
                <w:sz w:val="23"/>
                <w:szCs w:val="23"/>
                <w:lang w:eastAsia="es-MX"/>
              </w:rPr>
            </w:pPr>
            <w:r w:rsidRPr="00C62C22">
              <w:rPr>
                <w:rFonts w:ascii="Calibri Light" w:hAnsi="Calibri Light"/>
                <w:sz w:val="23"/>
                <w:szCs w:val="23"/>
              </w:rPr>
              <w:t xml:space="preserve">Le es aplicable, </w:t>
            </w:r>
            <w:r>
              <w:rPr>
                <w:rFonts w:ascii="Calibri Light" w:hAnsi="Calibri Light"/>
                <w:sz w:val="23"/>
                <w:szCs w:val="23"/>
              </w:rPr>
              <w:t xml:space="preserve">lo anterior </w:t>
            </w:r>
            <w:r w:rsidRPr="00C62C22">
              <w:rPr>
                <w:rFonts w:ascii="Calibri Light" w:hAnsi="Calibri Light"/>
                <w:sz w:val="23"/>
                <w:szCs w:val="23"/>
              </w:rPr>
              <w:t>de conformidad con lo señalado en los artículos 132, 133, 134, 135, 135 Bis, 136, 137 y 138 de la Ley de Presupuesto y contabilidad Gubernamental del Estado de Y</w:t>
            </w:r>
            <w:r>
              <w:rPr>
                <w:rFonts w:ascii="Calibri Light" w:hAnsi="Calibri Light"/>
                <w:sz w:val="23"/>
                <w:szCs w:val="23"/>
              </w:rPr>
              <w:t>ucatán, en los que se establece</w:t>
            </w:r>
            <w:r w:rsidRPr="00C62C22">
              <w:rPr>
                <w:rFonts w:ascii="Calibri Light" w:hAnsi="Calibri Light"/>
                <w:sz w:val="23"/>
                <w:szCs w:val="23"/>
              </w:rPr>
              <w:t xml:space="preserve"> que el Poder Ejecutivo a través de la Secretaría de Administración y Finanzas, autorizará la ministración de las transferencias, subsidios y ayudas que con cargo a los presupuestos de las dependencias y entidades, se aprueb</w:t>
            </w:r>
            <w:r w:rsidR="00AA5C80">
              <w:rPr>
                <w:rFonts w:ascii="Calibri Light" w:hAnsi="Calibri Light"/>
                <w:sz w:val="23"/>
                <w:szCs w:val="23"/>
              </w:rPr>
              <w:t>en en el presupuesto de egresos;</w:t>
            </w:r>
            <w:r w:rsidRPr="00C62C22">
              <w:rPr>
                <w:rFonts w:ascii="Calibri Light" w:hAnsi="Calibri Light"/>
                <w:sz w:val="23"/>
                <w:szCs w:val="23"/>
              </w:rPr>
              <w:t xml:space="preserve"> </w:t>
            </w:r>
            <w:r w:rsidR="00AA5C80">
              <w:rPr>
                <w:rFonts w:ascii="Calibri Light" w:hAnsi="Calibri Light"/>
                <w:sz w:val="23"/>
                <w:szCs w:val="23"/>
              </w:rPr>
              <w:t>es importante señalar que la información que se publicará en esta fracción, se refiere a todos los programas distintos a los programas sociales que se publiquen en la fracción XV del art</w:t>
            </w:r>
            <w:r w:rsidR="00C9462E">
              <w:rPr>
                <w:rFonts w:ascii="Calibri Light" w:hAnsi="Calibri Light"/>
                <w:sz w:val="23"/>
                <w:szCs w:val="23"/>
              </w:rPr>
              <w:t xml:space="preserve">ículo 70 de la Ley general; </w:t>
            </w:r>
            <w:r w:rsidR="00AA5C80">
              <w:rPr>
                <w:rFonts w:ascii="Calibri Light" w:hAnsi="Calibri Light"/>
                <w:sz w:val="23"/>
                <w:szCs w:val="23"/>
              </w:rPr>
              <w:t xml:space="preserve">aunado a lo anterior, el artículo 51 fracciones II y VI del Presupuesto de Egresos del Gobierno del Estado de Yucatán para el Ejercicio Fiscal 2017, establece que las Dependencias y entidades, para el ejercicio de los conceptos de transferencias, asignaciones, subsidios y otras ayudas, deben orientar sus actividades a aquellas que conlleven mayor beneficio social entre los grupos de menores ingresos y </w:t>
            </w:r>
            <w:r w:rsidR="00F55CD0">
              <w:rPr>
                <w:rFonts w:ascii="Calibri Light" w:hAnsi="Calibri Light"/>
                <w:sz w:val="23"/>
                <w:szCs w:val="23"/>
              </w:rPr>
              <w:t xml:space="preserve">en condiciones de alta vulnerabilidad o marginación, así como a las </w:t>
            </w:r>
            <w:r w:rsidR="00F55CD0">
              <w:rPr>
                <w:rFonts w:ascii="Calibri Light" w:hAnsi="Calibri Light"/>
                <w:sz w:val="23"/>
                <w:szCs w:val="23"/>
              </w:rPr>
              <w:lastRenderedPageBreak/>
              <w:t>vinculadas con el interés público o general; asimismo, únicamente podrán otorgarse a los sectores social y privado cuando se precisen claramente los programas, destino, resultados, beneficiarios, temporalidad y sus condiciones, debiendo contar con la autorización previa de la Secretaría de Administración y Finanzas.</w:t>
            </w:r>
          </w:p>
        </w:tc>
      </w:tr>
      <w:tr w:rsidR="00712D4A" w:rsidRPr="00C62C22" w:rsidTr="00DC3F4B">
        <w:trPr>
          <w:trHeight w:val="501"/>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XXXIX</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actas y resoluciones del Comité de Transparencia de los sujetos obligados;</w:t>
            </w:r>
          </w:p>
        </w:tc>
        <w:tc>
          <w:tcPr>
            <w:tcW w:w="4397" w:type="dxa"/>
            <w:shd w:val="clear" w:color="auto" w:fill="auto"/>
            <w:vAlign w:val="center"/>
            <w:hideMark/>
          </w:tcPr>
          <w:p w:rsidR="00712D4A" w:rsidRPr="00C62C22" w:rsidRDefault="00712D4A" w:rsidP="00825B5E">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los artículos 24 fracción I de la Ley General de Transparencia y Acceso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712D4A" w:rsidRPr="00C62C22" w:rsidTr="00DC3F4B">
        <w:trPr>
          <w:trHeight w:val="920"/>
          <w:jc w:val="center"/>
        </w:trPr>
        <w:tc>
          <w:tcPr>
            <w:tcW w:w="810" w:type="dxa"/>
            <w:shd w:val="clear" w:color="auto" w:fill="auto"/>
            <w:vAlign w:val="center"/>
            <w:hideMark/>
          </w:tcPr>
          <w:p w:rsidR="00712D4A" w:rsidRPr="00B315A1" w:rsidRDefault="00712D4A" w:rsidP="00DC3F4B">
            <w:pPr>
              <w:spacing w:after="0" w:line="240" w:lineRule="auto"/>
              <w:jc w:val="center"/>
              <w:rPr>
                <w:rFonts w:ascii="Calibri Light" w:eastAsia="Times New Roman" w:hAnsi="Calibri Light" w:cs="Calibri Light"/>
                <w:sz w:val="23"/>
                <w:szCs w:val="23"/>
                <w:lang w:eastAsia="es-MX"/>
              </w:rPr>
            </w:pPr>
            <w:r w:rsidRPr="00B315A1">
              <w:rPr>
                <w:rFonts w:ascii="Calibri Light" w:eastAsia="Times New Roman" w:hAnsi="Calibri Light" w:cs="Calibri Light"/>
                <w:sz w:val="23"/>
                <w:szCs w:val="23"/>
                <w:lang w:eastAsia="es-MX"/>
              </w:rPr>
              <w:t>XL</w:t>
            </w:r>
          </w:p>
        </w:tc>
        <w:tc>
          <w:tcPr>
            <w:tcW w:w="4106" w:type="dxa"/>
            <w:shd w:val="clear" w:color="auto" w:fill="auto"/>
            <w:vAlign w:val="center"/>
            <w:hideMark/>
          </w:tcPr>
          <w:p w:rsidR="00712D4A" w:rsidRPr="00B315A1" w:rsidRDefault="00712D4A" w:rsidP="00DC3F4B">
            <w:pPr>
              <w:spacing w:after="0" w:line="240" w:lineRule="auto"/>
              <w:jc w:val="both"/>
              <w:rPr>
                <w:rFonts w:ascii="Calibri Light" w:eastAsia="Times New Roman" w:hAnsi="Calibri Light" w:cs="Calibri Light"/>
                <w:sz w:val="23"/>
                <w:szCs w:val="23"/>
                <w:lang w:eastAsia="es-MX"/>
              </w:rPr>
            </w:pPr>
            <w:r w:rsidRPr="00B315A1">
              <w:rPr>
                <w:rFonts w:ascii="Calibri Light" w:eastAsia="Times New Roman" w:hAnsi="Calibri Light" w:cs="Calibri Light"/>
                <w:sz w:val="23"/>
                <w:szCs w:val="23"/>
                <w:lang w:eastAsia="es-MX"/>
              </w:rPr>
              <w:t>Todas las evaluaciones y encuestas que hagan los sujetos obligados a programas financiados con recursos públicos;</w:t>
            </w:r>
          </w:p>
        </w:tc>
        <w:tc>
          <w:tcPr>
            <w:tcW w:w="4397" w:type="dxa"/>
            <w:shd w:val="clear" w:color="auto" w:fill="auto"/>
            <w:vAlign w:val="center"/>
            <w:hideMark/>
          </w:tcPr>
          <w:p w:rsidR="00712D4A"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toda vez que de conformidad con lo señalado en el artículo 171 de la Ley del Presupuesto y Contabilidad Gubernamental del Estado de Yucatán, los ejecutores del gasto, deberán publicar la información relacionada con los resultados de las evaluacio</w:t>
            </w:r>
            <w:r w:rsidR="00E635ED">
              <w:rPr>
                <w:rFonts w:ascii="Calibri Light" w:eastAsia="Times New Roman" w:hAnsi="Calibri Light" w:cs="Calibri Light"/>
                <w:sz w:val="23"/>
                <w:szCs w:val="23"/>
                <w:lang w:eastAsia="es-MX"/>
              </w:rPr>
              <w:t>nes de los programas a su cargo; siendo que para efectos de esta fracción, el sujeto obligado deberá publicar los resultados de las evaluaciones y encuestas relativas a los programas reportados en las fracciones XV (programas de subsidios, estímulos y apoyos) y XXXVIII (programas y trámites) del artículo 70 de la Ley general.</w:t>
            </w:r>
          </w:p>
          <w:p w:rsidR="00E635ED" w:rsidRPr="00C62C22" w:rsidRDefault="00E635ED" w:rsidP="00DC3F4B">
            <w:pPr>
              <w:spacing w:after="0" w:line="240" w:lineRule="auto"/>
              <w:jc w:val="both"/>
              <w:rPr>
                <w:rFonts w:ascii="Calibri Light" w:eastAsia="Times New Roman" w:hAnsi="Calibri Light" w:cs="Calibri Light"/>
                <w:sz w:val="23"/>
                <w:szCs w:val="23"/>
                <w:lang w:eastAsia="es-MX"/>
              </w:rPr>
            </w:pPr>
            <w:r>
              <w:rPr>
                <w:rFonts w:ascii="Calibri Light" w:eastAsia="Times New Roman" w:hAnsi="Calibri Light" w:cs="Calibri Light"/>
                <w:sz w:val="23"/>
                <w:szCs w:val="23"/>
                <w:lang w:eastAsia="es-MX"/>
              </w:rPr>
              <w:t xml:space="preserve">En los casos en los que el sujeto obligado, derivado de sus atribuciones, no realice evaluaciones ni encuestas a programas </w:t>
            </w:r>
            <w:r>
              <w:rPr>
                <w:rFonts w:ascii="Calibri Light" w:eastAsia="Times New Roman" w:hAnsi="Calibri Light" w:cs="Calibri Light"/>
                <w:sz w:val="23"/>
                <w:szCs w:val="23"/>
                <w:lang w:eastAsia="es-MX"/>
              </w:rPr>
              <w:lastRenderedPageBreak/>
              <w:t>financiados con recursos públicos, deberá especificarlo mediante una leyenda fundamentada, motivada y actualizada al periodo que corresponda.</w:t>
            </w:r>
          </w:p>
        </w:tc>
      </w:tr>
      <w:tr w:rsidR="00712D4A" w:rsidRPr="00C62C22" w:rsidTr="00DC3F4B">
        <w:trPr>
          <w:trHeight w:val="617"/>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XLI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estudios financiados con recursos públicos;</w:t>
            </w:r>
          </w:p>
        </w:tc>
        <w:tc>
          <w:tcPr>
            <w:tcW w:w="4397" w:type="dxa"/>
            <w:shd w:val="clear" w:color="auto" w:fill="auto"/>
            <w:vAlign w:val="center"/>
            <w:hideMark/>
          </w:tcPr>
          <w:p w:rsidR="00712D4A" w:rsidRPr="00C62C22" w:rsidRDefault="00712D4A" w:rsidP="00DC3F4B">
            <w:pPr>
              <w:autoSpaceDE w:val="0"/>
              <w:autoSpaceDN w:val="0"/>
              <w:adjustRightInd w:val="0"/>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toda vez que de conformidad con lo establecido en el 3 fracción VI del decreto que regula su funcionamiento, tiene entre sus atribuciones la de realizar estudios e investigaciones clínicas, epidemiológicas y biomédicas, preferentemente sobre los padecimientos de la población que atienda, para la prevención y diagnóstico de enfermedades, el tratamiento y rehabilitación de enfermos, así como fomentar y promover la investigación científica, médica y social, con apego a las disposiciones de la Ley General de Salud y demás instrumentos aplicables.</w:t>
            </w:r>
          </w:p>
        </w:tc>
      </w:tr>
      <w:tr w:rsidR="00712D4A" w:rsidRPr="00C62C22" w:rsidTr="00DC3F4B">
        <w:trPr>
          <w:trHeight w:val="536"/>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XLII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El listado de jubilados y pensionados y el monto que reciben;</w:t>
            </w:r>
          </w:p>
        </w:tc>
        <w:tc>
          <w:tcPr>
            <w:tcW w:w="4397" w:type="dxa"/>
            <w:shd w:val="clear" w:color="auto" w:fill="auto"/>
            <w:vAlign w:val="center"/>
            <w:hideMark/>
          </w:tcPr>
          <w:p w:rsidR="00712D4A" w:rsidRPr="00C62C22" w:rsidRDefault="00712D4A" w:rsidP="00DC3F4B">
            <w:pPr>
              <w:spacing w:after="0" w:line="240" w:lineRule="auto"/>
              <w:jc w:val="both"/>
              <w:rPr>
                <w:rFonts w:ascii="Calibri Light" w:hAnsi="Calibri Light"/>
                <w:sz w:val="23"/>
                <w:szCs w:val="23"/>
              </w:rPr>
            </w:pPr>
            <w:r w:rsidRPr="00C62C22">
              <w:rPr>
                <w:rFonts w:ascii="Calibri Light" w:hAnsi="Calibri Light"/>
                <w:sz w:val="23"/>
                <w:szCs w:val="23"/>
              </w:rPr>
              <w:t>No le es aplicable, no obstante lo anterior, de conformidad con lo señalado en los Lineamientos técnicos generales, todos los sujetos obligados deberán publicar el hipervínculo al sitio de internet en el que los institutos de seguridad social publiquen los listados de jubilados y pensionados de los primeros, así como el monto de la pensión que reciban.</w:t>
            </w:r>
          </w:p>
        </w:tc>
      </w:tr>
      <w:tr w:rsidR="00712D4A" w:rsidRPr="00C62C22" w:rsidTr="00DC3F4B">
        <w:trPr>
          <w:trHeight w:val="1479"/>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XLIII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Los ingresos recibidos por cualquier concepto señalando el nombre de los responsables de recibirlos, administrarlos y ejercerlos, así como su destino, indicando el destino de cada uno de ellos;</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lo señalado en el artículo 4 del decreto que regula su funcionamiento, ya que en él se señala la forma de integrar o incrementar su patrimonio.</w:t>
            </w:r>
          </w:p>
        </w:tc>
      </w:tr>
      <w:tr w:rsidR="00712D4A" w:rsidRPr="00C62C22" w:rsidTr="00DC3F4B">
        <w:trPr>
          <w:trHeight w:val="756"/>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XLIV</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Donaciones hechas a terceros en dinero o en especie;</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toda vez que de conformidad con lo señalado en el artículo 7 fracción III de la Ley de Bienes del Estado de Yucatán, se encuentra dentro del ámbito de sus competencias, facultades o funciones.</w:t>
            </w:r>
          </w:p>
        </w:tc>
      </w:tr>
      <w:tr w:rsidR="00712D4A" w:rsidRPr="00C62C22" w:rsidTr="00DC3F4B">
        <w:trPr>
          <w:trHeight w:val="780"/>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XLV</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El catálogo de disposición y guía de archivo documental;</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b/>
                <w:sz w:val="23"/>
                <w:szCs w:val="23"/>
                <w:lang w:eastAsia="es-MX"/>
              </w:rPr>
            </w:pPr>
            <w:r w:rsidRPr="00C62C22">
              <w:rPr>
                <w:rFonts w:ascii="Calibri Light" w:eastAsia="Times New Roman" w:hAnsi="Calibri Light" w:cs="Calibri Light"/>
                <w:sz w:val="23"/>
                <w:szCs w:val="23"/>
                <w:lang w:eastAsia="es-MX"/>
              </w:rPr>
              <w:t xml:space="preserve">Le es aplicable, toda vez que el artículo 38 ter de la Ley de Acceso a la Información Pública para el Estado y los Municipios de Yucatán, vigente en términos de lo dispuesto en </w:t>
            </w:r>
            <w:r w:rsidRPr="00C62C22">
              <w:rPr>
                <w:rFonts w:ascii="Calibri Light" w:eastAsia="Times New Roman" w:hAnsi="Calibri Light" w:cs="Calibri Light"/>
                <w:sz w:val="23"/>
                <w:szCs w:val="23"/>
                <w:lang w:eastAsia="es-MX"/>
              </w:rPr>
              <w:lastRenderedPageBreak/>
              <w:t>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 aunado a lo anterior, de conformidad con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712D4A" w:rsidRPr="00C62C22" w:rsidTr="00DC3F4B">
        <w:trPr>
          <w:trHeight w:val="744"/>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lastRenderedPageBreak/>
              <w:t>XLVI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Las actas de sesiones ordinarias y extraordinarias, así como las opiniones y recomendaciones que emitan, en su caso, los consejos consultivos (Artículo 47 de la LG);</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Le es aplicable, toda vez que uno de los pilares de la democracia es la participación ciudadana y lo mucho que ésta contribuye y enriquece con sus opiniones al fortalecimiento de los sujetos obligados; por lo que es una buena práctica que los sujetos obligados fomenten la creación de consejos consultivos, como foros ciudadanos en donde puedan exponer su quehacer diario, como un ejercicio de rendición de cuentas. </w:t>
            </w:r>
          </w:p>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En el caso de que el sujeto obligado no haya llevado a cabo ningún tipo de sesión del que se deriven actas, opiniones y recomendaciones por parte de los consejos consultivos, o que no cuente con esta figura, de conformidad con los Lineamientos técnicos generales deberá especificarlo mediante una leyenda motivada, fundamentada y actualizada al periodo correspondiente.</w:t>
            </w:r>
          </w:p>
        </w:tc>
      </w:tr>
      <w:tr w:rsidR="00712D4A" w:rsidRPr="00C62C22" w:rsidTr="00DC3F4B">
        <w:trPr>
          <w:trHeight w:val="1234"/>
          <w:jc w:val="center"/>
        </w:trPr>
        <w:tc>
          <w:tcPr>
            <w:tcW w:w="810" w:type="dxa"/>
            <w:shd w:val="clear" w:color="auto" w:fill="auto"/>
            <w:vAlign w:val="center"/>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XLVII</w:t>
            </w:r>
          </w:p>
        </w:tc>
        <w:tc>
          <w:tcPr>
            <w:tcW w:w="4106" w:type="dxa"/>
            <w:shd w:val="clear" w:color="auto" w:fill="auto"/>
            <w:vAlign w:val="center"/>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 xml:space="preserve">Para efectos estadísticos, el listado de solicitudes a las empresas concesionarias de telecomunicaciones y proveedores de servicios o aplicaciones de Internet para la intervención de comunicaciones privadas, el acceso al registro de comunicaciones y la </w:t>
            </w:r>
            <w:r w:rsidRPr="00C62C22">
              <w:rPr>
                <w:rFonts w:ascii="Calibri Light" w:eastAsia="Times New Roman" w:hAnsi="Calibri Light" w:cs="Calibri Light"/>
                <w:sz w:val="23"/>
                <w:szCs w:val="23"/>
                <w:lang w:eastAsia="es-MX"/>
              </w:rPr>
              <w:lastRenderedPageBreak/>
              <w:t>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shd w:val="clear" w:color="auto" w:fill="auto"/>
            <w:vAlign w:val="center"/>
          </w:tcPr>
          <w:p w:rsidR="00712D4A" w:rsidRPr="00C62C22" w:rsidRDefault="00712D4A" w:rsidP="00DC3F4B">
            <w:pPr>
              <w:spacing w:after="0" w:line="240" w:lineRule="auto"/>
              <w:jc w:val="both"/>
              <w:rPr>
                <w:rFonts w:ascii="Calibri Light" w:eastAsia="Times New Roman" w:hAnsi="Calibri Light" w:cs="Times New Roman"/>
                <w:color w:val="000000"/>
                <w:sz w:val="23"/>
                <w:szCs w:val="23"/>
                <w:lang w:eastAsia="es-MX"/>
              </w:rPr>
            </w:pPr>
            <w:r w:rsidRPr="00C62C22">
              <w:rPr>
                <w:rFonts w:ascii="Calibri Light" w:eastAsia="Times New Roman" w:hAnsi="Calibri Light" w:cs="Times New Roman"/>
                <w:color w:val="000000"/>
                <w:sz w:val="23"/>
                <w:szCs w:val="23"/>
                <w:lang w:eastAsia="es-MX"/>
              </w:rPr>
              <w:lastRenderedPageBreak/>
              <w:t xml:space="preserve">No le es aplicable, toda vez que de conformidad con el decreto que regula su funcionamiento, no se encuentra dentro de su ámbito de competencias, facultades o funciones; aunado a lo anterior, </w:t>
            </w:r>
            <w:r w:rsidRPr="00C62C22">
              <w:rPr>
                <w:rFonts w:ascii="Calibri Light" w:hAnsi="Calibri Light"/>
                <w:color w:val="000000"/>
                <w:sz w:val="23"/>
                <w:szCs w:val="23"/>
              </w:rPr>
              <w:t xml:space="preserve">de conformidad con lo establecido en el artículo </w:t>
            </w:r>
            <w:r w:rsidRPr="00C62C22">
              <w:rPr>
                <w:rFonts w:ascii="Calibri Light" w:hAnsi="Calibri Light"/>
                <w:color w:val="000000"/>
                <w:sz w:val="23"/>
                <w:szCs w:val="23"/>
              </w:rPr>
              <w:lastRenderedPageBreak/>
              <w:t>27 de la Constitución Política de los Estados Unidos Mexicanos, se señala que las concesiones en materia de telecomunicaciones son otorgadas por el Instituto Federal de Telecomunicaciones.</w:t>
            </w:r>
          </w:p>
        </w:tc>
      </w:tr>
      <w:tr w:rsidR="00712D4A" w:rsidRPr="00C62C22" w:rsidTr="00DC3F4B">
        <w:trPr>
          <w:trHeight w:val="1234"/>
          <w:jc w:val="center"/>
        </w:trPr>
        <w:tc>
          <w:tcPr>
            <w:tcW w:w="810" w:type="dxa"/>
            <w:shd w:val="clear" w:color="auto" w:fill="auto"/>
            <w:vAlign w:val="center"/>
            <w:hideMark/>
          </w:tcPr>
          <w:p w:rsidR="00712D4A" w:rsidRPr="00C62C22" w:rsidRDefault="00712D4A" w:rsidP="00DC3F4B">
            <w:pPr>
              <w:spacing w:after="0" w:line="240" w:lineRule="auto"/>
              <w:jc w:val="center"/>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XLVIII</w:t>
            </w:r>
          </w:p>
        </w:tc>
        <w:tc>
          <w:tcPr>
            <w:tcW w:w="4106"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Cualquier otra información que sea de utilidad o se considere relevante, además de la que, con base en la información estadística, responda a las preguntas hechas con más frecuencia por el público.</w:t>
            </w:r>
          </w:p>
        </w:tc>
        <w:tc>
          <w:tcPr>
            <w:tcW w:w="4397" w:type="dxa"/>
            <w:shd w:val="clear" w:color="auto" w:fill="auto"/>
            <w:vAlign w:val="center"/>
            <w:hideMark/>
          </w:tcPr>
          <w:p w:rsidR="00712D4A" w:rsidRPr="00C62C22" w:rsidRDefault="00712D4A" w:rsidP="00DC3F4B">
            <w:pPr>
              <w:spacing w:after="0" w:line="240" w:lineRule="auto"/>
              <w:jc w:val="both"/>
              <w:rPr>
                <w:rFonts w:ascii="Calibri Light" w:eastAsia="Times New Roman" w:hAnsi="Calibri Light" w:cs="Calibri Light"/>
                <w:sz w:val="23"/>
                <w:szCs w:val="23"/>
                <w:lang w:eastAsia="es-MX"/>
              </w:rPr>
            </w:pPr>
            <w:r w:rsidRPr="00C62C22">
              <w:rPr>
                <w:rFonts w:ascii="Calibri Light" w:eastAsia="Times New Roman" w:hAnsi="Calibri Light" w:cs="Calibri Light"/>
                <w:sz w:val="23"/>
                <w:szCs w:val="23"/>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5D2816" w:rsidRPr="009A240E" w:rsidRDefault="005D2816" w:rsidP="005D2816">
      <w:pPr>
        <w:spacing w:after="0" w:line="240" w:lineRule="auto"/>
        <w:jc w:val="both"/>
        <w:rPr>
          <w:rFonts w:ascii="Calibri Light" w:eastAsia="Arial" w:hAnsi="Calibri Light" w:cs="Arial"/>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sz w:val="24"/>
          <w:szCs w:val="24"/>
        </w:rPr>
        <w:t>En tal razón, se acuerda:</w:t>
      </w:r>
    </w:p>
    <w:p w:rsidR="005D2816" w:rsidRPr="009A240E" w:rsidRDefault="005D2816" w:rsidP="005D2816">
      <w:pPr>
        <w:spacing w:after="0" w:line="240" w:lineRule="auto"/>
        <w:jc w:val="both"/>
        <w:rPr>
          <w:rFonts w:ascii="Calibri Light" w:eastAsia="Arial" w:hAnsi="Calibri Light" w:cs="Arial"/>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t xml:space="preserve">PRIMERO.- </w:t>
      </w:r>
      <w:r w:rsidR="006B5571">
        <w:rPr>
          <w:rFonts w:ascii="Calibri Light" w:eastAsia="Arial" w:hAnsi="Calibri Light" w:cs="Arial"/>
          <w:sz w:val="24"/>
          <w:szCs w:val="24"/>
        </w:rPr>
        <w:t xml:space="preserve">Se aprueban las </w:t>
      </w:r>
      <w:r w:rsidRPr="009A240E">
        <w:rPr>
          <w:rFonts w:ascii="Calibri Light" w:eastAsia="Arial" w:hAnsi="Calibri Light" w:cs="Arial"/>
          <w:sz w:val="24"/>
          <w:szCs w:val="24"/>
        </w:rPr>
        <w:t xml:space="preserve">tablas de aplicabilidad de las obligaciones de transparencia </w:t>
      </w:r>
      <w:r w:rsidR="006B5571">
        <w:rPr>
          <w:rFonts w:ascii="Calibri Light" w:eastAsia="Arial" w:hAnsi="Calibri Light" w:cs="Arial"/>
          <w:sz w:val="24"/>
          <w:szCs w:val="24"/>
        </w:rPr>
        <w:t xml:space="preserve">comunes del </w:t>
      </w:r>
      <w:r w:rsidR="006B5571" w:rsidRPr="009A240E">
        <w:rPr>
          <w:rFonts w:ascii="Calibri Light" w:eastAsia="Arial" w:hAnsi="Calibri Light" w:cs="Arial"/>
          <w:sz w:val="24"/>
          <w:szCs w:val="24"/>
        </w:rPr>
        <w:t>Tribunal de Justicia Administrativa del Estado de Yucatán y del Hospital General de Tekax, Yucatán</w:t>
      </w:r>
      <w:r w:rsidRPr="009A240E">
        <w:rPr>
          <w:rFonts w:ascii="Calibri Light" w:eastAsia="Arial" w:hAnsi="Calibri Light" w:cs="Arial"/>
          <w:sz w:val="24"/>
          <w:szCs w:val="24"/>
        </w:rPr>
        <w:t>, de conformidad con lo se</w:t>
      </w:r>
      <w:r w:rsidR="006B5571">
        <w:rPr>
          <w:rFonts w:ascii="Calibri Light" w:eastAsia="Arial" w:hAnsi="Calibri Light" w:cs="Arial"/>
          <w:sz w:val="24"/>
          <w:szCs w:val="24"/>
        </w:rPr>
        <w:t>ñalado en el considerando CUARTO</w:t>
      </w:r>
      <w:r w:rsidRPr="009A240E">
        <w:rPr>
          <w:rFonts w:ascii="Calibri Light" w:eastAsia="Arial" w:hAnsi="Calibri Light" w:cs="Arial"/>
          <w:sz w:val="24"/>
          <w:szCs w:val="24"/>
        </w:rPr>
        <w:t>.</w:t>
      </w:r>
    </w:p>
    <w:p w:rsidR="005D2816" w:rsidRPr="009A240E" w:rsidRDefault="005D2816" w:rsidP="005D2816">
      <w:pPr>
        <w:spacing w:after="0" w:line="240" w:lineRule="auto"/>
        <w:jc w:val="both"/>
        <w:rPr>
          <w:rFonts w:ascii="Calibri Light" w:eastAsia="Arial" w:hAnsi="Calibri Light" w:cs="Arial"/>
          <w:sz w:val="24"/>
          <w:szCs w:val="24"/>
        </w:rPr>
      </w:pPr>
    </w:p>
    <w:p w:rsidR="006B5571" w:rsidRPr="004B127E" w:rsidRDefault="005D2816" w:rsidP="006B5571">
      <w:pPr>
        <w:spacing w:after="0" w:line="240" w:lineRule="auto"/>
        <w:jc w:val="both"/>
        <w:rPr>
          <w:rFonts w:asciiTheme="majorHAnsi" w:eastAsia="Arial" w:hAnsiTheme="majorHAnsi" w:cstheme="majorHAnsi"/>
          <w:b/>
          <w:sz w:val="24"/>
          <w:szCs w:val="24"/>
        </w:rPr>
      </w:pPr>
      <w:r w:rsidRPr="009A240E">
        <w:rPr>
          <w:rFonts w:ascii="Calibri Light" w:eastAsia="Arial" w:hAnsi="Calibri Light" w:cs="Arial"/>
          <w:b/>
          <w:sz w:val="24"/>
          <w:szCs w:val="24"/>
        </w:rPr>
        <w:t xml:space="preserve">SEGUNDO.- </w:t>
      </w:r>
      <w:r w:rsidRPr="009A240E">
        <w:rPr>
          <w:rFonts w:ascii="Calibri Light" w:eastAsia="Arial" w:hAnsi="Calibri Light" w:cs="Arial"/>
          <w:sz w:val="24"/>
          <w:szCs w:val="24"/>
        </w:rPr>
        <w:t xml:space="preserve">Se ordena a los sujetos obligados referidos, </w:t>
      </w:r>
      <w:r w:rsidR="006B5571" w:rsidRPr="004B127E">
        <w:rPr>
          <w:rFonts w:asciiTheme="majorHAnsi" w:eastAsia="Arial" w:hAnsiTheme="majorHAnsi" w:cstheme="majorHAnsi"/>
          <w:sz w:val="24"/>
          <w:szCs w:val="24"/>
        </w:rPr>
        <w:t>modificar su</w:t>
      </w:r>
      <w:r w:rsidR="006B5571">
        <w:rPr>
          <w:rFonts w:asciiTheme="majorHAnsi" w:eastAsia="Arial" w:hAnsiTheme="majorHAnsi" w:cstheme="majorHAnsi"/>
          <w:sz w:val="24"/>
          <w:szCs w:val="24"/>
        </w:rPr>
        <w:t>s</w:t>
      </w:r>
      <w:r w:rsidR="006B5571" w:rsidRPr="004B127E">
        <w:rPr>
          <w:rFonts w:asciiTheme="majorHAnsi" w:eastAsia="Arial" w:hAnsiTheme="majorHAnsi" w:cstheme="majorHAnsi"/>
          <w:sz w:val="24"/>
          <w:szCs w:val="24"/>
        </w:rPr>
        <w:t xml:space="preserve"> tabla</w:t>
      </w:r>
      <w:r w:rsidR="006B5571">
        <w:rPr>
          <w:rFonts w:asciiTheme="majorHAnsi" w:eastAsia="Arial" w:hAnsiTheme="majorHAnsi" w:cstheme="majorHAnsi"/>
          <w:sz w:val="24"/>
          <w:szCs w:val="24"/>
        </w:rPr>
        <w:t>s</w:t>
      </w:r>
      <w:r w:rsidR="006B5571" w:rsidRPr="004B127E">
        <w:rPr>
          <w:rFonts w:asciiTheme="majorHAnsi" w:eastAsia="Arial" w:hAnsiTheme="majorHAnsi" w:cstheme="majorHAnsi"/>
          <w:sz w:val="24"/>
          <w:szCs w:val="24"/>
        </w:rPr>
        <w:t xml:space="preserve"> de aplicabilidad de conformidad con lo señalado en </w:t>
      </w:r>
      <w:r w:rsidR="006B5571">
        <w:rPr>
          <w:rFonts w:asciiTheme="majorHAnsi" w:eastAsia="Arial" w:hAnsiTheme="majorHAnsi" w:cstheme="majorHAnsi"/>
          <w:sz w:val="24"/>
          <w:szCs w:val="24"/>
        </w:rPr>
        <w:t>el</w:t>
      </w:r>
      <w:r w:rsidR="006B5571" w:rsidRPr="004B127E">
        <w:rPr>
          <w:rFonts w:asciiTheme="majorHAnsi" w:eastAsia="Arial" w:hAnsiTheme="majorHAnsi" w:cstheme="majorHAnsi"/>
          <w:sz w:val="24"/>
          <w:szCs w:val="24"/>
        </w:rPr>
        <w:t xml:space="preserve"> considerando </w:t>
      </w:r>
      <w:r w:rsidR="006B5571">
        <w:rPr>
          <w:rFonts w:asciiTheme="majorHAnsi" w:eastAsia="Arial" w:hAnsiTheme="majorHAnsi" w:cstheme="majorHAnsi"/>
          <w:sz w:val="24"/>
          <w:szCs w:val="24"/>
        </w:rPr>
        <w:t>CUARTO</w:t>
      </w:r>
      <w:r w:rsidR="006B5571" w:rsidRPr="004B127E">
        <w:rPr>
          <w:rFonts w:asciiTheme="majorHAnsi" w:eastAsia="Arial" w:hAnsiTheme="majorHAnsi" w:cstheme="majorHAnsi"/>
          <w:sz w:val="24"/>
          <w:szCs w:val="24"/>
        </w:rPr>
        <w:t>, y que ésta</w:t>
      </w:r>
      <w:r w:rsidR="006B5571">
        <w:rPr>
          <w:rFonts w:asciiTheme="majorHAnsi" w:eastAsia="Arial" w:hAnsiTheme="majorHAnsi" w:cstheme="majorHAnsi"/>
          <w:sz w:val="24"/>
          <w:szCs w:val="24"/>
        </w:rPr>
        <w:t>s</w:t>
      </w:r>
      <w:r w:rsidR="006B5571" w:rsidRPr="004B127E">
        <w:rPr>
          <w:rFonts w:asciiTheme="majorHAnsi" w:eastAsia="Arial" w:hAnsiTheme="majorHAnsi" w:cstheme="majorHAnsi"/>
          <w:sz w:val="24"/>
          <w:szCs w:val="24"/>
        </w:rPr>
        <w:t xml:space="preserve"> sea</w:t>
      </w:r>
      <w:r w:rsidR="006B5571">
        <w:rPr>
          <w:rFonts w:asciiTheme="majorHAnsi" w:eastAsia="Arial" w:hAnsiTheme="majorHAnsi" w:cstheme="majorHAnsi"/>
          <w:sz w:val="24"/>
          <w:szCs w:val="24"/>
        </w:rPr>
        <w:t>n</w:t>
      </w:r>
      <w:r w:rsidR="006B5571" w:rsidRPr="004B127E">
        <w:rPr>
          <w:rFonts w:asciiTheme="majorHAnsi" w:eastAsia="Arial" w:hAnsiTheme="majorHAnsi" w:cstheme="majorHAnsi"/>
          <w:sz w:val="24"/>
          <w:szCs w:val="24"/>
        </w:rPr>
        <w:t xml:space="preserve"> aprobada</w:t>
      </w:r>
      <w:r w:rsidR="006B5571">
        <w:rPr>
          <w:rFonts w:asciiTheme="majorHAnsi" w:eastAsia="Arial" w:hAnsiTheme="majorHAnsi" w:cstheme="majorHAnsi"/>
          <w:sz w:val="24"/>
          <w:szCs w:val="24"/>
        </w:rPr>
        <w:t>s</w:t>
      </w:r>
      <w:r w:rsidR="006B5571" w:rsidRPr="004B127E">
        <w:rPr>
          <w:rFonts w:asciiTheme="majorHAnsi" w:eastAsia="Arial" w:hAnsiTheme="majorHAnsi" w:cstheme="majorHAnsi"/>
          <w:sz w:val="24"/>
          <w:szCs w:val="24"/>
        </w:rPr>
        <w:t xml:space="preserve"> por su</w:t>
      </w:r>
      <w:r w:rsidR="006B5571">
        <w:rPr>
          <w:rFonts w:asciiTheme="majorHAnsi" w:eastAsia="Arial" w:hAnsiTheme="majorHAnsi" w:cstheme="majorHAnsi"/>
          <w:sz w:val="24"/>
          <w:szCs w:val="24"/>
        </w:rPr>
        <w:t>s</w:t>
      </w:r>
      <w:r w:rsidR="006B5571" w:rsidRPr="004B127E">
        <w:rPr>
          <w:rFonts w:asciiTheme="majorHAnsi" w:eastAsia="Arial" w:hAnsiTheme="majorHAnsi" w:cstheme="majorHAnsi"/>
          <w:sz w:val="24"/>
          <w:szCs w:val="24"/>
        </w:rPr>
        <w:t xml:space="preserve"> comité</w:t>
      </w:r>
      <w:r w:rsidR="006B5571">
        <w:rPr>
          <w:rFonts w:asciiTheme="majorHAnsi" w:eastAsia="Arial" w:hAnsiTheme="majorHAnsi" w:cstheme="majorHAnsi"/>
          <w:sz w:val="24"/>
          <w:szCs w:val="24"/>
        </w:rPr>
        <w:t>s</w:t>
      </w:r>
      <w:r w:rsidR="006B5571" w:rsidRPr="004B127E">
        <w:rPr>
          <w:rFonts w:asciiTheme="majorHAnsi" w:eastAsia="Arial" w:hAnsiTheme="majorHAnsi" w:cstheme="majorHAnsi"/>
          <w:sz w:val="24"/>
          <w:szCs w:val="24"/>
        </w:rPr>
        <w:t xml:space="preserve"> de transparencia, únicamente en lo que respecta a las áreas que posean o generen la información; y que se publiquen en el sitio de internet de</w:t>
      </w:r>
      <w:r w:rsidR="006B5571">
        <w:rPr>
          <w:rFonts w:asciiTheme="majorHAnsi" w:eastAsia="Arial" w:hAnsiTheme="majorHAnsi" w:cstheme="majorHAnsi"/>
          <w:sz w:val="24"/>
          <w:szCs w:val="24"/>
        </w:rPr>
        <w:t xml:space="preserve"> </w:t>
      </w:r>
      <w:r w:rsidR="006B5571" w:rsidRPr="004B127E">
        <w:rPr>
          <w:rFonts w:asciiTheme="majorHAnsi" w:eastAsia="Arial" w:hAnsiTheme="majorHAnsi" w:cstheme="majorHAnsi"/>
          <w:sz w:val="24"/>
          <w:szCs w:val="24"/>
        </w:rPr>
        <w:t>l</w:t>
      </w:r>
      <w:r w:rsidR="006B5571">
        <w:rPr>
          <w:rFonts w:asciiTheme="majorHAnsi" w:eastAsia="Arial" w:hAnsiTheme="majorHAnsi" w:cstheme="majorHAnsi"/>
          <w:sz w:val="24"/>
          <w:szCs w:val="24"/>
        </w:rPr>
        <w:t>os</w:t>
      </w:r>
      <w:r w:rsidR="006B5571" w:rsidRPr="004B127E">
        <w:rPr>
          <w:rFonts w:asciiTheme="majorHAnsi" w:eastAsia="Arial" w:hAnsiTheme="majorHAnsi" w:cstheme="majorHAnsi"/>
          <w:sz w:val="24"/>
          <w:szCs w:val="24"/>
        </w:rPr>
        <w:t xml:space="preserve"> sujeto</w:t>
      </w:r>
      <w:r w:rsidR="006B5571">
        <w:rPr>
          <w:rFonts w:asciiTheme="majorHAnsi" w:eastAsia="Arial" w:hAnsiTheme="majorHAnsi" w:cstheme="majorHAnsi"/>
          <w:sz w:val="24"/>
          <w:szCs w:val="24"/>
        </w:rPr>
        <w:t>s</w:t>
      </w:r>
      <w:r w:rsidR="006B5571" w:rsidRPr="004B127E">
        <w:rPr>
          <w:rFonts w:asciiTheme="majorHAnsi" w:eastAsia="Arial" w:hAnsiTheme="majorHAnsi" w:cstheme="majorHAnsi"/>
          <w:sz w:val="24"/>
          <w:szCs w:val="24"/>
        </w:rPr>
        <w:t xml:space="preserve"> obligado</w:t>
      </w:r>
      <w:r w:rsidR="006B5571">
        <w:rPr>
          <w:rFonts w:asciiTheme="majorHAnsi" w:eastAsia="Arial" w:hAnsiTheme="majorHAnsi" w:cstheme="majorHAnsi"/>
          <w:sz w:val="24"/>
          <w:szCs w:val="24"/>
        </w:rPr>
        <w:t>s</w:t>
      </w:r>
      <w:r w:rsidR="006B5571" w:rsidRPr="004B127E">
        <w:rPr>
          <w:rFonts w:asciiTheme="majorHAnsi" w:eastAsia="Arial" w:hAnsiTheme="majorHAnsi" w:cstheme="majorHAnsi"/>
          <w:sz w:val="24"/>
          <w:szCs w:val="24"/>
        </w:rPr>
        <w:t xml:space="preserve"> y en la Plataforma Nacional de Transparencia, en el apartado dispuesto para el último párrafo del artículo 70 de la Ley general de transparencia, </w:t>
      </w:r>
      <w:r w:rsidR="006B5571" w:rsidRPr="00016EAA">
        <w:rPr>
          <w:rFonts w:asciiTheme="majorHAnsi" w:eastAsia="Arial" w:hAnsiTheme="majorHAnsi" w:cstheme="majorHAnsi"/>
          <w:sz w:val="24"/>
          <w:szCs w:val="24"/>
        </w:rPr>
        <w:t>en un plazo máximo de 15 días hábiles, contados a partir del día siguiente de la aprobación del presente.</w:t>
      </w:r>
    </w:p>
    <w:p w:rsidR="005D2816" w:rsidRPr="009A240E" w:rsidRDefault="005D2816" w:rsidP="005D2816">
      <w:pPr>
        <w:spacing w:after="0" w:line="240" w:lineRule="auto"/>
        <w:jc w:val="both"/>
        <w:rPr>
          <w:rFonts w:ascii="Calibri Light" w:hAnsi="Calibri Light"/>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t xml:space="preserve">TERCERO.- </w:t>
      </w:r>
      <w:r w:rsidRPr="009A240E">
        <w:rPr>
          <w:rFonts w:ascii="Calibri Light" w:eastAsia="Arial" w:hAnsi="Calibri Light" w:cs="Arial"/>
          <w:sz w:val="24"/>
          <w:szCs w:val="24"/>
        </w:rPr>
        <w:t xml:space="preserve">Se </w:t>
      </w:r>
      <w:r w:rsidR="006B5571">
        <w:rPr>
          <w:rFonts w:ascii="Calibri Light" w:eastAsia="Arial" w:hAnsi="Calibri Light" w:cs="Arial"/>
          <w:sz w:val="24"/>
          <w:szCs w:val="24"/>
        </w:rPr>
        <w:t>instruye</w:t>
      </w:r>
      <w:r w:rsidRPr="009A240E">
        <w:rPr>
          <w:rFonts w:ascii="Calibri Light" w:eastAsia="Arial" w:hAnsi="Calibri Light" w:cs="Arial"/>
          <w:sz w:val="24"/>
          <w:szCs w:val="24"/>
        </w:rPr>
        <w:t xml:space="preserve"> a la </w:t>
      </w:r>
      <w:r w:rsidR="00016EAA">
        <w:rPr>
          <w:rFonts w:ascii="Calibri Light" w:eastAsia="Arial" w:hAnsi="Calibri Light" w:cs="Arial"/>
          <w:sz w:val="24"/>
          <w:szCs w:val="24"/>
        </w:rPr>
        <w:t xml:space="preserve">Directora General Ejecutiva </w:t>
      </w:r>
      <w:r w:rsidRPr="009A240E">
        <w:rPr>
          <w:rFonts w:ascii="Calibri Light" w:eastAsia="Arial" w:hAnsi="Calibri Light" w:cs="Arial"/>
          <w:sz w:val="24"/>
          <w:szCs w:val="24"/>
        </w:rPr>
        <w:t>del Instituto Estatal de Transparencia, Acceso a la Información Pública y Protección de Datos Personales, para que notifique a los sujetos obligados referidos en el considerando</w:t>
      </w:r>
      <w:r w:rsidR="006B5571">
        <w:rPr>
          <w:rFonts w:ascii="Calibri Light" w:eastAsia="Arial" w:hAnsi="Calibri Light" w:cs="Arial"/>
          <w:sz w:val="24"/>
          <w:szCs w:val="24"/>
        </w:rPr>
        <w:t xml:space="preserve"> CUARTO</w:t>
      </w:r>
      <w:r w:rsidRPr="009A240E">
        <w:rPr>
          <w:rFonts w:ascii="Calibri Light" w:eastAsia="Arial" w:hAnsi="Calibri Light" w:cs="Arial"/>
          <w:sz w:val="24"/>
          <w:szCs w:val="24"/>
        </w:rPr>
        <w:t>, el acuerdo que hoy nos ocupa</w:t>
      </w:r>
      <w:r w:rsidRPr="009A240E">
        <w:rPr>
          <w:rFonts w:ascii="Calibri Light" w:hAnsi="Calibri Light"/>
          <w:sz w:val="24"/>
          <w:szCs w:val="24"/>
        </w:rPr>
        <w:t>.</w:t>
      </w:r>
    </w:p>
    <w:p w:rsidR="005D2816" w:rsidRPr="009A240E" w:rsidRDefault="005D2816" w:rsidP="005D2816">
      <w:pPr>
        <w:spacing w:after="0" w:line="240" w:lineRule="auto"/>
        <w:jc w:val="both"/>
        <w:rPr>
          <w:rFonts w:ascii="Calibri Light" w:eastAsia="Arial" w:hAnsi="Calibri Light" w:cs="Arial"/>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lastRenderedPageBreak/>
        <w:t xml:space="preserve">CUARTO.- </w:t>
      </w:r>
      <w:r w:rsidRPr="009A240E">
        <w:rPr>
          <w:rFonts w:ascii="Calibri Light" w:eastAsia="Arial" w:hAnsi="Calibri Light" w:cs="Arial"/>
          <w:sz w:val="24"/>
          <w:szCs w:val="24"/>
        </w:rPr>
        <w:t>Publíquese en el sitio de internet de este órgano garante.</w:t>
      </w:r>
    </w:p>
    <w:p w:rsidR="005D2816" w:rsidRPr="009A240E" w:rsidRDefault="005D2816" w:rsidP="005D2816">
      <w:pPr>
        <w:spacing w:after="0" w:line="240" w:lineRule="auto"/>
        <w:jc w:val="both"/>
        <w:rPr>
          <w:rFonts w:ascii="Calibri Light" w:eastAsia="Arial" w:hAnsi="Calibri Light" w:cs="Arial"/>
          <w:sz w:val="24"/>
          <w:szCs w:val="24"/>
        </w:rPr>
      </w:pPr>
    </w:p>
    <w:p w:rsidR="005D2816" w:rsidRPr="009A240E" w:rsidRDefault="005D2816" w:rsidP="005D2816">
      <w:pPr>
        <w:spacing w:after="0" w:line="240" w:lineRule="auto"/>
        <w:jc w:val="both"/>
        <w:rPr>
          <w:rFonts w:ascii="Calibri Light" w:eastAsia="Arial" w:hAnsi="Calibri Light" w:cs="Arial"/>
          <w:sz w:val="24"/>
          <w:szCs w:val="24"/>
        </w:rPr>
      </w:pPr>
      <w:r w:rsidRPr="009A240E">
        <w:rPr>
          <w:rFonts w:ascii="Calibri Light" w:eastAsia="Arial" w:hAnsi="Calibri Light" w:cs="Arial"/>
          <w:b/>
          <w:sz w:val="24"/>
          <w:szCs w:val="24"/>
        </w:rPr>
        <w:t xml:space="preserve">QUINTO.- </w:t>
      </w:r>
      <w:r w:rsidRPr="009A240E">
        <w:rPr>
          <w:rFonts w:ascii="Calibri Light" w:eastAsia="Arial" w:hAnsi="Calibri Light" w:cs="Arial"/>
          <w:sz w:val="24"/>
          <w:szCs w:val="24"/>
        </w:rPr>
        <w:t>Cúmplase.</w:t>
      </w:r>
    </w:p>
    <w:tbl>
      <w:tblPr>
        <w:tblW w:w="9113" w:type="dxa"/>
        <w:tblLook w:val="04A0" w:firstRow="1" w:lastRow="0" w:firstColumn="1" w:lastColumn="0" w:noHBand="0" w:noVBand="1"/>
      </w:tblPr>
      <w:tblGrid>
        <w:gridCol w:w="4556"/>
        <w:gridCol w:w="4557"/>
      </w:tblGrid>
      <w:tr w:rsidR="005D2816" w:rsidRPr="009A240E" w:rsidTr="00DC3F4B">
        <w:trPr>
          <w:trHeight w:val="1946"/>
        </w:trPr>
        <w:tc>
          <w:tcPr>
            <w:tcW w:w="9113" w:type="dxa"/>
            <w:gridSpan w:val="2"/>
            <w:shd w:val="clear" w:color="auto" w:fill="auto"/>
          </w:tcPr>
          <w:p w:rsidR="005D2816" w:rsidRPr="009A240E" w:rsidRDefault="005D2816" w:rsidP="00DC3F4B">
            <w:pPr>
              <w:spacing w:after="0" w:line="240" w:lineRule="auto"/>
              <w:rPr>
                <w:rFonts w:ascii="Calibri Light" w:hAnsi="Calibri Light" w:cs="Arial"/>
                <w:b/>
                <w:sz w:val="24"/>
                <w:szCs w:val="24"/>
              </w:rPr>
            </w:pPr>
          </w:p>
          <w:p w:rsidR="005D2816" w:rsidRPr="009A240E" w:rsidRDefault="005D2816" w:rsidP="00DC3F4B">
            <w:pPr>
              <w:spacing w:after="0" w:line="240" w:lineRule="auto"/>
              <w:jc w:val="center"/>
              <w:rPr>
                <w:rFonts w:ascii="Calibri Light" w:hAnsi="Calibri Light" w:cs="Arial"/>
                <w:b/>
                <w:sz w:val="24"/>
                <w:szCs w:val="24"/>
              </w:rPr>
            </w:pPr>
          </w:p>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jc w:val="center"/>
              <w:rPr>
                <w:rFonts w:ascii="Calibri Light" w:hAnsi="Calibri Light" w:cs="Arial"/>
                <w:b/>
                <w:bCs/>
                <w:sz w:val="24"/>
                <w:szCs w:val="24"/>
              </w:rPr>
            </w:pPr>
            <w:r w:rsidRPr="009A240E">
              <w:rPr>
                <w:rFonts w:ascii="Calibri Light" w:hAnsi="Calibri Light" w:cs="Arial"/>
                <w:b/>
                <w:bCs/>
                <w:sz w:val="24"/>
                <w:szCs w:val="24"/>
              </w:rPr>
              <w:t>LICDA. SUSANA AGUILAR COVARRUBIAS</w:t>
            </w:r>
          </w:p>
          <w:p w:rsidR="005D2816" w:rsidRPr="009A240E" w:rsidRDefault="005D2816" w:rsidP="00DC3F4B">
            <w:pPr>
              <w:spacing w:after="0" w:line="240" w:lineRule="auto"/>
              <w:jc w:val="center"/>
              <w:rPr>
                <w:rFonts w:ascii="Calibri Light" w:hAnsi="Calibri Light" w:cs="Arial"/>
                <w:b/>
                <w:sz w:val="24"/>
                <w:szCs w:val="24"/>
              </w:rPr>
            </w:pPr>
            <w:r w:rsidRPr="009A240E">
              <w:rPr>
                <w:rFonts w:ascii="Calibri Light" w:hAnsi="Calibri Light" w:cs="Arial"/>
                <w:b/>
                <w:sz w:val="24"/>
                <w:szCs w:val="24"/>
              </w:rPr>
              <w:t>COMISIONADA PRESIDENTA</w:t>
            </w:r>
          </w:p>
        </w:tc>
      </w:tr>
      <w:tr w:rsidR="005D2816" w:rsidRPr="009A240E" w:rsidTr="00DC3F4B">
        <w:trPr>
          <w:trHeight w:val="2268"/>
        </w:trPr>
        <w:tc>
          <w:tcPr>
            <w:tcW w:w="4556" w:type="dxa"/>
            <w:shd w:val="clear" w:color="auto" w:fill="auto"/>
          </w:tcPr>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rPr>
                <w:rFonts w:ascii="Calibri Light" w:hAnsi="Calibri Light" w:cs="Arial"/>
                <w:b/>
                <w:bCs/>
                <w:sz w:val="24"/>
                <w:szCs w:val="24"/>
              </w:rPr>
            </w:pPr>
            <w:r w:rsidRPr="009A240E">
              <w:rPr>
                <w:rFonts w:ascii="Calibri Light" w:hAnsi="Calibri Light" w:cs="Arial"/>
                <w:b/>
                <w:bCs/>
                <w:sz w:val="24"/>
                <w:szCs w:val="24"/>
              </w:rPr>
              <w:t>LICDA. MARÍA EUGENIA SANSORES RUZ</w:t>
            </w:r>
          </w:p>
          <w:p w:rsidR="005D2816" w:rsidRPr="009A240E" w:rsidRDefault="005D2816" w:rsidP="00DC3F4B">
            <w:pPr>
              <w:spacing w:after="0" w:line="240" w:lineRule="auto"/>
              <w:jc w:val="center"/>
              <w:rPr>
                <w:rFonts w:ascii="Calibri Light" w:hAnsi="Calibri Light" w:cs="Arial"/>
                <w:b/>
                <w:sz w:val="24"/>
                <w:szCs w:val="24"/>
              </w:rPr>
            </w:pPr>
            <w:r w:rsidRPr="009A240E">
              <w:rPr>
                <w:rFonts w:ascii="Calibri Light" w:hAnsi="Calibri Light" w:cs="Arial"/>
                <w:b/>
                <w:bCs/>
                <w:sz w:val="24"/>
                <w:szCs w:val="24"/>
              </w:rPr>
              <w:t>COMISIONADA</w:t>
            </w:r>
          </w:p>
        </w:tc>
        <w:tc>
          <w:tcPr>
            <w:tcW w:w="4557" w:type="dxa"/>
            <w:shd w:val="clear" w:color="auto" w:fill="auto"/>
          </w:tcPr>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jc w:val="center"/>
              <w:rPr>
                <w:rFonts w:ascii="Calibri Light" w:hAnsi="Calibri Light" w:cs="Arial"/>
                <w:b/>
                <w:bCs/>
                <w:sz w:val="24"/>
                <w:szCs w:val="24"/>
              </w:rPr>
            </w:pPr>
          </w:p>
          <w:p w:rsidR="005D2816" w:rsidRPr="009A240E" w:rsidRDefault="005D2816" w:rsidP="00DC3F4B">
            <w:pPr>
              <w:spacing w:after="0" w:line="240" w:lineRule="auto"/>
              <w:jc w:val="center"/>
              <w:rPr>
                <w:rFonts w:ascii="Calibri Light" w:hAnsi="Calibri Light" w:cs="Arial"/>
                <w:b/>
                <w:sz w:val="24"/>
                <w:szCs w:val="24"/>
              </w:rPr>
            </w:pPr>
            <w:r w:rsidRPr="009A240E">
              <w:rPr>
                <w:rFonts w:ascii="Calibri Light" w:hAnsi="Calibri Light" w:cs="Arial"/>
                <w:b/>
                <w:sz w:val="24"/>
                <w:szCs w:val="24"/>
              </w:rPr>
              <w:t>LIC. ALDRIN MARTÍN BRICEÑO CONRADO</w:t>
            </w:r>
          </w:p>
          <w:p w:rsidR="005D2816" w:rsidRPr="009A240E" w:rsidRDefault="005D2816" w:rsidP="00DC3F4B">
            <w:pPr>
              <w:spacing w:after="0" w:line="240" w:lineRule="auto"/>
              <w:jc w:val="center"/>
              <w:rPr>
                <w:rFonts w:ascii="Calibri Light" w:hAnsi="Calibri Light" w:cs="Arial"/>
                <w:b/>
                <w:sz w:val="24"/>
                <w:szCs w:val="24"/>
              </w:rPr>
            </w:pPr>
            <w:r w:rsidRPr="009A240E">
              <w:rPr>
                <w:rFonts w:ascii="Calibri Light" w:hAnsi="Calibri Light" w:cs="Arial"/>
                <w:b/>
                <w:bCs/>
                <w:sz w:val="24"/>
                <w:szCs w:val="24"/>
              </w:rPr>
              <w:t>COMISIONADO</w:t>
            </w:r>
          </w:p>
        </w:tc>
      </w:tr>
    </w:tbl>
    <w:p w:rsidR="005D2816" w:rsidRPr="009A240E" w:rsidRDefault="005D2816" w:rsidP="005D2816">
      <w:pPr>
        <w:spacing w:after="0" w:line="240" w:lineRule="auto"/>
        <w:rPr>
          <w:rFonts w:ascii="Calibri Light" w:hAnsi="Calibri Light"/>
          <w:b/>
          <w:sz w:val="24"/>
          <w:szCs w:val="24"/>
        </w:rPr>
      </w:pPr>
    </w:p>
    <w:p w:rsidR="00392683" w:rsidRPr="009A240E" w:rsidRDefault="00392683">
      <w:pPr>
        <w:rPr>
          <w:rFonts w:ascii="Calibri Light" w:hAnsi="Calibri Light"/>
          <w:sz w:val="24"/>
          <w:szCs w:val="24"/>
        </w:rPr>
      </w:pPr>
    </w:p>
    <w:sectPr w:rsidR="00392683" w:rsidRPr="009A240E" w:rsidSect="005D2816">
      <w:headerReference w:type="default" r:id="rId7"/>
      <w:footerReference w:type="default" r:id="rId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C0" w:rsidRDefault="00AE0EC0">
      <w:pPr>
        <w:spacing w:after="0" w:line="240" w:lineRule="auto"/>
      </w:pPr>
      <w:r>
        <w:separator/>
      </w:r>
    </w:p>
  </w:endnote>
  <w:endnote w:type="continuationSeparator" w:id="0">
    <w:p w:rsidR="00AE0EC0" w:rsidRDefault="00AE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023280"/>
      <w:docPartObj>
        <w:docPartGallery w:val="Page Numbers (Bottom of Page)"/>
        <w:docPartUnique/>
      </w:docPartObj>
    </w:sdtPr>
    <w:sdtEndPr/>
    <w:sdtContent>
      <w:p w:rsidR="00DC3F4B" w:rsidRDefault="00DC3F4B">
        <w:pPr>
          <w:pStyle w:val="Piedepgina"/>
          <w:jc w:val="right"/>
        </w:pPr>
        <w:r>
          <w:fldChar w:fldCharType="begin"/>
        </w:r>
        <w:r>
          <w:instrText xml:space="preserve"> PAGE   \* MERGEFORMAT </w:instrText>
        </w:r>
        <w:r>
          <w:fldChar w:fldCharType="separate"/>
        </w:r>
        <w:r w:rsidR="007123CC">
          <w:rPr>
            <w:noProof/>
          </w:rPr>
          <w:t>31</w:t>
        </w:r>
        <w:r>
          <w:rPr>
            <w:noProof/>
          </w:rPr>
          <w:fldChar w:fldCharType="end"/>
        </w:r>
      </w:p>
    </w:sdtContent>
  </w:sdt>
  <w:p w:rsidR="00DC3F4B" w:rsidRDefault="00DC3F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C0" w:rsidRDefault="00AE0EC0">
      <w:pPr>
        <w:spacing w:after="0" w:line="240" w:lineRule="auto"/>
      </w:pPr>
      <w:r>
        <w:separator/>
      </w:r>
    </w:p>
  </w:footnote>
  <w:footnote w:type="continuationSeparator" w:id="0">
    <w:p w:rsidR="00AE0EC0" w:rsidRDefault="00AE0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F4B" w:rsidRDefault="00DC3F4B">
    <w:pPr>
      <w:pStyle w:val="Encabezado"/>
    </w:pPr>
    <w:r>
      <w:rPr>
        <w:noProof/>
        <w:lang w:eastAsia="es-MX"/>
      </w:rPr>
      <w:drawing>
        <wp:inline distT="0" distB="0" distL="0" distR="0" wp14:anchorId="10C8BE66" wp14:editId="003CFA5E">
          <wp:extent cx="5612130" cy="9442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DC3F4B" w:rsidRDefault="00DC3F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16"/>
    <w:rsid w:val="00000E66"/>
    <w:rsid w:val="00016EAA"/>
    <w:rsid w:val="00282E91"/>
    <w:rsid w:val="00322EE3"/>
    <w:rsid w:val="00333F9A"/>
    <w:rsid w:val="00392683"/>
    <w:rsid w:val="005D2816"/>
    <w:rsid w:val="005E0AC4"/>
    <w:rsid w:val="005F52D5"/>
    <w:rsid w:val="006156CC"/>
    <w:rsid w:val="00630617"/>
    <w:rsid w:val="006B5571"/>
    <w:rsid w:val="007123CC"/>
    <w:rsid w:val="00712D4A"/>
    <w:rsid w:val="00760CA6"/>
    <w:rsid w:val="0076470E"/>
    <w:rsid w:val="007B40CA"/>
    <w:rsid w:val="00825B5E"/>
    <w:rsid w:val="00981D93"/>
    <w:rsid w:val="009A240E"/>
    <w:rsid w:val="009B14BC"/>
    <w:rsid w:val="009D4C9E"/>
    <w:rsid w:val="00AA5C80"/>
    <w:rsid w:val="00AE0EC0"/>
    <w:rsid w:val="00B315A1"/>
    <w:rsid w:val="00B46EF6"/>
    <w:rsid w:val="00B569E7"/>
    <w:rsid w:val="00BA1D32"/>
    <w:rsid w:val="00C62C22"/>
    <w:rsid w:val="00C9462E"/>
    <w:rsid w:val="00DC3F4B"/>
    <w:rsid w:val="00E13EC4"/>
    <w:rsid w:val="00E206F0"/>
    <w:rsid w:val="00E33870"/>
    <w:rsid w:val="00E512E5"/>
    <w:rsid w:val="00E635ED"/>
    <w:rsid w:val="00F55CD0"/>
    <w:rsid w:val="00F974E3"/>
    <w:rsid w:val="00FA73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D488E-DFAC-486B-B2AA-0A7CA16E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81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816"/>
    <w:pPr>
      <w:ind w:left="720"/>
      <w:contextualSpacing/>
    </w:pPr>
  </w:style>
  <w:style w:type="table" w:styleId="Tablaconcuadrcula">
    <w:name w:val="Table Grid"/>
    <w:basedOn w:val="Tablanormal"/>
    <w:uiPriority w:val="59"/>
    <w:rsid w:val="005D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2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816"/>
  </w:style>
  <w:style w:type="paragraph" w:styleId="Piedepgina">
    <w:name w:val="footer"/>
    <w:basedOn w:val="Normal"/>
    <w:link w:val="PiedepginaCar"/>
    <w:uiPriority w:val="99"/>
    <w:unhideWhenUsed/>
    <w:rsid w:val="005D28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816"/>
  </w:style>
  <w:style w:type="paragraph" w:styleId="Textodeglobo">
    <w:name w:val="Balloon Text"/>
    <w:basedOn w:val="Normal"/>
    <w:link w:val="TextodegloboCar"/>
    <w:uiPriority w:val="99"/>
    <w:semiHidden/>
    <w:unhideWhenUsed/>
    <w:rsid w:val="00630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32</Pages>
  <Words>10477</Words>
  <Characters>57629</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S.E</dc:creator>
  <cp:keywords/>
  <dc:description/>
  <cp:lastModifiedBy>Asistente S.E</cp:lastModifiedBy>
  <cp:revision>26</cp:revision>
  <cp:lastPrinted>2017-11-22T17:01:00Z</cp:lastPrinted>
  <dcterms:created xsi:type="dcterms:W3CDTF">2017-09-25T15:25:00Z</dcterms:created>
  <dcterms:modified xsi:type="dcterms:W3CDTF">2017-11-22T18:48:00Z</dcterms:modified>
</cp:coreProperties>
</file>