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9" w:rsidRPr="00D31FF7" w:rsidRDefault="00BB5A74" w:rsidP="003209F0">
      <w:pPr>
        <w:spacing w:after="0" w:line="240" w:lineRule="auto"/>
        <w:jc w:val="both"/>
        <w:rPr>
          <w:rFonts w:asciiTheme="majorHAnsi" w:hAnsiTheme="majorHAnsi"/>
          <w:b/>
          <w:sz w:val="26"/>
          <w:szCs w:val="26"/>
        </w:rPr>
      </w:pPr>
      <w:r w:rsidRPr="00D31FF7">
        <w:rPr>
          <w:rFonts w:asciiTheme="majorHAnsi" w:eastAsia="Arial" w:hAnsiTheme="majorHAnsi" w:cs="Arial"/>
          <w:b/>
          <w:sz w:val="26"/>
          <w:szCs w:val="26"/>
        </w:rPr>
        <w:t>TABLA DE</w:t>
      </w:r>
      <w:r w:rsidR="00930275" w:rsidRPr="00D31FF7">
        <w:rPr>
          <w:rFonts w:asciiTheme="majorHAnsi" w:eastAsia="Arial" w:hAnsiTheme="majorHAnsi" w:cs="Arial"/>
          <w:b/>
          <w:sz w:val="26"/>
          <w:szCs w:val="26"/>
        </w:rPr>
        <w:t xml:space="preserve"> APLICAB</w:t>
      </w:r>
      <w:r w:rsidR="00F8649F" w:rsidRPr="00D31FF7">
        <w:rPr>
          <w:rFonts w:asciiTheme="majorHAnsi" w:eastAsia="Arial" w:hAnsiTheme="majorHAnsi" w:cs="Arial"/>
          <w:b/>
          <w:sz w:val="26"/>
          <w:szCs w:val="26"/>
        </w:rPr>
        <w:t>ILIDAD DE LAS OBLIGACIONES DE TRANSPARENCIA ESPECÍFICAS DEL PODER EJECUTIVO, EN TÉRMINOS DEL NUMERAL NOVENO DE LOS LINEAMIENTOS TÉCNICOS GENERALES</w:t>
      </w:r>
    </w:p>
    <w:p w:rsidR="002A74C9" w:rsidRPr="00D31FF7" w:rsidRDefault="002A74C9" w:rsidP="003209F0">
      <w:pPr>
        <w:spacing w:after="0" w:line="240" w:lineRule="auto"/>
        <w:jc w:val="center"/>
        <w:rPr>
          <w:rFonts w:asciiTheme="majorHAnsi" w:hAnsiTheme="majorHAnsi"/>
          <w:b/>
          <w:sz w:val="26"/>
          <w:szCs w:val="26"/>
        </w:rPr>
      </w:pPr>
    </w:p>
    <w:p w:rsidR="00367B19" w:rsidRPr="00D31FF7" w:rsidRDefault="00367B19"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 xml:space="preserve">En la ciudad de Mérida, Yucatán, siendo las </w:t>
      </w:r>
      <w:r w:rsidR="00AF2125">
        <w:rPr>
          <w:rFonts w:asciiTheme="majorHAnsi" w:eastAsia="Arial" w:hAnsiTheme="majorHAnsi" w:cs="Arial"/>
          <w:sz w:val="26"/>
          <w:szCs w:val="26"/>
        </w:rPr>
        <w:t>trece horas con treinta</w:t>
      </w:r>
      <w:r w:rsidR="00D43BD4" w:rsidRPr="00D31FF7">
        <w:rPr>
          <w:rFonts w:asciiTheme="majorHAnsi" w:eastAsia="Arial" w:hAnsiTheme="majorHAnsi" w:cs="Arial"/>
          <w:sz w:val="26"/>
          <w:szCs w:val="26"/>
        </w:rPr>
        <w:t xml:space="preserve"> </w:t>
      </w:r>
      <w:r w:rsidRPr="00D31FF7">
        <w:rPr>
          <w:rFonts w:asciiTheme="majorHAnsi" w:eastAsia="Arial" w:hAnsiTheme="majorHAnsi" w:cs="Arial"/>
          <w:sz w:val="26"/>
          <w:szCs w:val="26"/>
        </w:rPr>
        <w:t xml:space="preserve">minutos, del día </w:t>
      </w:r>
      <w:r w:rsidR="00AF2125">
        <w:rPr>
          <w:rFonts w:asciiTheme="majorHAnsi" w:eastAsia="Arial" w:hAnsiTheme="majorHAnsi" w:cs="Arial"/>
          <w:sz w:val="26"/>
          <w:szCs w:val="26"/>
        </w:rPr>
        <w:t xml:space="preserve">siete </w:t>
      </w:r>
      <w:r w:rsidRPr="00D31FF7">
        <w:rPr>
          <w:rFonts w:asciiTheme="majorHAnsi" w:eastAsia="Arial" w:hAnsiTheme="majorHAnsi" w:cs="Arial"/>
          <w:sz w:val="26"/>
          <w:szCs w:val="26"/>
        </w:rPr>
        <w:t xml:space="preserve">de </w:t>
      </w:r>
      <w:r w:rsidR="00AF2125">
        <w:rPr>
          <w:rFonts w:asciiTheme="majorHAnsi" w:eastAsia="Arial" w:hAnsiTheme="majorHAnsi" w:cs="Arial"/>
          <w:sz w:val="26"/>
          <w:szCs w:val="26"/>
        </w:rPr>
        <w:t>agosto</w:t>
      </w:r>
      <w:r w:rsidRPr="00D31FF7">
        <w:rPr>
          <w:rFonts w:asciiTheme="majorHAnsi" w:eastAsia="Arial" w:hAnsiTheme="majorHAnsi" w:cs="Arial"/>
          <w:sz w:val="26"/>
          <w:szCs w:val="26"/>
        </w:rPr>
        <w:t xml:space="preserve"> del año dos mil diecisiete,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67B19" w:rsidRPr="00D31FF7" w:rsidRDefault="00367B19" w:rsidP="003209F0">
      <w:pPr>
        <w:spacing w:after="0" w:line="240" w:lineRule="auto"/>
        <w:jc w:val="center"/>
        <w:rPr>
          <w:rFonts w:asciiTheme="majorHAnsi" w:hAnsiTheme="majorHAnsi"/>
          <w:b/>
          <w:sz w:val="26"/>
          <w:szCs w:val="26"/>
        </w:rPr>
      </w:pPr>
    </w:p>
    <w:p w:rsidR="00866BBD" w:rsidRPr="00D31FF7" w:rsidRDefault="00866BBD" w:rsidP="003209F0">
      <w:pPr>
        <w:spacing w:after="0" w:line="240" w:lineRule="auto"/>
        <w:jc w:val="center"/>
        <w:rPr>
          <w:rFonts w:asciiTheme="majorHAnsi" w:hAnsiTheme="majorHAnsi"/>
          <w:b/>
          <w:sz w:val="26"/>
          <w:szCs w:val="26"/>
        </w:rPr>
      </w:pPr>
      <w:r w:rsidRPr="00D31FF7">
        <w:rPr>
          <w:rFonts w:asciiTheme="majorHAnsi" w:hAnsiTheme="majorHAnsi"/>
          <w:b/>
          <w:sz w:val="26"/>
          <w:szCs w:val="26"/>
        </w:rPr>
        <w:t>ANTECEDENTES</w:t>
      </w:r>
    </w:p>
    <w:p w:rsidR="00866BBD" w:rsidRPr="00D31FF7" w:rsidRDefault="00866BBD" w:rsidP="003209F0">
      <w:pPr>
        <w:spacing w:after="0" w:line="240" w:lineRule="auto"/>
        <w:jc w:val="center"/>
        <w:rPr>
          <w:rFonts w:asciiTheme="majorHAnsi" w:hAnsiTheme="majorHAnsi"/>
          <w:b/>
          <w:sz w:val="26"/>
          <w:szCs w:val="26"/>
        </w:rPr>
      </w:pPr>
    </w:p>
    <w:p w:rsidR="00574205" w:rsidRPr="00D31FF7" w:rsidRDefault="00866BBD" w:rsidP="003209F0">
      <w:pPr>
        <w:spacing w:after="0" w:line="240" w:lineRule="auto"/>
        <w:jc w:val="both"/>
        <w:rPr>
          <w:rFonts w:asciiTheme="majorHAnsi" w:hAnsiTheme="majorHAnsi"/>
          <w:i/>
          <w:sz w:val="26"/>
          <w:szCs w:val="26"/>
        </w:rPr>
      </w:pPr>
      <w:r w:rsidRPr="00D31FF7">
        <w:rPr>
          <w:rFonts w:asciiTheme="majorHAnsi" w:hAnsiTheme="majorHAnsi"/>
          <w:b/>
          <w:sz w:val="26"/>
          <w:szCs w:val="26"/>
        </w:rPr>
        <w:t>PRIMERO.-</w:t>
      </w:r>
      <w:r w:rsidRPr="00D31FF7">
        <w:rPr>
          <w:rFonts w:asciiTheme="majorHAnsi" w:hAnsiTheme="majorHAnsi"/>
          <w:sz w:val="26"/>
          <w:szCs w:val="26"/>
        </w:rPr>
        <w:t xml:space="preserve"> </w:t>
      </w:r>
      <w:r w:rsidRPr="00D31FF7">
        <w:rPr>
          <w:rFonts w:asciiTheme="majorHAnsi" w:eastAsia="Arial" w:hAnsiTheme="majorHAnsi" w:cs="Arial"/>
          <w:sz w:val="26"/>
          <w:szCs w:val="26"/>
        </w:rPr>
        <w:t>El 7 de febrero de 2014, se publicó en el Diario Oficial de la Federación el Decreto por el que se reforman y adicionan diversas disposiciones de la Constitución Política de los Estados Unidos Mexicanos, en materia de Transparencia.</w:t>
      </w:r>
    </w:p>
    <w:p w:rsidR="00574205" w:rsidRPr="00D31FF7" w:rsidRDefault="00574205" w:rsidP="003209F0">
      <w:pPr>
        <w:spacing w:after="0" w:line="240" w:lineRule="auto"/>
        <w:jc w:val="both"/>
        <w:rPr>
          <w:rFonts w:asciiTheme="majorHAnsi" w:hAnsiTheme="majorHAnsi"/>
          <w:sz w:val="26"/>
          <w:szCs w:val="26"/>
        </w:rPr>
      </w:pPr>
    </w:p>
    <w:p w:rsidR="007B1E58" w:rsidRPr="00D31FF7" w:rsidRDefault="00866BBD"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SEGUNDO.- </w:t>
      </w:r>
      <w:r w:rsidRPr="00D31FF7">
        <w:rPr>
          <w:rFonts w:asciiTheme="majorHAnsi" w:eastAsia="Arial" w:hAnsiTheme="majorHAnsi" w:cs="Arial"/>
          <w:sz w:val="26"/>
          <w:szCs w:val="26"/>
        </w:rPr>
        <w:t xml:space="preserve">El 4 de mayo de 2015, se publicó en el Diario Oficial de la Federación el Decreto por el que se expide la Ley General de Transparencia y Acceso a la Información Pública, Ley reglamentaria del artículo 6 constitucional. Dicha Ley, en </w:t>
      </w:r>
      <w:r w:rsidR="0045325F" w:rsidRPr="00D31FF7">
        <w:rPr>
          <w:rFonts w:asciiTheme="majorHAnsi" w:eastAsia="Arial" w:hAnsiTheme="majorHAnsi" w:cs="Arial"/>
          <w:sz w:val="26"/>
          <w:szCs w:val="26"/>
        </w:rPr>
        <w:t>el último párrafo del</w:t>
      </w:r>
      <w:r w:rsidRPr="00D31FF7">
        <w:rPr>
          <w:rFonts w:asciiTheme="majorHAnsi" w:eastAsia="Arial" w:hAnsiTheme="majorHAnsi" w:cs="Arial"/>
          <w:sz w:val="26"/>
          <w:szCs w:val="26"/>
        </w:rPr>
        <w:t xml:space="preserve"> </w:t>
      </w:r>
      <w:r w:rsidR="007B1E58" w:rsidRPr="00D31FF7">
        <w:rPr>
          <w:rFonts w:asciiTheme="majorHAnsi" w:eastAsia="Arial" w:hAnsiTheme="majorHAnsi" w:cs="Arial"/>
          <w:sz w:val="26"/>
          <w:szCs w:val="26"/>
        </w:rPr>
        <w:t xml:space="preserve">artículo </w:t>
      </w:r>
      <w:r w:rsidR="0045325F" w:rsidRPr="00D31FF7">
        <w:rPr>
          <w:rFonts w:asciiTheme="majorHAnsi" w:eastAsia="Arial" w:hAnsiTheme="majorHAnsi" w:cs="Arial"/>
          <w:sz w:val="26"/>
          <w:szCs w:val="26"/>
        </w:rPr>
        <w:t>70</w:t>
      </w:r>
      <w:r w:rsidR="007B1E58" w:rsidRPr="00D31FF7">
        <w:rPr>
          <w:rFonts w:asciiTheme="majorHAnsi" w:eastAsia="Arial" w:hAnsiTheme="majorHAnsi" w:cs="Arial"/>
          <w:sz w:val="26"/>
          <w:szCs w:val="26"/>
        </w:rPr>
        <w:t xml:space="preserve"> dispone que:</w:t>
      </w:r>
    </w:p>
    <w:p w:rsidR="007B1E58" w:rsidRPr="00D31FF7" w:rsidRDefault="007B1E58" w:rsidP="003209F0">
      <w:pPr>
        <w:spacing w:after="0" w:line="240" w:lineRule="auto"/>
        <w:jc w:val="both"/>
        <w:rPr>
          <w:rFonts w:asciiTheme="majorHAnsi" w:eastAsia="Arial" w:hAnsiTheme="majorHAnsi" w:cs="Arial"/>
          <w:sz w:val="26"/>
          <w:szCs w:val="26"/>
        </w:rPr>
      </w:pPr>
    </w:p>
    <w:p w:rsidR="00866BBD" w:rsidRPr="00D31FF7" w:rsidRDefault="007B1E58" w:rsidP="003209F0">
      <w:pPr>
        <w:spacing w:after="0" w:line="240" w:lineRule="auto"/>
        <w:ind w:left="851" w:right="616"/>
        <w:jc w:val="both"/>
        <w:rPr>
          <w:rFonts w:asciiTheme="majorHAnsi" w:eastAsia="Arial" w:hAnsiTheme="majorHAnsi" w:cs="Arial"/>
          <w:sz w:val="26"/>
          <w:szCs w:val="26"/>
        </w:rPr>
      </w:pPr>
      <w:r w:rsidRPr="00D31FF7">
        <w:rPr>
          <w:rFonts w:asciiTheme="majorHAnsi" w:eastAsia="Arial" w:hAnsiTheme="majorHAnsi" w:cs="Arial"/>
          <w:sz w:val="26"/>
          <w:szCs w:val="26"/>
        </w:rPr>
        <w:t>“..</w:t>
      </w:r>
      <w:r w:rsidR="00866BBD" w:rsidRPr="00D31FF7">
        <w:rPr>
          <w:rFonts w:asciiTheme="majorHAnsi" w:eastAsia="Arial" w:hAnsiTheme="majorHAnsi" w:cs="Arial"/>
          <w:sz w:val="26"/>
          <w:szCs w:val="26"/>
        </w:rPr>
        <w:t>.</w:t>
      </w:r>
      <w:r w:rsidR="0045325F" w:rsidRPr="00D31FF7">
        <w:rPr>
          <w:rFonts w:asciiTheme="majorHAnsi" w:eastAsia="Arial" w:hAnsiTheme="majorHAnsi" w:cs="Arial"/>
          <w:sz w:val="26"/>
          <w:szCs w:val="26"/>
        </w:rPr>
        <w:t>Los sujetos obligados deberán informar a los Organismos garantes y verificar que se publiquen en la</w:t>
      </w:r>
      <w:r w:rsidR="00422341" w:rsidRPr="00D31FF7">
        <w:rPr>
          <w:rFonts w:asciiTheme="majorHAnsi" w:eastAsia="Arial" w:hAnsiTheme="majorHAnsi"/>
          <w:sz w:val="26"/>
          <w:szCs w:val="26"/>
        </w:rPr>
        <w:t xml:space="preserve"> </w:t>
      </w:r>
      <w:r w:rsidR="0045325F" w:rsidRPr="00D31FF7">
        <w:rPr>
          <w:rFonts w:asciiTheme="majorHAnsi" w:eastAsia="Arial" w:hAnsiTheme="majorHAnsi" w:cs="Arial"/>
          <w:sz w:val="26"/>
          <w:szCs w:val="26"/>
        </w:rPr>
        <w:t>Plataforma Nacional, cuáles son los rubros que son aplicables a sus páginas de Internet, con el objeto de que</w:t>
      </w:r>
      <w:r w:rsidR="00422341" w:rsidRPr="00D31FF7">
        <w:rPr>
          <w:rFonts w:asciiTheme="majorHAnsi" w:eastAsia="Arial" w:hAnsiTheme="majorHAnsi"/>
          <w:sz w:val="26"/>
          <w:szCs w:val="26"/>
        </w:rPr>
        <w:t xml:space="preserve"> </w:t>
      </w:r>
      <w:r w:rsidR="0045325F" w:rsidRPr="00D31FF7">
        <w:rPr>
          <w:rFonts w:asciiTheme="majorHAnsi" w:eastAsia="Arial" w:hAnsiTheme="majorHAnsi" w:cs="Arial"/>
          <w:sz w:val="26"/>
          <w:szCs w:val="26"/>
        </w:rPr>
        <w:t>éstos verifiquen y aprueben, de forma fundada y motivada, la relación de fracciones aplicables a cada sujeto</w:t>
      </w:r>
      <w:r w:rsidR="00422341" w:rsidRPr="00D31FF7">
        <w:rPr>
          <w:rFonts w:asciiTheme="majorHAnsi" w:eastAsia="Arial" w:hAnsiTheme="majorHAnsi"/>
          <w:sz w:val="26"/>
          <w:szCs w:val="26"/>
        </w:rPr>
        <w:t xml:space="preserve"> </w:t>
      </w:r>
      <w:r w:rsidR="0045325F" w:rsidRPr="00D31FF7">
        <w:rPr>
          <w:rFonts w:asciiTheme="majorHAnsi" w:eastAsia="Arial" w:hAnsiTheme="majorHAnsi" w:cs="Arial"/>
          <w:sz w:val="26"/>
          <w:szCs w:val="26"/>
        </w:rPr>
        <w:t>obligado.</w:t>
      </w:r>
      <w:r w:rsidRPr="00D31FF7">
        <w:rPr>
          <w:rFonts w:asciiTheme="majorHAnsi" w:eastAsia="Arial" w:hAnsiTheme="majorHAnsi" w:cs="Arial"/>
          <w:sz w:val="26"/>
          <w:szCs w:val="26"/>
        </w:rPr>
        <w:t>…”</w:t>
      </w:r>
    </w:p>
    <w:p w:rsidR="00866BBD" w:rsidRPr="00D31FF7" w:rsidRDefault="00866BBD" w:rsidP="003209F0">
      <w:pPr>
        <w:spacing w:after="0" w:line="240" w:lineRule="auto"/>
        <w:jc w:val="both"/>
        <w:rPr>
          <w:rFonts w:asciiTheme="majorHAnsi" w:eastAsia="Arial" w:hAnsiTheme="majorHAnsi" w:cs="Arial"/>
          <w:b/>
          <w:sz w:val="26"/>
          <w:szCs w:val="26"/>
        </w:rPr>
      </w:pPr>
    </w:p>
    <w:p w:rsidR="00866BBD" w:rsidRPr="00D31FF7" w:rsidRDefault="00866BBD"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TERCERO.- </w:t>
      </w:r>
      <w:r w:rsidRPr="00D31FF7">
        <w:rPr>
          <w:rFonts w:asciiTheme="majorHAnsi" w:eastAsia="Arial" w:hAnsiTheme="majorHAnsi" w:cs="Arial"/>
          <w:sz w:val="26"/>
          <w:szCs w:val="26"/>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D31FF7" w:rsidRDefault="00866BBD" w:rsidP="003209F0">
      <w:pPr>
        <w:spacing w:after="0" w:line="240" w:lineRule="auto"/>
        <w:jc w:val="both"/>
        <w:rPr>
          <w:rFonts w:asciiTheme="majorHAnsi" w:eastAsia="Arial" w:hAnsiTheme="majorHAnsi" w:cs="Arial"/>
          <w:b/>
          <w:sz w:val="26"/>
          <w:szCs w:val="26"/>
        </w:rPr>
      </w:pPr>
    </w:p>
    <w:p w:rsidR="00866BBD" w:rsidRPr="00D31FF7" w:rsidRDefault="00866BBD"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lastRenderedPageBreak/>
        <w:t>CUARTO.-</w:t>
      </w:r>
      <w:r w:rsidRPr="00D31FF7">
        <w:rPr>
          <w:rFonts w:asciiTheme="majorHAnsi" w:eastAsia="Arial" w:hAnsiTheme="majorHAnsi" w:cs="Arial"/>
          <w:sz w:val="26"/>
          <w:szCs w:val="26"/>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AF3343" w:rsidRPr="00D31FF7" w:rsidRDefault="00AF3343" w:rsidP="003209F0">
      <w:pPr>
        <w:spacing w:after="0" w:line="240" w:lineRule="auto"/>
        <w:jc w:val="both"/>
        <w:rPr>
          <w:rFonts w:asciiTheme="majorHAnsi" w:eastAsia="Arial" w:hAnsiTheme="majorHAnsi" w:cs="Arial"/>
          <w:sz w:val="26"/>
          <w:szCs w:val="26"/>
        </w:rPr>
      </w:pPr>
    </w:p>
    <w:p w:rsidR="00AF3343" w:rsidRPr="00D31FF7" w:rsidRDefault="00AF3343"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 xml:space="preserve">La referida Ley estatal, indica en su artículo </w:t>
      </w:r>
      <w:r w:rsidR="00422341" w:rsidRPr="00D31FF7">
        <w:rPr>
          <w:rFonts w:asciiTheme="majorHAnsi" w:eastAsia="Arial" w:hAnsiTheme="majorHAnsi" w:cs="Arial"/>
          <w:sz w:val="26"/>
          <w:szCs w:val="26"/>
        </w:rPr>
        <w:t>55</w:t>
      </w:r>
      <w:r w:rsidRPr="00D31FF7">
        <w:rPr>
          <w:rFonts w:asciiTheme="majorHAnsi" w:eastAsia="Arial" w:hAnsiTheme="majorHAnsi" w:cs="Arial"/>
          <w:sz w:val="26"/>
          <w:szCs w:val="26"/>
        </w:rPr>
        <w:t>, que:</w:t>
      </w:r>
    </w:p>
    <w:p w:rsidR="00AF3343" w:rsidRPr="00D31FF7" w:rsidRDefault="00AF3343" w:rsidP="003209F0">
      <w:pPr>
        <w:spacing w:after="0" w:line="240" w:lineRule="auto"/>
        <w:jc w:val="both"/>
        <w:rPr>
          <w:rFonts w:asciiTheme="majorHAnsi" w:eastAsia="Arial" w:hAnsiTheme="majorHAnsi" w:cs="Arial"/>
          <w:sz w:val="26"/>
          <w:szCs w:val="26"/>
        </w:rPr>
      </w:pPr>
    </w:p>
    <w:p w:rsidR="00AF3343" w:rsidRPr="00D31FF7" w:rsidRDefault="00AF3343" w:rsidP="003209F0">
      <w:pPr>
        <w:spacing w:after="0" w:line="240" w:lineRule="auto"/>
        <w:ind w:left="851" w:right="616"/>
        <w:jc w:val="both"/>
        <w:rPr>
          <w:rFonts w:asciiTheme="majorHAnsi" w:eastAsia="Arial" w:hAnsiTheme="majorHAnsi" w:cs="Arial"/>
          <w:sz w:val="26"/>
          <w:szCs w:val="26"/>
        </w:rPr>
      </w:pPr>
      <w:r w:rsidRPr="00D31FF7">
        <w:rPr>
          <w:rFonts w:asciiTheme="majorHAnsi" w:eastAsia="Arial" w:hAnsiTheme="majorHAnsi" w:cs="Arial"/>
          <w:sz w:val="26"/>
          <w:szCs w:val="26"/>
        </w:rPr>
        <w:t>“…</w:t>
      </w:r>
      <w:r w:rsidR="00DC4CF8" w:rsidRPr="00D31FF7">
        <w:rPr>
          <w:rFonts w:asciiTheme="majorHAnsi" w:eastAsia="Arial" w:hAnsiTheme="majorHAnsi" w:cs="Arial"/>
          <w:sz w:val="26"/>
          <w:szCs w:val="26"/>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D31FF7">
        <w:rPr>
          <w:rFonts w:asciiTheme="majorHAnsi" w:eastAsia="Arial" w:hAnsiTheme="majorHAnsi" w:cs="Arial"/>
          <w:sz w:val="26"/>
          <w:szCs w:val="26"/>
        </w:rPr>
        <w:t>…”</w:t>
      </w:r>
    </w:p>
    <w:p w:rsidR="00AF3343" w:rsidRPr="00D31FF7" w:rsidRDefault="00AF3343" w:rsidP="003209F0">
      <w:pPr>
        <w:spacing w:after="0" w:line="240" w:lineRule="auto"/>
        <w:jc w:val="both"/>
        <w:rPr>
          <w:rFonts w:asciiTheme="majorHAnsi" w:eastAsia="Arial" w:hAnsiTheme="majorHAnsi" w:cs="Arial"/>
          <w:b/>
          <w:sz w:val="26"/>
          <w:szCs w:val="26"/>
        </w:rPr>
      </w:pPr>
    </w:p>
    <w:p w:rsidR="00DC4CF8" w:rsidRPr="00D31FF7" w:rsidRDefault="00582AA2"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QUINTO.- </w:t>
      </w:r>
      <w:r w:rsidR="00DC4CF8" w:rsidRPr="00D31FF7">
        <w:rPr>
          <w:rFonts w:asciiTheme="majorHAnsi" w:eastAsia="Arial" w:hAnsiTheme="majorHAnsi" w:cs="Arial"/>
          <w:sz w:val="26"/>
          <w:szCs w:val="26"/>
        </w:rPr>
        <w:t>El Consejo Nacional del Sistema Nacional de Transparencia, Acceso a la Información y Protección de Datos Personales</w:t>
      </w:r>
      <w:r w:rsidR="00B12D2C">
        <w:rPr>
          <w:rFonts w:asciiTheme="majorHAnsi" w:eastAsia="Arial" w:hAnsiTheme="majorHAnsi" w:cs="Arial"/>
          <w:sz w:val="26"/>
          <w:szCs w:val="26"/>
        </w:rPr>
        <w:t>,</w:t>
      </w:r>
      <w:r w:rsidR="00DC4CF8" w:rsidRPr="00D31FF7">
        <w:rPr>
          <w:rFonts w:asciiTheme="majorHAnsi" w:eastAsia="Arial" w:hAnsiTheme="majorHAnsi" w:cs="Arial"/>
          <w:sz w:val="26"/>
          <w:szCs w:val="26"/>
        </w:rPr>
        <w:t xml:space="preserve">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D31FF7">
        <w:rPr>
          <w:rFonts w:asciiTheme="majorHAnsi" w:eastAsia="Arial" w:hAnsiTheme="majorHAnsi" w:cs="Arial"/>
          <w:sz w:val="26"/>
          <w:szCs w:val="26"/>
        </w:rPr>
        <w:t>t</w:t>
      </w:r>
      <w:r w:rsidR="00DC4CF8" w:rsidRPr="00D31FF7">
        <w:rPr>
          <w:rFonts w:asciiTheme="majorHAnsi" w:eastAsia="Arial" w:hAnsiTheme="majorHAnsi" w:cs="Arial"/>
          <w:sz w:val="26"/>
          <w:szCs w:val="26"/>
        </w:rPr>
        <w:t>écnicos</w:t>
      </w:r>
      <w:r w:rsidR="00163E09" w:rsidRPr="00D31FF7">
        <w:rPr>
          <w:rFonts w:asciiTheme="majorHAnsi" w:eastAsia="Arial" w:hAnsiTheme="majorHAnsi" w:cs="Arial"/>
          <w:sz w:val="26"/>
          <w:szCs w:val="26"/>
        </w:rPr>
        <w:t xml:space="preserve"> generales</w:t>
      </w:r>
      <w:r w:rsidR="00DC4CF8" w:rsidRPr="00D31FF7">
        <w:rPr>
          <w:rFonts w:asciiTheme="majorHAnsi" w:eastAsia="Arial" w:hAnsiTheme="majorHAnsi" w:cs="Arial"/>
          <w:sz w:val="26"/>
          <w:szCs w:val="26"/>
        </w:rPr>
        <w:t xml:space="preserve">), publicados en el Diario Oficial de la Federación el </w:t>
      </w:r>
      <w:r w:rsidR="005A684A" w:rsidRPr="00D31FF7">
        <w:rPr>
          <w:rFonts w:asciiTheme="majorHAnsi" w:eastAsia="Arial" w:hAnsiTheme="majorHAnsi" w:cs="Arial"/>
          <w:sz w:val="26"/>
          <w:szCs w:val="26"/>
        </w:rPr>
        <w:t>4</w:t>
      </w:r>
      <w:r w:rsidR="00DC4CF8" w:rsidRPr="00D31FF7">
        <w:rPr>
          <w:rFonts w:asciiTheme="majorHAnsi" w:eastAsia="Arial" w:hAnsiTheme="majorHAnsi" w:cs="Arial"/>
          <w:sz w:val="26"/>
          <w:szCs w:val="26"/>
        </w:rPr>
        <w:t xml:space="preserve"> de mayo de </w:t>
      </w:r>
      <w:r w:rsidR="005A684A" w:rsidRPr="00D31FF7">
        <w:rPr>
          <w:rFonts w:asciiTheme="majorHAnsi" w:eastAsia="Arial" w:hAnsiTheme="majorHAnsi" w:cs="Arial"/>
          <w:sz w:val="26"/>
          <w:szCs w:val="26"/>
        </w:rPr>
        <w:t>2016</w:t>
      </w:r>
      <w:r w:rsidR="00DC4CF8" w:rsidRPr="00D31FF7">
        <w:rPr>
          <w:rFonts w:asciiTheme="majorHAnsi" w:eastAsia="Arial" w:hAnsiTheme="majorHAnsi" w:cs="Arial"/>
          <w:sz w:val="26"/>
          <w:szCs w:val="26"/>
        </w:rPr>
        <w:t>.</w:t>
      </w:r>
    </w:p>
    <w:p w:rsidR="005A684A" w:rsidRPr="00D31FF7" w:rsidRDefault="005A684A" w:rsidP="003209F0">
      <w:pPr>
        <w:spacing w:after="0" w:line="240" w:lineRule="auto"/>
        <w:jc w:val="both"/>
        <w:rPr>
          <w:rFonts w:asciiTheme="majorHAnsi" w:eastAsia="Arial" w:hAnsiTheme="majorHAnsi" w:cs="Arial"/>
          <w:sz w:val="26"/>
          <w:szCs w:val="26"/>
        </w:rPr>
      </w:pPr>
    </w:p>
    <w:p w:rsidR="00B6555F" w:rsidRPr="00D31FF7" w:rsidRDefault="00582AA2"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 xml:space="preserve">En los referidos Lineamientos, se contemplan las especificaciones necesarias para la homologación en la presentación y publicación de la información prescrita en el Título Quinto de la Ley </w:t>
      </w:r>
      <w:r w:rsidR="00163E09" w:rsidRPr="00D31FF7">
        <w:rPr>
          <w:rFonts w:asciiTheme="majorHAnsi" w:eastAsia="Arial" w:hAnsiTheme="majorHAnsi" w:cs="Arial"/>
          <w:sz w:val="26"/>
          <w:szCs w:val="26"/>
        </w:rPr>
        <w:t>g</w:t>
      </w:r>
      <w:r w:rsidRPr="00D31FF7">
        <w:rPr>
          <w:rFonts w:asciiTheme="majorHAnsi" w:eastAsia="Arial" w:hAnsiTheme="majorHAnsi" w:cs="Arial"/>
          <w:sz w:val="26"/>
          <w:szCs w:val="26"/>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5A684A" w:rsidRPr="00D31FF7" w:rsidRDefault="005A684A" w:rsidP="003209F0">
      <w:pPr>
        <w:spacing w:after="0" w:line="240" w:lineRule="auto"/>
        <w:jc w:val="both"/>
        <w:rPr>
          <w:rFonts w:asciiTheme="majorHAnsi" w:eastAsia="Arial" w:hAnsiTheme="majorHAnsi" w:cs="Arial"/>
          <w:b/>
          <w:sz w:val="26"/>
          <w:szCs w:val="26"/>
        </w:rPr>
      </w:pPr>
    </w:p>
    <w:p w:rsidR="00A16D01" w:rsidRPr="00D31FF7" w:rsidRDefault="00A16D01" w:rsidP="003209F0">
      <w:pPr>
        <w:spacing w:after="0" w:line="240" w:lineRule="auto"/>
        <w:jc w:val="center"/>
        <w:rPr>
          <w:rFonts w:asciiTheme="majorHAnsi" w:hAnsiTheme="majorHAnsi"/>
          <w:b/>
          <w:sz w:val="26"/>
          <w:szCs w:val="26"/>
        </w:rPr>
      </w:pPr>
      <w:r w:rsidRPr="00D31FF7">
        <w:rPr>
          <w:rFonts w:asciiTheme="majorHAnsi" w:hAnsiTheme="majorHAnsi"/>
          <w:b/>
          <w:sz w:val="26"/>
          <w:szCs w:val="26"/>
        </w:rPr>
        <w:t>CONSIDERANDOS</w:t>
      </w:r>
    </w:p>
    <w:p w:rsidR="00807346" w:rsidRPr="00D31FF7" w:rsidRDefault="00807346" w:rsidP="003209F0">
      <w:pPr>
        <w:spacing w:after="0" w:line="240" w:lineRule="auto"/>
        <w:jc w:val="both"/>
        <w:rPr>
          <w:rFonts w:asciiTheme="majorHAnsi" w:eastAsia="Arial" w:hAnsiTheme="majorHAnsi" w:cs="Arial"/>
          <w:b/>
          <w:sz w:val="26"/>
          <w:szCs w:val="26"/>
        </w:rPr>
      </w:pPr>
    </w:p>
    <w:p w:rsidR="00807346" w:rsidRPr="00D31FF7" w:rsidRDefault="00A16D0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PRIMERO.- </w:t>
      </w:r>
      <w:r w:rsidR="000317AB" w:rsidRPr="00D31FF7">
        <w:rPr>
          <w:rFonts w:asciiTheme="majorHAnsi" w:eastAsia="Arial" w:hAnsiTheme="majorHAnsi" w:cs="Arial"/>
          <w:sz w:val="26"/>
          <w:szCs w:val="26"/>
        </w:rPr>
        <w:t xml:space="preserve">El Instituto Estatal de Transparencia, Acceso a la Información Pública y Protección de Datos Personales es un organismo público autónomo, especializado, independiente, imparcial y colegiado, con personalidad jurídica y patrimonio </w:t>
      </w:r>
      <w:r w:rsidR="000317AB" w:rsidRPr="00D31FF7">
        <w:rPr>
          <w:rFonts w:asciiTheme="majorHAnsi" w:eastAsia="Arial" w:hAnsiTheme="majorHAnsi" w:cs="Arial"/>
          <w:sz w:val="26"/>
          <w:szCs w:val="26"/>
        </w:rPr>
        <w:lastRenderedPageBreak/>
        <w:t xml:space="preserve">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D31FF7">
        <w:rPr>
          <w:rFonts w:asciiTheme="majorHAnsi" w:eastAsia="Arial" w:hAnsiTheme="majorHAnsi" w:cs="Arial"/>
          <w:sz w:val="26"/>
          <w:szCs w:val="26"/>
        </w:rPr>
        <w:t>la</w:t>
      </w:r>
      <w:r w:rsidR="000317AB" w:rsidRPr="00D31FF7">
        <w:rPr>
          <w:rFonts w:asciiTheme="majorHAnsi" w:eastAsia="Arial" w:hAnsiTheme="majorHAnsi" w:cs="Arial"/>
          <w:sz w:val="26"/>
          <w:szCs w:val="26"/>
        </w:rPr>
        <w:t xml:space="preserve"> </w:t>
      </w:r>
      <w:r w:rsidR="002A74C9" w:rsidRPr="00D31FF7">
        <w:rPr>
          <w:rFonts w:asciiTheme="majorHAnsi" w:eastAsia="Arial" w:hAnsiTheme="majorHAnsi" w:cs="Arial"/>
          <w:sz w:val="26"/>
          <w:szCs w:val="26"/>
        </w:rPr>
        <w:t>L</w:t>
      </w:r>
      <w:r w:rsidR="000317AB" w:rsidRPr="00D31FF7">
        <w:rPr>
          <w:rFonts w:asciiTheme="majorHAnsi" w:eastAsia="Arial" w:hAnsiTheme="majorHAnsi" w:cs="Arial"/>
          <w:sz w:val="26"/>
          <w:szCs w:val="26"/>
        </w:rPr>
        <w:t>ey</w:t>
      </w:r>
      <w:r w:rsidR="002A74C9" w:rsidRPr="00D31FF7">
        <w:rPr>
          <w:rFonts w:asciiTheme="majorHAnsi" w:eastAsia="Arial" w:hAnsiTheme="majorHAnsi" w:cs="Arial"/>
          <w:sz w:val="26"/>
          <w:szCs w:val="26"/>
        </w:rPr>
        <w:t xml:space="preserve"> estatal de la materia</w:t>
      </w:r>
      <w:r w:rsidR="000317AB" w:rsidRPr="00D31FF7">
        <w:rPr>
          <w:rFonts w:asciiTheme="majorHAnsi" w:eastAsia="Arial" w:hAnsiTheme="majorHAnsi" w:cs="Arial"/>
          <w:sz w:val="26"/>
          <w:szCs w:val="26"/>
        </w:rPr>
        <w:t xml:space="preserve"> y demás disposiciones normativas aplicables.</w:t>
      </w:r>
    </w:p>
    <w:p w:rsidR="006136C0" w:rsidRPr="00D31FF7" w:rsidRDefault="006136C0" w:rsidP="003209F0">
      <w:pPr>
        <w:spacing w:after="0" w:line="240" w:lineRule="auto"/>
        <w:jc w:val="both"/>
        <w:rPr>
          <w:rFonts w:asciiTheme="majorHAnsi" w:eastAsia="Arial" w:hAnsiTheme="majorHAnsi" w:cs="Arial"/>
          <w:sz w:val="26"/>
          <w:szCs w:val="26"/>
        </w:rPr>
      </w:pPr>
    </w:p>
    <w:p w:rsidR="009160F1" w:rsidRPr="00D31FF7" w:rsidRDefault="00D94442"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SEGUNDO.</w:t>
      </w:r>
      <w:r w:rsidRPr="00D31FF7">
        <w:rPr>
          <w:rFonts w:asciiTheme="majorHAnsi" w:eastAsia="Arial" w:hAnsiTheme="majorHAnsi" w:cs="Arial"/>
          <w:sz w:val="26"/>
          <w:szCs w:val="26"/>
        </w:rPr>
        <w:t>-</w:t>
      </w:r>
      <w:r w:rsidR="000317AB" w:rsidRPr="00D31FF7">
        <w:rPr>
          <w:rFonts w:asciiTheme="majorHAnsi" w:eastAsia="Arial" w:hAnsiTheme="majorHAnsi" w:cs="Arial"/>
          <w:sz w:val="26"/>
          <w:szCs w:val="26"/>
        </w:rPr>
        <w:t xml:space="preserve"> </w:t>
      </w:r>
      <w:r w:rsidR="009160F1" w:rsidRPr="00D31FF7">
        <w:rPr>
          <w:rFonts w:asciiTheme="majorHAnsi" w:eastAsia="Arial" w:hAnsiTheme="majorHAnsi" w:cs="Arial"/>
          <w:sz w:val="26"/>
          <w:szCs w:val="26"/>
        </w:rPr>
        <w:t xml:space="preserve">De conformidad con lo señalado en el </w:t>
      </w:r>
      <w:r w:rsidR="00F8649F" w:rsidRPr="00D31FF7">
        <w:rPr>
          <w:rFonts w:asciiTheme="majorHAnsi" w:eastAsia="Arial" w:hAnsiTheme="majorHAnsi" w:cs="Arial"/>
          <w:sz w:val="26"/>
          <w:szCs w:val="26"/>
        </w:rPr>
        <w:t>numeral noveno de los Lineamientos Técnicos Generales</w:t>
      </w:r>
      <w:r w:rsidR="00FE1A82" w:rsidRPr="00D31FF7">
        <w:rPr>
          <w:rFonts w:asciiTheme="majorHAnsi" w:eastAsia="Arial" w:hAnsiTheme="majorHAnsi" w:cs="Arial"/>
          <w:sz w:val="26"/>
          <w:szCs w:val="26"/>
        </w:rPr>
        <w:t>, en su fracci</w:t>
      </w:r>
      <w:r w:rsidR="003A51BF" w:rsidRPr="00D31FF7">
        <w:rPr>
          <w:rFonts w:asciiTheme="majorHAnsi" w:eastAsia="Arial" w:hAnsiTheme="majorHAnsi" w:cs="Arial"/>
          <w:sz w:val="26"/>
          <w:szCs w:val="26"/>
        </w:rPr>
        <w:t>ón III, los sujetos obligados publicarán 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tabla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de aplicabilidad de las obligaciones de transparencia comunes y específicas, la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cual</w:t>
      </w:r>
      <w:r w:rsidR="00872F92" w:rsidRPr="00D31FF7">
        <w:rPr>
          <w:rFonts w:asciiTheme="majorHAnsi" w:eastAsia="Arial" w:hAnsiTheme="majorHAnsi" w:cs="Arial"/>
          <w:sz w:val="26"/>
          <w:szCs w:val="26"/>
        </w:rPr>
        <w:t>es</w:t>
      </w:r>
      <w:r w:rsidR="003A51BF" w:rsidRPr="00D31FF7">
        <w:rPr>
          <w:rFonts w:asciiTheme="majorHAnsi" w:eastAsia="Arial" w:hAnsiTheme="majorHAnsi" w:cs="Arial"/>
          <w:sz w:val="26"/>
          <w:szCs w:val="26"/>
        </w:rPr>
        <w:t xml:space="preserve"> deberá</w:t>
      </w:r>
      <w:r w:rsidR="00872F92" w:rsidRPr="00D31FF7">
        <w:rPr>
          <w:rFonts w:asciiTheme="majorHAnsi" w:eastAsia="Arial" w:hAnsiTheme="majorHAnsi" w:cs="Arial"/>
          <w:sz w:val="26"/>
          <w:szCs w:val="26"/>
        </w:rPr>
        <w:t>n</w:t>
      </w:r>
      <w:r w:rsidR="003A51BF" w:rsidRPr="00D31FF7">
        <w:rPr>
          <w:rFonts w:asciiTheme="majorHAnsi" w:eastAsia="Arial" w:hAnsiTheme="majorHAnsi" w:cs="Arial"/>
          <w:sz w:val="26"/>
          <w:szCs w:val="26"/>
        </w:rPr>
        <w:t xml:space="preserve"> ser verificada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y aprobada</w:t>
      </w:r>
      <w:r w:rsidR="00872F92" w:rsidRPr="00D31FF7">
        <w:rPr>
          <w:rFonts w:asciiTheme="majorHAnsi" w:eastAsia="Arial" w:hAnsiTheme="majorHAnsi" w:cs="Arial"/>
          <w:sz w:val="26"/>
          <w:szCs w:val="26"/>
        </w:rPr>
        <w:t>s</w:t>
      </w:r>
      <w:r w:rsidR="003A51BF" w:rsidRPr="00D31FF7">
        <w:rPr>
          <w:rFonts w:asciiTheme="majorHAnsi" w:eastAsia="Arial" w:hAnsiTheme="majorHAnsi" w:cs="Arial"/>
          <w:sz w:val="26"/>
          <w:szCs w:val="26"/>
        </w:rPr>
        <w:t xml:space="preserve"> por el órgano garante</w:t>
      </w:r>
      <w:r w:rsidR="009160F1" w:rsidRPr="00D31FF7">
        <w:rPr>
          <w:rFonts w:asciiTheme="majorHAnsi" w:eastAsia="Arial" w:hAnsiTheme="majorHAnsi" w:cs="Arial"/>
          <w:sz w:val="26"/>
          <w:szCs w:val="26"/>
        </w:rPr>
        <w:t>.</w:t>
      </w:r>
    </w:p>
    <w:p w:rsidR="00085008" w:rsidRPr="00D31FF7" w:rsidRDefault="00085008" w:rsidP="003209F0">
      <w:pPr>
        <w:spacing w:after="0" w:line="240" w:lineRule="auto"/>
        <w:jc w:val="both"/>
        <w:rPr>
          <w:rFonts w:asciiTheme="majorHAnsi" w:eastAsia="Arial" w:hAnsiTheme="majorHAnsi" w:cs="Arial"/>
          <w:sz w:val="26"/>
          <w:szCs w:val="26"/>
        </w:rPr>
      </w:pPr>
    </w:p>
    <w:p w:rsidR="00085008" w:rsidRPr="00D31FF7" w:rsidRDefault="00085008"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TERCERO.- </w:t>
      </w:r>
      <w:r w:rsidRPr="00D31FF7">
        <w:rPr>
          <w:rFonts w:asciiTheme="majorHAnsi" w:eastAsia="Arial" w:hAnsiTheme="majorHAnsi" w:cs="Arial"/>
          <w:sz w:val="26"/>
          <w:szCs w:val="26"/>
        </w:rPr>
        <w:t xml:space="preserve">Además de lo señalado </w:t>
      </w:r>
      <w:r w:rsidR="00300372" w:rsidRPr="00D31FF7">
        <w:rPr>
          <w:rFonts w:asciiTheme="majorHAnsi" w:eastAsia="Arial" w:hAnsiTheme="majorHAnsi" w:cs="Arial"/>
          <w:sz w:val="26"/>
          <w:szCs w:val="26"/>
        </w:rPr>
        <w:t>en el considerando que antecede;</w:t>
      </w:r>
      <w:r w:rsidRPr="00D31FF7">
        <w:rPr>
          <w:rFonts w:asciiTheme="majorHAnsi" w:eastAsia="Arial" w:hAnsiTheme="majorHAnsi" w:cs="Arial"/>
          <w:sz w:val="26"/>
          <w:szCs w:val="26"/>
        </w:rPr>
        <w:t xml:space="preserve"> </w:t>
      </w:r>
      <w:r w:rsidR="00300372" w:rsidRPr="00D31FF7">
        <w:rPr>
          <w:rFonts w:asciiTheme="majorHAnsi" w:eastAsia="Arial" w:hAnsiTheme="majorHAnsi" w:cs="Arial"/>
          <w:sz w:val="26"/>
          <w:szCs w:val="26"/>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D31FF7" w:rsidRDefault="00300372" w:rsidP="003209F0">
      <w:pPr>
        <w:spacing w:after="0" w:line="240" w:lineRule="auto"/>
        <w:jc w:val="both"/>
        <w:rPr>
          <w:rFonts w:asciiTheme="majorHAnsi" w:eastAsia="Arial" w:hAnsiTheme="majorHAnsi" w:cs="Arial"/>
          <w:sz w:val="26"/>
          <w:szCs w:val="26"/>
        </w:rPr>
      </w:pPr>
    </w:p>
    <w:p w:rsidR="00202AE1" w:rsidRPr="00D31FF7" w:rsidRDefault="00620069" w:rsidP="00D31E16">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CUARTO.-</w:t>
      </w:r>
      <w:r w:rsidR="00300372" w:rsidRPr="00D31FF7">
        <w:rPr>
          <w:rFonts w:asciiTheme="majorHAnsi" w:eastAsia="Arial" w:hAnsiTheme="majorHAnsi" w:cs="Arial"/>
          <w:sz w:val="26"/>
          <w:szCs w:val="26"/>
        </w:rPr>
        <w:t xml:space="preserve"> </w:t>
      </w:r>
      <w:r w:rsidR="00215EFA" w:rsidRPr="00D31FF7">
        <w:rPr>
          <w:rFonts w:asciiTheme="majorHAnsi" w:eastAsia="Arial" w:hAnsiTheme="majorHAnsi" w:cs="Arial"/>
          <w:sz w:val="26"/>
          <w:szCs w:val="26"/>
        </w:rPr>
        <w:t xml:space="preserve">Los Lineamientos técnicos generales, señalaron en su anexo II, que respecto a los </w:t>
      </w:r>
      <w:r w:rsidR="00BA5203" w:rsidRPr="00D31FF7">
        <w:rPr>
          <w:rFonts w:asciiTheme="majorHAnsi" w:eastAsia="Arial" w:hAnsiTheme="majorHAnsi" w:cs="Arial"/>
          <w:sz w:val="26"/>
          <w:szCs w:val="26"/>
        </w:rPr>
        <w:t>poderes ejecutivos estatales se debe considerar que el titular del Gobierno del Estado, la Secretaría de Gobierno, la Secretaría de Finanzas, la Secretaría de Desarrollo Urbano y la Consejería Jurídica o dependencias homólogas de acuerdo con las legislaciones estatales respectivas, son los órganos que tendrán la responsabilidad de publicar y actualizar la información especificada en los incisos del artículo 71, salvo aquellas en las que también se indique la obligación al resto de sujetos obligados del Poder Ejecutivo. Por lo que p</w:t>
      </w:r>
      <w:r w:rsidR="00215EFA" w:rsidRPr="00D31FF7">
        <w:rPr>
          <w:rFonts w:asciiTheme="majorHAnsi" w:eastAsia="Arial" w:hAnsiTheme="majorHAnsi" w:cs="Arial"/>
          <w:sz w:val="26"/>
          <w:szCs w:val="26"/>
        </w:rPr>
        <w:t>ara poder determinar la aplicabilidad de las obligaciones de transparencia específicas de los sujetos obligados del Poder Ejecutivo, se consideró la naturaleza jurídica de éstos, así como sus funciones, atribuciones y competencias.</w:t>
      </w:r>
    </w:p>
    <w:p w:rsidR="008A13CA" w:rsidRPr="00D31FF7" w:rsidRDefault="008A13CA" w:rsidP="00D31E16">
      <w:pPr>
        <w:spacing w:after="0" w:line="240" w:lineRule="auto"/>
        <w:jc w:val="both"/>
        <w:rPr>
          <w:rFonts w:asciiTheme="majorHAnsi" w:eastAsia="Arial" w:hAnsiTheme="majorHAnsi" w:cs="Arial"/>
          <w:sz w:val="26"/>
          <w:szCs w:val="26"/>
        </w:rPr>
      </w:pPr>
    </w:p>
    <w:p w:rsidR="008A13CA" w:rsidRPr="00D31FF7" w:rsidRDefault="008A13CA" w:rsidP="00D31E16">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QUINTO.- </w:t>
      </w:r>
      <w:r w:rsidRPr="00D31FF7">
        <w:rPr>
          <w:rFonts w:asciiTheme="majorHAnsi" w:eastAsia="Arial" w:hAnsiTheme="majorHAnsi" w:cs="Arial"/>
          <w:sz w:val="26"/>
          <w:szCs w:val="26"/>
        </w:rPr>
        <w:t>Con base a lo anterior, éste órgano garante determinó que obligaciones de transparencia específicas</w:t>
      </w:r>
      <w:r w:rsidR="00FC1AF0" w:rsidRPr="00D31FF7">
        <w:rPr>
          <w:rFonts w:asciiTheme="majorHAnsi" w:eastAsia="Arial" w:hAnsiTheme="majorHAnsi" w:cs="Arial"/>
          <w:sz w:val="26"/>
          <w:szCs w:val="26"/>
        </w:rPr>
        <w:t xml:space="preserve"> señaladas en el artículo 71 fracción I de la Ley general </w:t>
      </w:r>
      <w:r w:rsidR="00FC1AF0" w:rsidRPr="00D31FF7">
        <w:rPr>
          <w:rFonts w:asciiTheme="majorHAnsi" w:eastAsia="Arial" w:hAnsiTheme="majorHAnsi" w:cs="Arial"/>
          <w:sz w:val="26"/>
          <w:szCs w:val="26"/>
        </w:rPr>
        <w:lastRenderedPageBreak/>
        <w:t>de transparencia,</w:t>
      </w:r>
      <w:r w:rsidRPr="00D31FF7">
        <w:rPr>
          <w:rFonts w:asciiTheme="majorHAnsi" w:eastAsia="Arial" w:hAnsiTheme="majorHAnsi" w:cs="Arial"/>
          <w:sz w:val="26"/>
          <w:szCs w:val="26"/>
        </w:rPr>
        <w:t xml:space="preserve"> les iban a aplicar </w:t>
      </w:r>
      <w:r w:rsidR="008809AA" w:rsidRPr="00D31FF7">
        <w:rPr>
          <w:rFonts w:asciiTheme="majorHAnsi" w:eastAsia="Arial" w:hAnsiTheme="majorHAnsi" w:cs="Arial"/>
          <w:sz w:val="26"/>
          <w:szCs w:val="26"/>
        </w:rPr>
        <w:t>a los sujetos obligados del Poder Ejecutivo, de conformidad con lo siguiente:</w:t>
      </w:r>
    </w:p>
    <w:p w:rsidR="008809AA" w:rsidRPr="00D31FF7" w:rsidRDefault="008809AA" w:rsidP="00D31E16">
      <w:pPr>
        <w:spacing w:after="0" w:line="240" w:lineRule="auto"/>
        <w:jc w:val="both"/>
        <w:rPr>
          <w:rFonts w:asciiTheme="majorHAnsi" w:eastAsia="Arial" w:hAnsiTheme="majorHAnsi" w:cs="Arial"/>
          <w:sz w:val="26"/>
          <w:szCs w:val="26"/>
        </w:rPr>
      </w:pPr>
    </w:p>
    <w:tbl>
      <w:tblPr>
        <w:tblStyle w:val="GridTable1LightAccent5"/>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765"/>
        <w:gridCol w:w="2255"/>
        <w:gridCol w:w="4465"/>
      </w:tblGrid>
      <w:tr w:rsidR="00B40820" w:rsidRPr="00D31FF7" w:rsidTr="00D31FF7">
        <w:trPr>
          <w:cnfStyle w:val="100000000000"/>
          <w:trHeight w:val="701"/>
          <w:tblHeader/>
          <w:jc w:val="center"/>
        </w:trPr>
        <w:tc>
          <w:tcPr>
            <w:cnfStyle w:val="001000000000"/>
            <w:tcW w:w="3410" w:type="dxa"/>
            <w:gridSpan w:val="2"/>
            <w:tcBorders>
              <w:bottom w:val="none" w:sz="0" w:space="0" w:color="auto"/>
            </w:tcBorders>
            <w:shd w:val="clear" w:color="auto" w:fill="8EAADB" w:themeFill="accent5" w:themeFillTint="99"/>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Inciso</w:t>
            </w:r>
          </w:p>
        </w:tc>
        <w:tc>
          <w:tcPr>
            <w:tcW w:w="2255" w:type="dxa"/>
            <w:tcBorders>
              <w:bottom w:val="none" w:sz="0" w:space="0" w:color="auto"/>
            </w:tcBorders>
            <w:shd w:val="clear" w:color="auto" w:fill="8EAADB" w:themeFill="accent5" w:themeFillTint="99"/>
            <w:vAlign w:val="center"/>
          </w:tcPr>
          <w:p w:rsidR="00B40820" w:rsidRPr="00D31FF7" w:rsidRDefault="00B40820" w:rsidP="00B40820">
            <w:pPr>
              <w:spacing w:after="0" w:line="240" w:lineRule="auto"/>
              <w:jc w:val="center"/>
              <w:cnfStyle w:val="100000000000"/>
              <w:rPr>
                <w:rFonts w:asciiTheme="majorHAnsi" w:eastAsia="Arial" w:hAnsiTheme="majorHAnsi" w:cs="Arial"/>
                <w:sz w:val="26"/>
                <w:szCs w:val="26"/>
              </w:rPr>
            </w:pPr>
            <w:r w:rsidRPr="00D31FF7">
              <w:rPr>
                <w:rFonts w:asciiTheme="majorHAnsi" w:eastAsia="Arial" w:hAnsiTheme="majorHAnsi" w:cs="Arial"/>
                <w:sz w:val="26"/>
                <w:szCs w:val="26"/>
              </w:rPr>
              <w:t>Sujeto</w:t>
            </w:r>
            <w:r w:rsidR="00F10EE6" w:rsidRPr="00D31FF7">
              <w:rPr>
                <w:rFonts w:asciiTheme="majorHAnsi" w:eastAsia="Arial" w:hAnsiTheme="majorHAnsi" w:cs="Arial"/>
                <w:sz w:val="26"/>
                <w:szCs w:val="26"/>
              </w:rPr>
              <w:t>s</w:t>
            </w:r>
            <w:r w:rsidRPr="00D31FF7">
              <w:rPr>
                <w:rFonts w:asciiTheme="majorHAnsi" w:eastAsia="Arial" w:hAnsiTheme="majorHAnsi" w:cs="Arial"/>
                <w:sz w:val="26"/>
                <w:szCs w:val="26"/>
              </w:rPr>
              <w:t xml:space="preserve"> obligado</w:t>
            </w:r>
            <w:r w:rsidR="00F10EE6" w:rsidRPr="00D31FF7">
              <w:rPr>
                <w:rFonts w:asciiTheme="majorHAnsi" w:eastAsia="Arial" w:hAnsiTheme="majorHAnsi" w:cs="Arial"/>
                <w:sz w:val="26"/>
                <w:szCs w:val="26"/>
              </w:rPr>
              <w:t>s</w:t>
            </w:r>
            <w:r w:rsidRPr="00D31FF7">
              <w:rPr>
                <w:rFonts w:asciiTheme="majorHAnsi" w:eastAsia="Arial" w:hAnsiTheme="majorHAnsi" w:cs="Arial"/>
                <w:sz w:val="26"/>
                <w:szCs w:val="26"/>
              </w:rPr>
              <w:t xml:space="preserve"> </w:t>
            </w:r>
            <w:r w:rsidR="00F10EE6" w:rsidRPr="00D31FF7">
              <w:rPr>
                <w:rFonts w:asciiTheme="majorHAnsi" w:eastAsia="Arial" w:hAnsiTheme="majorHAnsi" w:cs="Arial"/>
                <w:sz w:val="26"/>
                <w:szCs w:val="26"/>
              </w:rPr>
              <w:t xml:space="preserve">responsables de publicar y actualizar </w:t>
            </w:r>
          </w:p>
        </w:tc>
        <w:tc>
          <w:tcPr>
            <w:tcW w:w="4465" w:type="dxa"/>
            <w:tcBorders>
              <w:bottom w:val="none" w:sz="0" w:space="0" w:color="auto"/>
            </w:tcBorders>
            <w:shd w:val="clear" w:color="auto" w:fill="8EAADB" w:themeFill="accent5" w:themeFillTint="99"/>
            <w:vAlign w:val="center"/>
          </w:tcPr>
          <w:p w:rsidR="00B40820" w:rsidRPr="00D31FF7" w:rsidRDefault="00F10EE6" w:rsidP="00B40820">
            <w:pPr>
              <w:spacing w:after="0" w:line="240" w:lineRule="auto"/>
              <w:jc w:val="center"/>
              <w:cnfStyle w:val="100000000000"/>
              <w:rPr>
                <w:rFonts w:asciiTheme="majorHAnsi" w:eastAsia="Arial" w:hAnsiTheme="majorHAnsi" w:cs="Arial"/>
                <w:sz w:val="26"/>
                <w:szCs w:val="26"/>
              </w:rPr>
            </w:pPr>
            <w:r w:rsidRPr="00D31FF7">
              <w:rPr>
                <w:rFonts w:asciiTheme="majorHAnsi" w:eastAsia="Arial" w:hAnsiTheme="majorHAnsi" w:cs="Arial"/>
                <w:sz w:val="26"/>
                <w:szCs w:val="26"/>
              </w:rPr>
              <w:t>Fundamento Legal</w:t>
            </w:r>
          </w:p>
        </w:tc>
      </w:tr>
      <w:tr w:rsidR="00B40820" w:rsidRPr="00D31FF7" w:rsidTr="00487907">
        <w:trPr>
          <w:trHeight w:val="3328"/>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A</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El Plan Nacional de Desarrollo, los planes estatales de desarrollo o el Programa General de Desarrollo del Distrito Federal, según corresponda;</w:t>
            </w:r>
          </w:p>
        </w:tc>
        <w:tc>
          <w:tcPr>
            <w:tcW w:w="2255" w:type="dxa"/>
            <w:vAlign w:val="center"/>
          </w:tcPr>
          <w:p w:rsidR="00B40820" w:rsidRPr="00D31FF7" w:rsidRDefault="00F10EE6"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Secretaría Técnica de Planeación y Evaluación.</w:t>
            </w:r>
          </w:p>
        </w:tc>
        <w:tc>
          <w:tcPr>
            <w:tcW w:w="4465" w:type="dxa"/>
            <w:vAlign w:val="center"/>
          </w:tcPr>
          <w:p w:rsidR="00B40820" w:rsidRPr="00D31FF7" w:rsidRDefault="00487907"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 xml:space="preserve">Artículo 23 ter fracción II de la Ley de Planeación para el Desarrollo del Estado de Yucatán, toda vez que es atribución de dicho sujetos obligado, elaborar el Plan Estatal de Desarrollo con la participación del </w:t>
            </w:r>
            <w:proofErr w:type="spellStart"/>
            <w:r w:rsidRPr="00D31FF7">
              <w:rPr>
                <w:rFonts w:asciiTheme="majorHAnsi" w:eastAsia="Arial" w:hAnsiTheme="majorHAnsi" w:cs="Arial"/>
                <w:sz w:val="26"/>
                <w:szCs w:val="26"/>
              </w:rPr>
              <w:t>Copledey</w:t>
            </w:r>
            <w:proofErr w:type="spellEnd"/>
            <w:r w:rsidRPr="00D31FF7">
              <w:rPr>
                <w:rFonts w:asciiTheme="majorHAnsi" w:eastAsia="Arial" w:hAnsiTheme="majorHAnsi" w:cs="Arial"/>
                <w:sz w:val="26"/>
                <w:szCs w:val="26"/>
              </w:rPr>
              <w:t xml:space="preserve"> y coordinar la formulación de los programas de mediano plazo, de conformidad con la Ley y demás disposiciones legales y normativas aplicables, mediante la instrumentación de mecanismos de participación ciudadana, así como verificar que se ajusten a los objetivos e instrumentos de planeación federales.</w:t>
            </w:r>
          </w:p>
        </w:tc>
      </w:tr>
      <w:tr w:rsidR="00B40820" w:rsidRPr="00D31FF7" w:rsidTr="00487907">
        <w:trPr>
          <w:trHeight w:val="931"/>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B</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El presupuesto de egresos y las fórmulas de distribución de los recursos otorgados;</w:t>
            </w:r>
          </w:p>
        </w:tc>
        <w:tc>
          <w:tcPr>
            <w:tcW w:w="2255" w:type="dxa"/>
            <w:vAlign w:val="center"/>
          </w:tcPr>
          <w:p w:rsidR="00B40820" w:rsidRPr="00D31FF7" w:rsidRDefault="00417B53"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Secretaría de Administración y Finanzas.</w:t>
            </w:r>
          </w:p>
        </w:tc>
        <w:tc>
          <w:tcPr>
            <w:tcW w:w="4465" w:type="dxa"/>
            <w:vAlign w:val="center"/>
          </w:tcPr>
          <w:p w:rsidR="00B40820" w:rsidRPr="00D31FF7" w:rsidRDefault="00417B53" w:rsidP="002B2251">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Artículo 31 fracci</w:t>
            </w:r>
            <w:r w:rsidR="002B2251" w:rsidRPr="00D31FF7">
              <w:rPr>
                <w:rFonts w:asciiTheme="majorHAnsi" w:eastAsia="Arial" w:hAnsiTheme="majorHAnsi" w:cs="Arial"/>
                <w:sz w:val="26"/>
                <w:szCs w:val="26"/>
              </w:rPr>
              <w:t>ones</w:t>
            </w:r>
            <w:r w:rsidRPr="00D31FF7">
              <w:rPr>
                <w:rFonts w:asciiTheme="majorHAnsi" w:eastAsia="Arial" w:hAnsiTheme="majorHAnsi" w:cs="Arial"/>
                <w:sz w:val="26"/>
                <w:szCs w:val="26"/>
              </w:rPr>
              <w:t xml:space="preserve"> XXII</w:t>
            </w:r>
            <w:r w:rsidR="002B2251" w:rsidRPr="00D31FF7">
              <w:rPr>
                <w:rFonts w:asciiTheme="majorHAnsi" w:eastAsia="Arial" w:hAnsiTheme="majorHAnsi" w:cs="Arial"/>
                <w:sz w:val="26"/>
                <w:szCs w:val="26"/>
              </w:rPr>
              <w:t xml:space="preserve"> y XXXII</w:t>
            </w:r>
            <w:r w:rsidRPr="00D31FF7">
              <w:rPr>
                <w:rFonts w:asciiTheme="majorHAnsi" w:eastAsia="Arial" w:hAnsiTheme="majorHAnsi" w:cs="Arial"/>
                <w:sz w:val="26"/>
                <w:szCs w:val="26"/>
              </w:rPr>
              <w:t xml:space="preserve"> del Código de la Administración Pública de Yucatán, y el artículo 59 frac</w:t>
            </w:r>
            <w:r w:rsidR="002B2251" w:rsidRPr="00D31FF7">
              <w:rPr>
                <w:rFonts w:asciiTheme="majorHAnsi" w:eastAsia="Arial" w:hAnsiTheme="majorHAnsi" w:cs="Arial"/>
                <w:sz w:val="26"/>
                <w:szCs w:val="26"/>
              </w:rPr>
              <w:t>ciones XII, XIII, XIV, XIX, XX,</w:t>
            </w:r>
            <w:r w:rsidRPr="00D31FF7">
              <w:rPr>
                <w:rFonts w:asciiTheme="majorHAnsi" w:eastAsia="Arial" w:hAnsiTheme="majorHAnsi" w:cs="Arial"/>
                <w:sz w:val="26"/>
                <w:szCs w:val="26"/>
              </w:rPr>
              <w:t xml:space="preserve"> XXIV </w:t>
            </w:r>
            <w:r w:rsidR="002B2251" w:rsidRPr="00D31FF7">
              <w:rPr>
                <w:rFonts w:asciiTheme="majorHAnsi" w:eastAsia="Arial" w:hAnsiTheme="majorHAnsi" w:cs="Arial"/>
                <w:sz w:val="26"/>
                <w:szCs w:val="26"/>
              </w:rPr>
              <w:t xml:space="preserve">y XXVII </w:t>
            </w:r>
            <w:r w:rsidRPr="00D31FF7">
              <w:rPr>
                <w:rFonts w:asciiTheme="majorHAnsi" w:eastAsia="Arial" w:hAnsiTheme="majorHAnsi" w:cs="Arial"/>
                <w:sz w:val="26"/>
                <w:szCs w:val="26"/>
              </w:rPr>
              <w:t>del Reglamento del Código de la Administración Pública de Yucatán</w:t>
            </w:r>
            <w:r w:rsidR="002B2251" w:rsidRPr="00D31FF7">
              <w:rPr>
                <w:rFonts w:asciiTheme="majorHAnsi" w:eastAsia="Arial" w:hAnsiTheme="majorHAnsi" w:cs="Arial"/>
                <w:sz w:val="26"/>
                <w:szCs w:val="26"/>
              </w:rPr>
              <w:t>.</w:t>
            </w:r>
          </w:p>
        </w:tc>
      </w:tr>
      <w:tr w:rsidR="00B40820" w:rsidRPr="00D31FF7" w:rsidTr="00487907">
        <w:trPr>
          <w:trHeight w:val="1427"/>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C</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El listado de expropiaciones decretadas y ejecutadas que incluya, cuando menos, la fecha de expropiación, el domicilio y la causa de utilidad pública y las ocupaciones superficiales;</w:t>
            </w:r>
          </w:p>
        </w:tc>
        <w:tc>
          <w:tcPr>
            <w:tcW w:w="2255" w:type="dxa"/>
            <w:vAlign w:val="center"/>
          </w:tcPr>
          <w:p w:rsidR="00B40820" w:rsidRPr="00D31FF7" w:rsidRDefault="00A33092"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Secretaría General de Gobierno.</w:t>
            </w:r>
          </w:p>
        </w:tc>
        <w:tc>
          <w:tcPr>
            <w:tcW w:w="4465" w:type="dxa"/>
            <w:vAlign w:val="center"/>
          </w:tcPr>
          <w:p w:rsidR="00B40820" w:rsidRPr="00D31FF7" w:rsidRDefault="00B12D2C" w:rsidP="00B40820">
            <w:pPr>
              <w:spacing w:after="0" w:line="240" w:lineRule="auto"/>
              <w:jc w:val="both"/>
              <w:cnfStyle w:val="000000000000"/>
              <w:rPr>
                <w:rFonts w:asciiTheme="majorHAnsi" w:eastAsia="Arial" w:hAnsiTheme="majorHAnsi" w:cs="Arial"/>
                <w:sz w:val="26"/>
                <w:szCs w:val="26"/>
              </w:rPr>
            </w:pPr>
            <w:r>
              <w:rPr>
                <w:rFonts w:asciiTheme="majorHAnsi" w:eastAsia="Arial" w:hAnsiTheme="majorHAnsi" w:cs="Arial"/>
                <w:sz w:val="26"/>
                <w:szCs w:val="26"/>
              </w:rPr>
              <w:t>Artículo 30 fracción XXV</w:t>
            </w:r>
            <w:r w:rsidR="00A33092" w:rsidRPr="00D31FF7">
              <w:rPr>
                <w:rFonts w:asciiTheme="majorHAnsi" w:eastAsia="Arial" w:hAnsiTheme="majorHAnsi" w:cs="Arial"/>
                <w:sz w:val="26"/>
                <w:szCs w:val="26"/>
              </w:rPr>
              <w:t xml:space="preserve"> del Código de la Administración Pública de Yucatán.</w:t>
            </w:r>
          </w:p>
        </w:tc>
      </w:tr>
      <w:tr w:rsidR="00B40820" w:rsidRPr="00D31FF7" w:rsidTr="00487907">
        <w:trPr>
          <w:trHeight w:val="3775"/>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lastRenderedPageBreak/>
              <w:t>D</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2255" w:type="dxa"/>
            <w:vAlign w:val="center"/>
          </w:tcPr>
          <w:p w:rsidR="00B40820" w:rsidRPr="00D31FF7" w:rsidRDefault="00A33092"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Agencia</w:t>
            </w:r>
            <w:r w:rsidR="009907FA" w:rsidRPr="00D31FF7">
              <w:rPr>
                <w:rFonts w:asciiTheme="majorHAnsi" w:eastAsia="Arial" w:hAnsiTheme="majorHAnsi" w:cs="Arial"/>
                <w:sz w:val="26"/>
                <w:szCs w:val="26"/>
              </w:rPr>
              <w:t xml:space="preserve"> de Administración Fiscal de Yucatán.</w:t>
            </w:r>
          </w:p>
        </w:tc>
        <w:tc>
          <w:tcPr>
            <w:tcW w:w="4465" w:type="dxa"/>
            <w:vAlign w:val="center"/>
          </w:tcPr>
          <w:p w:rsidR="00B40820" w:rsidRPr="00D31FF7" w:rsidRDefault="009907FA"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 xml:space="preserve">Artículo 7 fracciones XVIII, XIX y XXXVI, así como el artículo 23 fracción IV de la Ley de la Agencia de Administración </w:t>
            </w:r>
            <w:r w:rsidR="00017BA6" w:rsidRPr="00D31FF7">
              <w:rPr>
                <w:rFonts w:asciiTheme="majorHAnsi" w:eastAsia="Arial" w:hAnsiTheme="majorHAnsi" w:cs="Arial"/>
                <w:sz w:val="26"/>
                <w:szCs w:val="26"/>
              </w:rPr>
              <w:t>Fiscal de Yucatán.</w:t>
            </w:r>
          </w:p>
        </w:tc>
      </w:tr>
      <w:tr w:rsidR="00B40820" w:rsidRPr="00D31FF7" w:rsidTr="00487907">
        <w:trPr>
          <w:trHeight w:val="3315"/>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E</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Los nombres de las personas a quienes se les habilitó para ejercer como corredores y notarios públicos, así como sus datos de contacto, la información relacionada con el proceso de otorgamiento de la patente y las sanciones que se les hubieran aplicado;</w:t>
            </w:r>
          </w:p>
        </w:tc>
        <w:tc>
          <w:tcPr>
            <w:tcW w:w="2255" w:type="dxa"/>
            <w:vAlign w:val="center"/>
          </w:tcPr>
          <w:p w:rsidR="00B40820" w:rsidRPr="00D31FF7" w:rsidRDefault="008F2467"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Consejería Jurídica.</w:t>
            </w:r>
          </w:p>
        </w:tc>
        <w:tc>
          <w:tcPr>
            <w:tcW w:w="4465" w:type="dxa"/>
            <w:vAlign w:val="center"/>
          </w:tcPr>
          <w:p w:rsidR="00B40820" w:rsidRPr="00D31FF7" w:rsidRDefault="008F2467"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Artículo 32 fracción XVII</w:t>
            </w:r>
            <w:r w:rsidR="003E1956" w:rsidRPr="00D31FF7">
              <w:rPr>
                <w:rFonts w:asciiTheme="majorHAnsi" w:eastAsia="Arial" w:hAnsiTheme="majorHAnsi" w:cs="Arial"/>
                <w:sz w:val="26"/>
                <w:szCs w:val="26"/>
              </w:rPr>
              <w:t xml:space="preserve"> del Código de la Administración Pública de Yucatán.</w:t>
            </w:r>
          </w:p>
        </w:tc>
      </w:tr>
      <w:tr w:rsidR="00B40820" w:rsidRPr="00D31FF7" w:rsidTr="00487907">
        <w:trPr>
          <w:trHeight w:val="1185"/>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t>F</w:t>
            </w:r>
          </w:p>
        </w:tc>
        <w:tc>
          <w:tcPr>
            <w:tcW w:w="2765" w:type="dxa"/>
            <w:vAlign w:val="center"/>
          </w:tcPr>
          <w:p w:rsidR="00B40820" w:rsidRPr="00D31FF7" w:rsidRDefault="00B40820" w:rsidP="00B40820">
            <w:pPr>
              <w:spacing w:after="0" w:line="240" w:lineRule="auto"/>
              <w:jc w:val="both"/>
              <w:cnfStyle w:val="000000000000"/>
              <w:rPr>
                <w:rFonts w:asciiTheme="majorHAnsi" w:eastAsia="Arial" w:hAnsiTheme="majorHAnsi" w:cs="Arial"/>
                <w:sz w:val="26"/>
                <w:szCs w:val="26"/>
              </w:rPr>
            </w:pPr>
            <w:r w:rsidRPr="00D31FF7">
              <w:rPr>
                <w:rFonts w:asciiTheme="majorHAnsi" w:hAnsiTheme="majorHAnsi"/>
                <w:sz w:val="26"/>
                <w:szCs w:val="26"/>
              </w:rPr>
              <w:t xml:space="preserve">La información detallada que contengan los planes de desarrollo urbano, ordenamiento </w:t>
            </w:r>
            <w:r w:rsidRPr="00D31FF7">
              <w:rPr>
                <w:rFonts w:asciiTheme="majorHAnsi" w:hAnsiTheme="majorHAnsi"/>
                <w:sz w:val="26"/>
                <w:szCs w:val="26"/>
              </w:rPr>
              <w:lastRenderedPageBreak/>
              <w:t>territorial y ecológico, los tipos y usos de suelo, licencias de uso y construcción otorgadas por los gobiernos municipales, y</w:t>
            </w:r>
          </w:p>
        </w:tc>
        <w:tc>
          <w:tcPr>
            <w:tcW w:w="2255" w:type="dxa"/>
            <w:vAlign w:val="center"/>
          </w:tcPr>
          <w:p w:rsidR="00B40820" w:rsidRPr="00D31FF7" w:rsidRDefault="000009B1"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lastRenderedPageBreak/>
              <w:t>Secretaría de Desarrollo Urbano y Medio Ambiente.</w:t>
            </w:r>
          </w:p>
        </w:tc>
        <w:tc>
          <w:tcPr>
            <w:tcW w:w="4465" w:type="dxa"/>
            <w:vAlign w:val="center"/>
          </w:tcPr>
          <w:p w:rsidR="00B40820" w:rsidRPr="00D31FF7" w:rsidRDefault="000009B1" w:rsidP="000009B1">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Artículo 45 fracción II del Código de la Administración Pública de Yucatán y artículo 515 fracción VI del Reglamento del Código de la Administración Pública de Yucatán.</w:t>
            </w:r>
          </w:p>
        </w:tc>
      </w:tr>
      <w:tr w:rsidR="00B40820" w:rsidRPr="00D31FF7" w:rsidTr="00487907">
        <w:trPr>
          <w:trHeight w:val="4888"/>
          <w:jc w:val="center"/>
        </w:trPr>
        <w:tc>
          <w:tcPr>
            <w:cnfStyle w:val="001000000000"/>
            <w:tcW w:w="645" w:type="dxa"/>
            <w:vAlign w:val="center"/>
          </w:tcPr>
          <w:p w:rsidR="00B40820" w:rsidRPr="00D31FF7" w:rsidRDefault="00B40820" w:rsidP="00B40820">
            <w:pPr>
              <w:spacing w:after="0" w:line="240" w:lineRule="auto"/>
              <w:jc w:val="center"/>
              <w:rPr>
                <w:rFonts w:asciiTheme="majorHAnsi" w:eastAsia="Arial" w:hAnsiTheme="majorHAnsi" w:cs="Arial"/>
                <w:sz w:val="26"/>
                <w:szCs w:val="26"/>
              </w:rPr>
            </w:pPr>
            <w:r w:rsidRPr="00D31FF7">
              <w:rPr>
                <w:rFonts w:asciiTheme="majorHAnsi" w:eastAsia="Arial" w:hAnsiTheme="majorHAnsi" w:cs="Arial"/>
                <w:sz w:val="26"/>
                <w:szCs w:val="26"/>
              </w:rPr>
              <w:lastRenderedPageBreak/>
              <w:t>G</w:t>
            </w:r>
          </w:p>
        </w:tc>
        <w:tc>
          <w:tcPr>
            <w:tcW w:w="2765" w:type="dxa"/>
            <w:vAlign w:val="center"/>
          </w:tcPr>
          <w:p w:rsidR="00B40820" w:rsidRPr="00D31FF7" w:rsidRDefault="00B40820" w:rsidP="00B40820">
            <w:pPr>
              <w:spacing w:line="240" w:lineRule="auto"/>
              <w:jc w:val="both"/>
              <w:cnfStyle w:val="000000000000"/>
              <w:rPr>
                <w:rFonts w:asciiTheme="majorHAnsi" w:hAnsiTheme="majorHAnsi"/>
                <w:sz w:val="26"/>
                <w:szCs w:val="26"/>
              </w:rPr>
            </w:pPr>
            <w:r w:rsidRPr="00D31FF7">
              <w:rPr>
                <w:rFonts w:asciiTheme="majorHAnsi" w:hAnsiTheme="majorHAnsi"/>
                <w:sz w:val="26"/>
                <w:szCs w:val="26"/>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2255" w:type="dxa"/>
            <w:vAlign w:val="center"/>
          </w:tcPr>
          <w:p w:rsidR="00B40820" w:rsidRPr="00D31FF7" w:rsidRDefault="00F437C9" w:rsidP="00B40820">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Todos los sujetos obligados del Poder Ejecutivo.</w:t>
            </w:r>
          </w:p>
        </w:tc>
        <w:tc>
          <w:tcPr>
            <w:tcW w:w="4465" w:type="dxa"/>
            <w:vAlign w:val="center"/>
          </w:tcPr>
          <w:p w:rsidR="00B40820" w:rsidRPr="00D31FF7" w:rsidRDefault="00F437C9" w:rsidP="00E6016D">
            <w:pPr>
              <w:spacing w:after="0" w:line="240" w:lineRule="auto"/>
              <w:jc w:val="both"/>
              <w:cnfStyle w:val="000000000000"/>
              <w:rPr>
                <w:rFonts w:asciiTheme="majorHAnsi" w:eastAsia="Arial" w:hAnsiTheme="majorHAnsi" w:cs="Arial"/>
                <w:sz w:val="26"/>
                <w:szCs w:val="26"/>
              </w:rPr>
            </w:pPr>
            <w:r w:rsidRPr="00D31FF7">
              <w:rPr>
                <w:rFonts w:asciiTheme="majorHAnsi" w:eastAsia="Arial" w:hAnsiTheme="majorHAnsi" w:cs="Arial"/>
                <w:sz w:val="26"/>
                <w:szCs w:val="26"/>
              </w:rPr>
              <w:t xml:space="preserve">Para el cumplimiento de esta obligación, los sujetos obligados del Poder Ejecutivo, publicarán la información relativa a las disposiciones que contengan una vinculación con la ciudadanía, ya sea por su aplicación directa o por la modificación de algún trámite, servicio o regulación accesible para cualquier persona. Con motivo de lo anterior se considerarán disposiciones administrativas, las emitidas por los sujetos obligados, que establezcan y regulen acciones y decisiones para el cumplimiento de sus facultades generales; tales como </w:t>
            </w:r>
            <w:r w:rsidR="00E6016D" w:rsidRPr="00D31FF7">
              <w:rPr>
                <w:rFonts w:asciiTheme="majorHAnsi" w:eastAsia="Arial" w:hAnsiTheme="majorHAnsi" w:cs="Arial"/>
                <w:sz w:val="26"/>
                <w:szCs w:val="26"/>
              </w:rPr>
              <w:t xml:space="preserve">reglamentos, </w:t>
            </w:r>
            <w:r w:rsidRPr="00D31FF7">
              <w:rPr>
                <w:rFonts w:asciiTheme="majorHAnsi" w:eastAsia="Arial" w:hAnsiTheme="majorHAnsi" w:cs="Arial"/>
                <w:sz w:val="26"/>
                <w:szCs w:val="26"/>
              </w:rPr>
              <w:t>acuerdos, normas oficiales, circulares,</w:t>
            </w:r>
            <w:r w:rsidR="00E6016D" w:rsidRPr="00D31FF7">
              <w:rPr>
                <w:rFonts w:asciiTheme="majorHAnsi" w:eastAsia="Arial" w:hAnsiTheme="majorHAnsi" w:cs="Arial"/>
                <w:sz w:val="26"/>
                <w:szCs w:val="26"/>
              </w:rPr>
              <w:t xml:space="preserve"> formatos e instructivos, entre otros, de conformidad con lo señalado en los Lineamientos técnicos generales.</w:t>
            </w:r>
          </w:p>
        </w:tc>
      </w:tr>
    </w:tbl>
    <w:p w:rsidR="00202AE1" w:rsidRPr="00D31FF7" w:rsidRDefault="00202AE1" w:rsidP="00D31E16">
      <w:pPr>
        <w:spacing w:after="0" w:line="240" w:lineRule="auto"/>
        <w:jc w:val="both"/>
        <w:rPr>
          <w:rFonts w:asciiTheme="majorHAnsi" w:eastAsia="Arial" w:hAnsiTheme="majorHAnsi" w:cs="Arial"/>
          <w:sz w:val="26"/>
          <w:szCs w:val="26"/>
        </w:rPr>
      </w:pPr>
    </w:p>
    <w:p w:rsidR="0091009B" w:rsidRPr="00D31FF7" w:rsidRDefault="0091009B" w:rsidP="00D31E16">
      <w:pPr>
        <w:spacing w:after="0" w:line="240" w:lineRule="auto"/>
        <w:jc w:val="both"/>
        <w:rPr>
          <w:rFonts w:asciiTheme="majorHAnsi" w:eastAsia="Arial" w:hAnsiTheme="majorHAnsi" w:cs="Arial"/>
          <w:sz w:val="26"/>
          <w:szCs w:val="26"/>
        </w:rPr>
      </w:pPr>
    </w:p>
    <w:p w:rsidR="00C10F91" w:rsidRPr="00D31FF7" w:rsidRDefault="00C10F9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sz w:val="26"/>
          <w:szCs w:val="26"/>
        </w:rPr>
        <w:t>En tal razón, se acuerda:</w:t>
      </w:r>
    </w:p>
    <w:p w:rsidR="00C10F91" w:rsidRPr="00D31FF7" w:rsidRDefault="00C10F91" w:rsidP="003209F0">
      <w:pPr>
        <w:spacing w:after="0" w:line="240" w:lineRule="auto"/>
        <w:jc w:val="both"/>
        <w:rPr>
          <w:rFonts w:asciiTheme="majorHAnsi" w:eastAsia="Arial" w:hAnsiTheme="majorHAnsi" w:cs="Arial"/>
          <w:sz w:val="26"/>
          <w:szCs w:val="26"/>
        </w:rPr>
      </w:pPr>
    </w:p>
    <w:p w:rsidR="00C10F91" w:rsidRPr="00D31FF7" w:rsidRDefault="00C10F91"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PRIMERO.- </w:t>
      </w:r>
      <w:r w:rsidR="00093D91" w:rsidRPr="00D31FF7">
        <w:rPr>
          <w:rFonts w:asciiTheme="majorHAnsi" w:eastAsia="Arial" w:hAnsiTheme="majorHAnsi" w:cs="Arial"/>
          <w:sz w:val="26"/>
          <w:szCs w:val="26"/>
        </w:rPr>
        <w:t xml:space="preserve">Se aprueban las tablas de aplicabilidad de las obligaciones de transparencia </w:t>
      </w:r>
      <w:r w:rsidR="0004201C" w:rsidRPr="00D31FF7">
        <w:rPr>
          <w:rFonts w:asciiTheme="majorHAnsi" w:eastAsia="Arial" w:hAnsiTheme="majorHAnsi" w:cs="Arial"/>
          <w:sz w:val="26"/>
          <w:szCs w:val="26"/>
        </w:rPr>
        <w:t>específicas</w:t>
      </w:r>
      <w:r w:rsidR="00093D91" w:rsidRPr="00D31FF7">
        <w:rPr>
          <w:rFonts w:asciiTheme="majorHAnsi" w:eastAsia="Arial" w:hAnsiTheme="majorHAnsi" w:cs="Arial"/>
          <w:sz w:val="26"/>
          <w:szCs w:val="26"/>
        </w:rPr>
        <w:t xml:space="preserve"> de los sujetos obligados del Poder </w:t>
      </w:r>
      <w:r w:rsidR="0004201C" w:rsidRPr="00D31FF7">
        <w:rPr>
          <w:rFonts w:asciiTheme="majorHAnsi" w:eastAsia="Arial" w:hAnsiTheme="majorHAnsi" w:cs="Arial"/>
          <w:sz w:val="26"/>
          <w:szCs w:val="26"/>
        </w:rPr>
        <w:t>Ejecutivo</w:t>
      </w:r>
      <w:r w:rsidR="00093D91" w:rsidRPr="00D31FF7">
        <w:rPr>
          <w:rFonts w:asciiTheme="majorHAnsi" w:eastAsia="Arial" w:hAnsiTheme="majorHAnsi" w:cs="Arial"/>
          <w:sz w:val="26"/>
          <w:szCs w:val="26"/>
        </w:rPr>
        <w:t xml:space="preserve">, de conformidad con el considerando </w:t>
      </w:r>
      <w:r w:rsidR="0004201C" w:rsidRPr="00D31FF7">
        <w:rPr>
          <w:rFonts w:asciiTheme="majorHAnsi" w:eastAsia="Arial" w:hAnsiTheme="majorHAnsi" w:cs="Arial"/>
          <w:sz w:val="26"/>
          <w:szCs w:val="26"/>
        </w:rPr>
        <w:t>quinto</w:t>
      </w:r>
      <w:r w:rsidR="00093D91" w:rsidRPr="00D31FF7">
        <w:rPr>
          <w:rFonts w:asciiTheme="majorHAnsi" w:eastAsia="Arial" w:hAnsiTheme="majorHAnsi" w:cs="Arial"/>
          <w:sz w:val="26"/>
          <w:szCs w:val="26"/>
        </w:rPr>
        <w:t>.</w:t>
      </w:r>
    </w:p>
    <w:p w:rsidR="00093D91" w:rsidRPr="00D31FF7" w:rsidRDefault="00093D91" w:rsidP="003209F0">
      <w:pPr>
        <w:spacing w:after="0" w:line="240" w:lineRule="auto"/>
        <w:jc w:val="both"/>
        <w:rPr>
          <w:rFonts w:asciiTheme="majorHAnsi" w:eastAsia="Arial" w:hAnsiTheme="majorHAnsi" w:cs="Arial"/>
          <w:sz w:val="26"/>
          <w:szCs w:val="26"/>
        </w:rPr>
      </w:pPr>
    </w:p>
    <w:p w:rsidR="00093D91" w:rsidRPr="00D31FF7" w:rsidRDefault="00930275" w:rsidP="00093D91">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SEGUNDO</w:t>
      </w:r>
      <w:r w:rsidR="0050662C"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 xml:space="preserve">Se ordena a los sujetos obligados del Poder </w:t>
      </w:r>
      <w:r w:rsidR="0004201C" w:rsidRPr="00D31FF7">
        <w:rPr>
          <w:rFonts w:asciiTheme="majorHAnsi" w:eastAsia="Arial" w:hAnsiTheme="majorHAnsi" w:cs="Arial"/>
          <w:sz w:val="26"/>
          <w:szCs w:val="26"/>
        </w:rPr>
        <w:t>Ejecutivo</w:t>
      </w:r>
      <w:r w:rsidR="00E46AAE">
        <w:rPr>
          <w:rFonts w:asciiTheme="majorHAnsi" w:eastAsia="Arial" w:hAnsiTheme="majorHAnsi" w:cs="Arial"/>
          <w:sz w:val="26"/>
          <w:szCs w:val="26"/>
        </w:rPr>
        <w:t>,</w:t>
      </w:r>
      <w:r w:rsidR="00093D91" w:rsidRPr="00D31FF7">
        <w:rPr>
          <w:rFonts w:asciiTheme="majorHAnsi" w:eastAsia="Arial" w:hAnsiTheme="majorHAnsi" w:cs="Arial"/>
          <w:sz w:val="26"/>
          <w:szCs w:val="26"/>
        </w:rPr>
        <w:t xml:space="preserve"> modificar sus tablas de aplicabilidad </w:t>
      </w:r>
      <w:r w:rsidR="0004201C" w:rsidRPr="00D31FF7">
        <w:rPr>
          <w:rFonts w:asciiTheme="majorHAnsi" w:eastAsia="Arial" w:hAnsiTheme="majorHAnsi" w:cs="Arial"/>
          <w:sz w:val="26"/>
          <w:szCs w:val="26"/>
        </w:rPr>
        <w:t xml:space="preserve">de las obligaciones de transparencia específicas, </w:t>
      </w:r>
      <w:r w:rsidR="00093D91" w:rsidRPr="00D31FF7">
        <w:rPr>
          <w:rFonts w:asciiTheme="majorHAnsi" w:eastAsia="Arial" w:hAnsiTheme="majorHAnsi" w:cs="Arial"/>
          <w:sz w:val="26"/>
          <w:szCs w:val="26"/>
        </w:rPr>
        <w:t xml:space="preserve">de conformidad con lo señalado en el considerando </w:t>
      </w:r>
      <w:r w:rsidR="0004201C" w:rsidRPr="00D31FF7">
        <w:rPr>
          <w:rFonts w:asciiTheme="majorHAnsi" w:eastAsia="Arial" w:hAnsiTheme="majorHAnsi" w:cs="Arial"/>
          <w:sz w:val="26"/>
          <w:szCs w:val="26"/>
        </w:rPr>
        <w:t>quinto</w:t>
      </w:r>
      <w:r w:rsidR="00093D91" w:rsidRPr="00D31FF7">
        <w:rPr>
          <w:rFonts w:asciiTheme="majorHAnsi" w:eastAsia="Arial" w:hAnsiTheme="majorHAnsi" w:cs="Arial"/>
          <w:sz w:val="26"/>
          <w:szCs w:val="26"/>
        </w:rPr>
        <w:t xml:space="preserve">, y que éstas sean aprobadas por sus comités de transparencia, únicamente en lo que respecta a las áreas que posean o generen la información; y que se publiquen en el sitio de internet del sujeto obligado que se trate y en la Plataforma Nacional de Transparencia, </w:t>
      </w:r>
      <w:r w:rsidR="0004201C" w:rsidRPr="00D31FF7">
        <w:rPr>
          <w:rFonts w:asciiTheme="majorHAnsi" w:eastAsia="Arial" w:hAnsiTheme="majorHAnsi" w:cs="Arial"/>
          <w:sz w:val="26"/>
          <w:szCs w:val="26"/>
        </w:rPr>
        <w:t>en términos de lo establecido en el numeral noveno de los Lineamientos técnicos generales</w:t>
      </w:r>
      <w:r w:rsidR="00093D91" w:rsidRPr="00D31FF7">
        <w:rPr>
          <w:rFonts w:asciiTheme="majorHAnsi" w:eastAsia="Arial" w:hAnsiTheme="majorHAnsi" w:cs="Arial"/>
          <w:sz w:val="26"/>
          <w:szCs w:val="26"/>
        </w:rPr>
        <w:t>, en un plazo máximo de 15 días hábiles, contados a partir del día siguiente de la aprobación del presente.</w:t>
      </w:r>
    </w:p>
    <w:p w:rsidR="0050662C" w:rsidRPr="00D31FF7" w:rsidRDefault="0050662C" w:rsidP="003209F0">
      <w:pPr>
        <w:spacing w:after="0" w:line="240" w:lineRule="auto"/>
        <w:jc w:val="both"/>
        <w:rPr>
          <w:rFonts w:asciiTheme="majorHAnsi" w:hAnsiTheme="majorHAnsi"/>
          <w:sz w:val="26"/>
          <w:szCs w:val="26"/>
        </w:rPr>
      </w:pPr>
    </w:p>
    <w:p w:rsidR="00545E0A" w:rsidRPr="00D31FF7" w:rsidRDefault="00930275"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TERCERO</w:t>
      </w:r>
      <w:r w:rsidR="0050662C"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 xml:space="preserve">Se ordena a la Secretaría Ejecutiva del Instituto Estatal de Transparencia, Acceso a la Información Pública y Protección de Datos Personales, para que en un plazo máximo de 10 días hábiles, contados a partir del día siguiente de la aprobación del presente, notifique a los sujetos obligados del Poder </w:t>
      </w:r>
      <w:r w:rsidR="0004201C" w:rsidRPr="00D31FF7">
        <w:rPr>
          <w:rFonts w:asciiTheme="majorHAnsi" w:eastAsia="Arial" w:hAnsiTheme="majorHAnsi" w:cs="Arial"/>
          <w:sz w:val="26"/>
          <w:szCs w:val="26"/>
        </w:rPr>
        <w:t>Ejecutivo</w:t>
      </w:r>
      <w:r w:rsidR="00093D91" w:rsidRPr="00D31FF7">
        <w:rPr>
          <w:rFonts w:asciiTheme="majorHAnsi" w:eastAsia="Arial" w:hAnsiTheme="majorHAnsi" w:cs="Arial"/>
          <w:sz w:val="26"/>
          <w:szCs w:val="26"/>
        </w:rPr>
        <w:t>, el acuerdo que hoy nos ocupa</w:t>
      </w:r>
      <w:r w:rsidR="00093D91" w:rsidRPr="00D31FF7">
        <w:rPr>
          <w:rFonts w:asciiTheme="majorHAnsi" w:hAnsiTheme="majorHAnsi"/>
          <w:sz w:val="26"/>
          <w:szCs w:val="26"/>
        </w:rPr>
        <w:t>.</w:t>
      </w:r>
    </w:p>
    <w:p w:rsidR="0085476E" w:rsidRPr="00D31FF7" w:rsidRDefault="0085476E" w:rsidP="003209F0">
      <w:pPr>
        <w:spacing w:after="0" w:line="240" w:lineRule="auto"/>
        <w:jc w:val="both"/>
        <w:rPr>
          <w:rFonts w:asciiTheme="majorHAnsi" w:eastAsia="Arial" w:hAnsiTheme="majorHAnsi" w:cs="Arial"/>
          <w:sz w:val="26"/>
          <w:szCs w:val="26"/>
        </w:rPr>
      </w:pPr>
    </w:p>
    <w:p w:rsidR="0085476E" w:rsidRPr="00D31FF7" w:rsidRDefault="00930275" w:rsidP="003209F0">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CUARTO</w:t>
      </w:r>
      <w:r w:rsidR="0085476E" w:rsidRPr="00D31FF7">
        <w:rPr>
          <w:rFonts w:asciiTheme="majorHAnsi" w:eastAsia="Arial" w:hAnsiTheme="majorHAnsi" w:cs="Arial"/>
          <w:b/>
          <w:sz w:val="26"/>
          <w:szCs w:val="26"/>
        </w:rPr>
        <w:t xml:space="preserve">.- </w:t>
      </w:r>
      <w:r w:rsidR="00093D91" w:rsidRPr="00D31FF7">
        <w:rPr>
          <w:rFonts w:asciiTheme="majorHAnsi" w:eastAsia="Arial" w:hAnsiTheme="majorHAnsi" w:cs="Arial"/>
          <w:sz w:val="26"/>
          <w:szCs w:val="26"/>
        </w:rPr>
        <w:t>Publíquese en el sitio de internet de este órgano garante.</w:t>
      </w:r>
    </w:p>
    <w:p w:rsidR="00093D91" w:rsidRPr="00D31FF7" w:rsidRDefault="00093D91" w:rsidP="003209F0">
      <w:pPr>
        <w:spacing w:after="0" w:line="240" w:lineRule="auto"/>
        <w:jc w:val="both"/>
        <w:rPr>
          <w:rFonts w:asciiTheme="majorHAnsi" w:eastAsia="Arial" w:hAnsiTheme="majorHAnsi" w:cs="Arial"/>
          <w:sz w:val="26"/>
          <w:szCs w:val="26"/>
        </w:rPr>
      </w:pPr>
    </w:p>
    <w:p w:rsidR="00093D91" w:rsidRPr="00D31FF7" w:rsidRDefault="00093D91" w:rsidP="00093D91">
      <w:pPr>
        <w:spacing w:after="0" w:line="240" w:lineRule="auto"/>
        <w:jc w:val="both"/>
        <w:rPr>
          <w:rFonts w:asciiTheme="majorHAnsi" w:eastAsia="Arial" w:hAnsiTheme="majorHAnsi" w:cs="Arial"/>
          <w:sz w:val="26"/>
          <w:szCs w:val="26"/>
        </w:rPr>
      </w:pPr>
      <w:r w:rsidRPr="00D31FF7">
        <w:rPr>
          <w:rFonts w:asciiTheme="majorHAnsi" w:eastAsia="Arial" w:hAnsiTheme="majorHAnsi" w:cs="Arial"/>
          <w:b/>
          <w:sz w:val="26"/>
          <w:szCs w:val="26"/>
        </w:rPr>
        <w:t xml:space="preserve">QUINTO.- </w:t>
      </w:r>
      <w:r w:rsidRPr="00D31FF7">
        <w:rPr>
          <w:rFonts w:asciiTheme="majorHAnsi" w:eastAsia="Arial" w:hAnsiTheme="majorHAnsi" w:cs="Arial"/>
          <w:sz w:val="26"/>
          <w:szCs w:val="26"/>
        </w:rPr>
        <w:t>Cúmplase.</w:t>
      </w:r>
    </w:p>
    <w:tbl>
      <w:tblPr>
        <w:tblW w:w="9113" w:type="dxa"/>
        <w:tblLook w:val="04A0"/>
      </w:tblPr>
      <w:tblGrid>
        <w:gridCol w:w="4556"/>
        <w:gridCol w:w="4557"/>
      </w:tblGrid>
      <w:tr w:rsidR="0044045B" w:rsidRPr="00D31FF7" w:rsidTr="00F45E78">
        <w:trPr>
          <w:trHeight w:val="1946"/>
        </w:trPr>
        <w:tc>
          <w:tcPr>
            <w:tcW w:w="9113" w:type="dxa"/>
            <w:gridSpan w:val="2"/>
            <w:shd w:val="clear" w:color="auto" w:fill="auto"/>
          </w:tcPr>
          <w:p w:rsidR="0044045B" w:rsidRPr="00D31FF7" w:rsidRDefault="0044045B" w:rsidP="003209F0">
            <w:pPr>
              <w:spacing w:after="0" w:line="240" w:lineRule="auto"/>
              <w:rPr>
                <w:rFonts w:asciiTheme="majorHAnsi" w:hAnsiTheme="majorHAnsi" w:cs="Arial"/>
                <w:b/>
                <w:sz w:val="26"/>
                <w:szCs w:val="26"/>
              </w:rPr>
            </w:pPr>
          </w:p>
          <w:p w:rsidR="0044045B" w:rsidRPr="00D31FF7" w:rsidRDefault="0044045B" w:rsidP="003209F0">
            <w:pPr>
              <w:spacing w:after="0" w:line="240" w:lineRule="auto"/>
              <w:jc w:val="center"/>
              <w:rPr>
                <w:rFonts w:asciiTheme="majorHAnsi" w:hAnsiTheme="majorHAnsi" w:cs="Arial"/>
                <w:b/>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r w:rsidRPr="00D31FF7">
              <w:rPr>
                <w:rFonts w:asciiTheme="majorHAnsi" w:hAnsiTheme="majorHAnsi" w:cs="Arial"/>
                <w:b/>
                <w:bCs/>
                <w:sz w:val="26"/>
                <w:szCs w:val="26"/>
              </w:rPr>
              <w:t>LICDA. SUSANA AGUILAR COVARRUBIAS</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sz w:val="26"/>
                <w:szCs w:val="26"/>
              </w:rPr>
              <w:t>COMISIONADA PRESIDENTA</w:t>
            </w:r>
          </w:p>
        </w:tc>
      </w:tr>
      <w:tr w:rsidR="0044045B" w:rsidRPr="00D31FF7" w:rsidTr="00093D91">
        <w:trPr>
          <w:trHeight w:val="2268"/>
        </w:trPr>
        <w:tc>
          <w:tcPr>
            <w:tcW w:w="4556" w:type="dxa"/>
            <w:shd w:val="clear" w:color="auto" w:fill="auto"/>
          </w:tcPr>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AD126B" w:rsidRPr="00D31FF7" w:rsidRDefault="00AD126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rPr>
                <w:rFonts w:asciiTheme="majorHAnsi" w:hAnsiTheme="majorHAnsi" w:cs="Arial"/>
                <w:b/>
                <w:bCs/>
                <w:sz w:val="26"/>
                <w:szCs w:val="26"/>
              </w:rPr>
            </w:pPr>
            <w:r w:rsidRPr="00D31FF7">
              <w:rPr>
                <w:rFonts w:asciiTheme="majorHAnsi" w:hAnsiTheme="majorHAnsi" w:cs="Arial"/>
                <w:b/>
                <w:bCs/>
                <w:sz w:val="26"/>
                <w:szCs w:val="26"/>
              </w:rPr>
              <w:t>LICDA. MARÍA EUGENIA SANSORES RUZ</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bCs/>
                <w:sz w:val="26"/>
                <w:szCs w:val="26"/>
              </w:rPr>
              <w:t>COMISIONADA</w:t>
            </w:r>
          </w:p>
        </w:tc>
        <w:tc>
          <w:tcPr>
            <w:tcW w:w="4557" w:type="dxa"/>
            <w:shd w:val="clear" w:color="auto" w:fill="auto"/>
          </w:tcPr>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bCs/>
                <w:sz w:val="26"/>
                <w:szCs w:val="26"/>
              </w:rPr>
            </w:pPr>
          </w:p>
          <w:p w:rsidR="00AD126B" w:rsidRPr="00D31FF7" w:rsidRDefault="00AD126B" w:rsidP="003209F0">
            <w:pPr>
              <w:spacing w:after="0" w:line="240" w:lineRule="auto"/>
              <w:jc w:val="center"/>
              <w:rPr>
                <w:rFonts w:asciiTheme="majorHAnsi" w:hAnsiTheme="majorHAnsi" w:cs="Arial"/>
                <w:b/>
                <w:bCs/>
                <w:sz w:val="26"/>
                <w:szCs w:val="26"/>
              </w:rPr>
            </w:pP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sz w:val="26"/>
                <w:szCs w:val="26"/>
              </w:rPr>
              <w:t>LIC. ALDRIN MARTÍN BRICEÑO CONRADO</w:t>
            </w:r>
          </w:p>
          <w:p w:rsidR="0044045B" w:rsidRPr="00D31FF7" w:rsidRDefault="0044045B" w:rsidP="003209F0">
            <w:pPr>
              <w:spacing w:after="0" w:line="240" w:lineRule="auto"/>
              <w:jc w:val="center"/>
              <w:rPr>
                <w:rFonts w:asciiTheme="majorHAnsi" w:hAnsiTheme="majorHAnsi" w:cs="Arial"/>
                <w:b/>
                <w:sz w:val="26"/>
                <w:szCs w:val="26"/>
              </w:rPr>
            </w:pPr>
            <w:r w:rsidRPr="00D31FF7">
              <w:rPr>
                <w:rFonts w:asciiTheme="majorHAnsi" w:hAnsiTheme="majorHAnsi" w:cs="Arial"/>
                <w:b/>
                <w:bCs/>
                <w:sz w:val="26"/>
                <w:szCs w:val="26"/>
              </w:rPr>
              <w:t>COMISIONADO</w:t>
            </w:r>
          </w:p>
        </w:tc>
      </w:tr>
    </w:tbl>
    <w:p w:rsidR="008A416E" w:rsidRPr="00D31FF7" w:rsidRDefault="008A416E" w:rsidP="00930275">
      <w:pPr>
        <w:spacing w:after="0" w:line="240" w:lineRule="auto"/>
        <w:rPr>
          <w:rFonts w:asciiTheme="majorHAnsi" w:hAnsiTheme="majorHAnsi"/>
          <w:b/>
          <w:sz w:val="26"/>
          <w:szCs w:val="26"/>
        </w:rPr>
      </w:pPr>
      <w:bookmarkStart w:id="0" w:name="_GoBack"/>
      <w:bookmarkEnd w:id="0"/>
    </w:p>
    <w:sectPr w:rsidR="008A416E" w:rsidRPr="00D31FF7" w:rsidSect="00930275">
      <w:headerReference w:type="default" r:id="rId8"/>
      <w:footerReference w:type="default" r:id="rId9"/>
      <w:type w:val="continuous"/>
      <w:pgSz w:w="12240" w:h="15840"/>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ED" w:rsidRDefault="004F59ED">
      <w:pPr>
        <w:spacing w:after="0" w:line="240" w:lineRule="auto"/>
      </w:pPr>
      <w:r>
        <w:separator/>
      </w:r>
    </w:p>
  </w:endnote>
  <w:endnote w:type="continuationSeparator" w:id="0">
    <w:p w:rsidR="004F59ED" w:rsidRDefault="004F5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023280"/>
      <w:docPartObj>
        <w:docPartGallery w:val="Page Numbers (Bottom of Page)"/>
        <w:docPartUnique/>
      </w:docPartObj>
    </w:sdtPr>
    <w:sdtContent>
      <w:p w:rsidR="001F33B6" w:rsidRDefault="00276B7C">
        <w:pPr>
          <w:pStyle w:val="Piedepgina"/>
          <w:jc w:val="right"/>
        </w:pPr>
        <w:r>
          <w:fldChar w:fldCharType="begin"/>
        </w:r>
        <w:r w:rsidR="001F33B6">
          <w:instrText xml:space="preserve"> PAGE   \* MERGEFORMAT </w:instrText>
        </w:r>
        <w:r>
          <w:fldChar w:fldCharType="separate"/>
        </w:r>
        <w:r w:rsidR="00E46AAE">
          <w:rPr>
            <w:noProof/>
          </w:rPr>
          <w:t>7</w:t>
        </w:r>
        <w:r>
          <w:rPr>
            <w:noProof/>
          </w:rPr>
          <w:fldChar w:fldCharType="end"/>
        </w:r>
      </w:p>
    </w:sdtContent>
  </w:sdt>
  <w:p w:rsidR="001F33B6" w:rsidRDefault="001F33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ED" w:rsidRDefault="004F59ED">
      <w:pPr>
        <w:spacing w:after="0" w:line="240" w:lineRule="auto"/>
      </w:pPr>
      <w:r>
        <w:separator/>
      </w:r>
    </w:p>
  </w:footnote>
  <w:footnote w:type="continuationSeparator" w:id="0">
    <w:p w:rsidR="004F59ED" w:rsidRDefault="004F5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B6" w:rsidRDefault="001F33B6">
    <w:pPr>
      <w:pStyle w:val="Encabezado"/>
    </w:pPr>
    <w:r>
      <w:rPr>
        <w:noProof/>
        <w:lang w:eastAsia="es-MX"/>
      </w:rPr>
      <w:drawing>
        <wp:inline distT="0" distB="0" distL="0" distR="0">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944245"/>
                  </a:xfrm>
                  <a:prstGeom prst="rect">
                    <a:avLst/>
                  </a:prstGeom>
                </pic:spPr>
              </pic:pic>
            </a:graphicData>
          </a:graphic>
        </wp:inline>
      </w:drawing>
    </w:r>
  </w:p>
  <w:p w:rsidR="001F33B6" w:rsidRDefault="001F33B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96377"/>
    <w:rsid w:val="000009B1"/>
    <w:rsid w:val="00004EDF"/>
    <w:rsid w:val="000071D7"/>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40BD"/>
    <w:rsid w:val="0005547B"/>
    <w:rsid w:val="000561A7"/>
    <w:rsid w:val="00067719"/>
    <w:rsid w:val="000756D6"/>
    <w:rsid w:val="00075EBF"/>
    <w:rsid w:val="00076E71"/>
    <w:rsid w:val="00081527"/>
    <w:rsid w:val="00084179"/>
    <w:rsid w:val="00084E1D"/>
    <w:rsid w:val="00085008"/>
    <w:rsid w:val="000919AC"/>
    <w:rsid w:val="000925B9"/>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D1CA5"/>
    <w:rsid w:val="000D1D47"/>
    <w:rsid w:val="000D3188"/>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71EB"/>
    <w:rsid w:val="001A0F52"/>
    <w:rsid w:val="001A3D76"/>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E4551"/>
    <w:rsid w:val="001E49FE"/>
    <w:rsid w:val="001E7478"/>
    <w:rsid w:val="001F06C3"/>
    <w:rsid w:val="001F2821"/>
    <w:rsid w:val="001F33B6"/>
    <w:rsid w:val="001F4541"/>
    <w:rsid w:val="00202AE1"/>
    <w:rsid w:val="0020546F"/>
    <w:rsid w:val="00214F0A"/>
    <w:rsid w:val="00215EFA"/>
    <w:rsid w:val="00216830"/>
    <w:rsid w:val="002259C5"/>
    <w:rsid w:val="002320DA"/>
    <w:rsid w:val="002347F1"/>
    <w:rsid w:val="00234D8D"/>
    <w:rsid w:val="002413D1"/>
    <w:rsid w:val="00242D91"/>
    <w:rsid w:val="00244A84"/>
    <w:rsid w:val="00253E8D"/>
    <w:rsid w:val="002601A3"/>
    <w:rsid w:val="0026020B"/>
    <w:rsid w:val="00260D66"/>
    <w:rsid w:val="0026202F"/>
    <w:rsid w:val="00263828"/>
    <w:rsid w:val="00266580"/>
    <w:rsid w:val="0026712D"/>
    <w:rsid w:val="00267257"/>
    <w:rsid w:val="002747FA"/>
    <w:rsid w:val="00276B7C"/>
    <w:rsid w:val="0028142D"/>
    <w:rsid w:val="002847A4"/>
    <w:rsid w:val="0028747C"/>
    <w:rsid w:val="002918D2"/>
    <w:rsid w:val="00296FB5"/>
    <w:rsid w:val="002A0AC3"/>
    <w:rsid w:val="002A16A1"/>
    <w:rsid w:val="002A2785"/>
    <w:rsid w:val="002A74C9"/>
    <w:rsid w:val="002B2251"/>
    <w:rsid w:val="002B4AAB"/>
    <w:rsid w:val="002B5977"/>
    <w:rsid w:val="002B6C6E"/>
    <w:rsid w:val="002B704F"/>
    <w:rsid w:val="002B73D4"/>
    <w:rsid w:val="002C4F4E"/>
    <w:rsid w:val="002C5689"/>
    <w:rsid w:val="002D0BD5"/>
    <w:rsid w:val="002D29A8"/>
    <w:rsid w:val="002D2E32"/>
    <w:rsid w:val="002D4ABB"/>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A4A"/>
    <w:rsid w:val="0033618C"/>
    <w:rsid w:val="00340D7B"/>
    <w:rsid w:val="003516E9"/>
    <w:rsid w:val="00351DD9"/>
    <w:rsid w:val="0035215C"/>
    <w:rsid w:val="00354281"/>
    <w:rsid w:val="00367B19"/>
    <w:rsid w:val="003714F8"/>
    <w:rsid w:val="003730AC"/>
    <w:rsid w:val="00373F25"/>
    <w:rsid w:val="003816E8"/>
    <w:rsid w:val="00390694"/>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602D"/>
    <w:rsid w:val="003E06C3"/>
    <w:rsid w:val="003E1956"/>
    <w:rsid w:val="003E417F"/>
    <w:rsid w:val="003E6DEA"/>
    <w:rsid w:val="003E7A6E"/>
    <w:rsid w:val="003E7C2B"/>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7B53"/>
    <w:rsid w:val="004215DC"/>
    <w:rsid w:val="0042185C"/>
    <w:rsid w:val="00422341"/>
    <w:rsid w:val="00423747"/>
    <w:rsid w:val="004254F3"/>
    <w:rsid w:val="00426A12"/>
    <w:rsid w:val="00432D76"/>
    <w:rsid w:val="0044045B"/>
    <w:rsid w:val="004516DC"/>
    <w:rsid w:val="004527E5"/>
    <w:rsid w:val="0045325F"/>
    <w:rsid w:val="00454513"/>
    <w:rsid w:val="0046034C"/>
    <w:rsid w:val="004607DB"/>
    <w:rsid w:val="004634F1"/>
    <w:rsid w:val="00466359"/>
    <w:rsid w:val="00466C12"/>
    <w:rsid w:val="004704D3"/>
    <w:rsid w:val="00474CE3"/>
    <w:rsid w:val="004755A1"/>
    <w:rsid w:val="00480FE1"/>
    <w:rsid w:val="00482ABC"/>
    <w:rsid w:val="004838F7"/>
    <w:rsid w:val="00487907"/>
    <w:rsid w:val="00490AE1"/>
    <w:rsid w:val="004952DE"/>
    <w:rsid w:val="004A00AB"/>
    <w:rsid w:val="004A0293"/>
    <w:rsid w:val="004A1E30"/>
    <w:rsid w:val="004A40A8"/>
    <w:rsid w:val="004A493A"/>
    <w:rsid w:val="004B2313"/>
    <w:rsid w:val="004B5713"/>
    <w:rsid w:val="004B5F8E"/>
    <w:rsid w:val="004B709E"/>
    <w:rsid w:val="004C4C5D"/>
    <w:rsid w:val="004C6ADD"/>
    <w:rsid w:val="004D012A"/>
    <w:rsid w:val="004D1FE1"/>
    <w:rsid w:val="004D287E"/>
    <w:rsid w:val="004E1AB3"/>
    <w:rsid w:val="004E79E1"/>
    <w:rsid w:val="004F4FE2"/>
    <w:rsid w:val="004F59ED"/>
    <w:rsid w:val="004F6C82"/>
    <w:rsid w:val="004F75B6"/>
    <w:rsid w:val="005060B8"/>
    <w:rsid w:val="0050662C"/>
    <w:rsid w:val="00507203"/>
    <w:rsid w:val="005073CE"/>
    <w:rsid w:val="00510DA9"/>
    <w:rsid w:val="00526642"/>
    <w:rsid w:val="00530A72"/>
    <w:rsid w:val="0053148D"/>
    <w:rsid w:val="00534718"/>
    <w:rsid w:val="005453F5"/>
    <w:rsid w:val="00545E0A"/>
    <w:rsid w:val="00546A08"/>
    <w:rsid w:val="00551F8B"/>
    <w:rsid w:val="00556E42"/>
    <w:rsid w:val="005604F7"/>
    <w:rsid w:val="005611FC"/>
    <w:rsid w:val="00561738"/>
    <w:rsid w:val="00561D42"/>
    <w:rsid w:val="005700C1"/>
    <w:rsid w:val="00570CCA"/>
    <w:rsid w:val="005730BC"/>
    <w:rsid w:val="00574205"/>
    <w:rsid w:val="00580068"/>
    <w:rsid w:val="00580E0D"/>
    <w:rsid w:val="005821FD"/>
    <w:rsid w:val="00582AA2"/>
    <w:rsid w:val="00585098"/>
    <w:rsid w:val="00591107"/>
    <w:rsid w:val="0059597A"/>
    <w:rsid w:val="00595FAB"/>
    <w:rsid w:val="005A01B3"/>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3418"/>
    <w:rsid w:val="00601076"/>
    <w:rsid w:val="00604B18"/>
    <w:rsid w:val="00606985"/>
    <w:rsid w:val="00607338"/>
    <w:rsid w:val="006136C0"/>
    <w:rsid w:val="00614800"/>
    <w:rsid w:val="00614B14"/>
    <w:rsid w:val="006159DD"/>
    <w:rsid w:val="00620069"/>
    <w:rsid w:val="00621EB7"/>
    <w:rsid w:val="0062501A"/>
    <w:rsid w:val="006263B3"/>
    <w:rsid w:val="00627058"/>
    <w:rsid w:val="006311FC"/>
    <w:rsid w:val="00635ED9"/>
    <w:rsid w:val="006455A2"/>
    <w:rsid w:val="00647639"/>
    <w:rsid w:val="006476EF"/>
    <w:rsid w:val="00657BBD"/>
    <w:rsid w:val="00660632"/>
    <w:rsid w:val="00670F83"/>
    <w:rsid w:val="00671C05"/>
    <w:rsid w:val="00673CCF"/>
    <w:rsid w:val="006772C5"/>
    <w:rsid w:val="00677D06"/>
    <w:rsid w:val="006806C4"/>
    <w:rsid w:val="0068252D"/>
    <w:rsid w:val="006848E0"/>
    <w:rsid w:val="0069163F"/>
    <w:rsid w:val="00691B34"/>
    <w:rsid w:val="006967AC"/>
    <w:rsid w:val="006A1DB5"/>
    <w:rsid w:val="006A20CD"/>
    <w:rsid w:val="006A30CF"/>
    <w:rsid w:val="006A45B7"/>
    <w:rsid w:val="006A7BDA"/>
    <w:rsid w:val="006B2575"/>
    <w:rsid w:val="006B48DD"/>
    <w:rsid w:val="006C04EE"/>
    <w:rsid w:val="006C0633"/>
    <w:rsid w:val="006C3719"/>
    <w:rsid w:val="006C4DCC"/>
    <w:rsid w:val="006C5CC3"/>
    <w:rsid w:val="006C5E73"/>
    <w:rsid w:val="006D20CC"/>
    <w:rsid w:val="006D290B"/>
    <w:rsid w:val="006E5411"/>
    <w:rsid w:val="006E7E8D"/>
    <w:rsid w:val="006F221C"/>
    <w:rsid w:val="006F2C34"/>
    <w:rsid w:val="006F3ACC"/>
    <w:rsid w:val="00701099"/>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62917"/>
    <w:rsid w:val="00771E3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3E35"/>
    <w:rsid w:val="008360B6"/>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2F92"/>
    <w:rsid w:val="00875E38"/>
    <w:rsid w:val="008809AA"/>
    <w:rsid w:val="00881E2E"/>
    <w:rsid w:val="008859EB"/>
    <w:rsid w:val="00890936"/>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C20"/>
    <w:rsid w:val="008E16E5"/>
    <w:rsid w:val="008F2467"/>
    <w:rsid w:val="008F2872"/>
    <w:rsid w:val="008F493B"/>
    <w:rsid w:val="008F5EEE"/>
    <w:rsid w:val="00902388"/>
    <w:rsid w:val="00905181"/>
    <w:rsid w:val="00905A05"/>
    <w:rsid w:val="0091009B"/>
    <w:rsid w:val="009128C7"/>
    <w:rsid w:val="009160F1"/>
    <w:rsid w:val="00921F09"/>
    <w:rsid w:val="0092213D"/>
    <w:rsid w:val="009252CA"/>
    <w:rsid w:val="009275CE"/>
    <w:rsid w:val="00930275"/>
    <w:rsid w:val="009311F7"/>
    <w:rsid w:val="00931A05"/>
    <w:rsid w:val="00934A0F"/>
    <w:rsid w:val="00937F61"/>
    <w:rsid w:val="009417C6"/>
    <w:rsid w:val="00942CA0"/>
    <w:rsid w:val="00943267"/>
    <w:rsid w:val="0094360B"/>
    <w:rsid w:val="00944A5B"/>
    <w:rsid w:val="0094610A"/>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3474"/>
    <w:rsid w:val="009D5EB5"/>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502E"/>
    <w:rsid w:val="00AB0565"/>
    <w:rsid w:val="00AB46AF"/>
    <w:rsid w:val="00AC4F49"/>
    <w:rsid w:val="00AC62EE"/>
    <w:rsid w:val="00AC6D42"/>
    <w:rsid w:val="00AC7E7A"/>
    <w:rsid w:val="00AD126B"/>
    <w:rsid w:val="00AD3753"/>
    <w:rsid w:val="00AD40B1"/>
    <w:rsid w:val="00AD5C53"/>
    <w:rsid w:val="00AE2131"/>
    <w:rsid w:val="00AE308A"/>
    <w:rsid w:val="00AF047D"/>
    <w:rsid w:val="00AF0C7A"/>
    <w:rsid w:val="00AF2125"/>
    <w:rsid w:val="00AF23E6"/>
    <w:rsid w:val="00AF3343"/>
    <w:rsid w:val="00AF58E7"/>
    <w:rsid w:val="00AF7D95"/>
    <w:rsid w:val="00B002A4"/>
    <w:rsid w:val="00B01658"/>
    <w:rsid w:val="00B0635A"/>
    <w:rsid w:val="00B06490"/>
    <w:rsid w:val="00B12D2C"/>
    <w:rsid w:val="00B1430B"/>
    <w:rsid w:val="00B223F6"/>
    <w:rsid w:val="00B2369A"/>
    <w:rsid w:val="00B2425C"/>
    <w:rsid w:val="00B2591D"/>
    <w:rsid w:val="00B2708E"/>
    <w:rsid w:val="00B3227A"/>
    <w:rsid w:val="00B33254"/>
    <w:rsid w:val="00B344C0"/>
    <w:rsid w:val="00B4073D"/>
    <w:rsid w:val="00B40820"/>
    <w:rsid w:val="00B42CA5"/>
    <w:rsid w:val="00B431B0"/>
    <w:rsid w:val="00B46B78"/>
    <w:rsid w:val="00B5141E"/>
    <w:rsid w:val="00B523F3"/>
    <w:rsid w:val="00B5250D"/>
    <w:rsid w:val="00B54AE7"/>
    <w:rsid w:val="00B56B19"/>
    <w:rsid w:val="00B60444"/>
    <w:rsid w:val="00B6555F"/>
    <w:rsid w:val="00B667B0"/>
    <w:rsid w:val="00B66B74"/>
    <w:rsid w:val="00B70140"/>
    <w:rsid w:val="00B80A72"/>
    <w:rsid w:val="00B83845"/>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5A74"/>
    <w:rsid w:val="00BC046D"/>
    <w:rsid w:val="00BC696D"/>
    <w:rsid w:val="00BD006E"/>
    <w:rsid w:val="00BD1C35"/>
    <w:rsid w:val="00BD63B2"/>
    <w:rsid w:val="00BD787B"/>
    <w:rsid w:val="00BE45E0"/>
    <w:rsid w:val="00BE5DD4"/>
    <w:rsid w:val="00BF2C09"/>
    <w:rsid w:val="00BF44CD"/>
    <w:rsid w:val="00BF5B57"/>
    <w:rsid w:val="00C01F2A"/>
    <w:rsid w:val="00C042D9"/>
    <w:rsid w:val="00C05ED5"/>
    <w:rsid w:val="00C10F91"/>
    <w:rsid w:val="00C13D1C"/>
    <w:rsid w:val="00C20F21"/>
    <w:rsid w:val="00C23BAE"/>
    <w:rsid w:val="00C27C05"/>
    <w:rsid w:val="00C30344"/>
    <w:rsid w:val="00C31F39"/>
    <w:rsid w:val="00C36E52"/>
    <w:rsid w:val="00C40DCC"/>
    <w:rsid w:val="00C43492"/>
    <w:rsid w:val="00C44869"/>
    <w:rsid w:val="00C51C63"/>
    <w:rsid w:val="00C52138"/>
    <w:rsid w:val="00C534C4"/>
    <w:rsid w:val="00C60219"/>
    <w:rsid w:val="00C6057E"/>
    <w:rsid w:val="00C6362C"/>
    <w:rsid w:val="00C64AC2"/>
    <w:rsid w:val="00C64B1C"/>
    <w:rsid w:val="00C6621E"/>
    <w:rsid w:val="00C66BB5"/>
    <w:rsid w:val="00C67365"/>
    <w:rsid w:val="00C72CE5"/>
    <w:rsid w:val="00C74906"/>
    <w:rsid w:val="00C83A34"/>
    <w:rsid w:val="00C83FC1"/>
    <w:rsid w:val="00C841F4"/>
    <w:rsid w:val="00C84F03"/>
    <w:rsid w:val="00C90720"/>
    <w:rsid w:val="00C96377"/>
    <w:rsid w:val="00C97021"/>
    <w:rsid w:val="00CA6BA6"/>
    <w:rsid w:val="00CA6D0F"/>
    <w:rsid w:val="00CB6B36"/>
    <w:rsid w:val="00CC193E"/>
    <w:rsid w:val="00CC2452"/>
    <w:rsid w:val="00CC380D"/>
    <w:rsid w:val="00CC5C3D"/>
    <w:rsid w:val="00CD2C73"/>
    <w:rsid w:val="00CD3508"/>
    <w:rsid w:val="00CD6D25"/>
    <w:rsid w:val="00CE01B8"/>
    <w:rsid w:val="00CF5992"/>
    <w:rsid w:val="00CF786B"/>
    <w:rsid w:val="00D12955"/>
    <w:rsid w:val="00D1463B"/>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70332"/>
    <w:rsid w:val="00D71729"/>
    <w:rsid w:val="00D7253B"/>
    <w:rsid w:val="00D73A05"/>
    <w:rsid w:val="00D74ACA"/>
    <w:rsid w:val="00D7586C"/>
    <w:rsid w:val="00D76707"/>
    <w:rsid w:val="00D8010F"/>
    <w:rsid w:val="00D804B0"/>
    <w:rsid w:val="00D813A4"/>
    <w:rsid w:val="00D85455"/>
    <w:rsid w:val="00D90379"/>
    <w:rsid w:val="00D91D51"/>
    <w:rsid w:val="00D94442"/>
    <w:rsid w:val="00DB19F5"/>
    <w:rsid w:val="00DB3F8A"/>
    <w:rsid w:val="00DB66A8"/>
    <w:rsid w:val="00DB66E8"/>
    <w:rsid w:val="00DB6CF6"/>
    <w:rsid w:val="00DB7FB5"/>
    <w:rsid w:val="00DC4A2F"/>
    <w:rsid w:val="00DC4CF8"/>
    <w:rsid w:val="00DD203F"/>
    <w:rsid w:val="00DD540C"/>
    <w:rsid w:val="00DD5722"/>
    <w:rsid w:val="00DE15F6"/>
    <w:rsid w:val="00DE410C"/>
    <w:rsid w:val="00DE4F2D"/>
    <w:rsid w:val="00DE5278"/>
    <w:rsid w:val="00DF0DDB"/>
    <w:rsid w:val="00DF7F7E"/>
    <w:rsid w:val="00E122FC"/>
    <w:rsid w:val="00E1259A"/>
    <w:rsid w:val="00E13DAF"/>
    <w:rsid w:val="00E172E1"/>
    <w:rsid w:val="00E374EF"/>
    <w:rsid w:val="00E42CB8"/>
    <w:rsid w:val="00E450F3"/>
    <w:rsid w:val="00E45DF0"/>
    <w:rsid w:val="00E46AAE"/>
    <w:rsid w:val="00E47ECC"/>
    <w:rsid w:val="00E47F23"/>
    <w:rsid w:val="00E50092"/>
    <w:rsid w:val="00E525BA"/>
    <w:rsid w:val="00E6016D"/>
    <w:rsid w:val="00E6086D"/>
    <w:rsid w:val="00E618FF"/>
    <w:rsid w:val="00E6237B"/>
    <w:rsid w:val="00E67522"/>
    <w:rsid w:val="00E72261"/>
    <w:rsid w:val="00E75F17"/>
    <w:rsid w:val="00E762D8"/>
    <w:rsid w:val="00E826E8"/>
    <w:rsid w:val="00E83981"/>
    <w:rsid w:val="00E83BCA"/>
    <w:rsid w:val="00E87EF2"/>
    <w:rsid w:val="00E96F9E"/>
    <w:rsid w:val="00E9762C"/>
    <w:rsid w:val="00EA574B"/>
    <w:rsid w:val="00EB3198"/>
    <w:rsid w:val="00EB36F2"/>
    <w:rsid w:val="00EB7C65"/>
    <w:rsid w:val="00EC29A9"/>
    <w:rsid w:val="00EC4C0B"/>
    <w:rsid w:val="00ED26B2"/>
    <w:rsid w:val="00ED2C7A"/>
    <w:rsid w:val="00ED398D"/>
    <w:rsid w:val="00ED64A1"/>
    <w:rsid w:val="00ED7F39"/>
    <w:rsid w:val="00EE0550"/>
    <w:rsid w:val="00EF6259"/>
    <w:rsid w:val="00EF73A3"/>
    <w:rsid w:val="00F044C8"/>
    <w:rsid w:val="00F04F4B"/>
    <w:rsid w:val="00F054DA"/>
    <w:rsid w:val="00F06549"/>
    <w:rsid w:val="00F107FE"/>
    <w:rsid w:val="00F10EE6"/>
    <w:rsid w:val="00F224D8"/>
    <w:rsid w:val="00F24BCE"/>
    <w:rsid w:val="00F25B69"/>
    <w:rsid w:val="00F337CE"/>
    <w:rsid w:val="00F35CF4"/>
    <w:rsid w:val="00F3652C"/>
    <w:rsid w:val="00F36C64"/>
    <w:rsid w:val="00F405BD"/>
    <w:rsid w:val="00F4138E"/>
    <w:rsid w:val="00F42317"/>
    <w:rsid w:val="00F437C9"/>
    <w:rsid w:val="00F44026"/>
    <w:rsid w:val="00F45E78"/>
    <w:rsid w:val="00F5442D"/>
    <w:rsid w:val="00F609C8"/>
    <w:rsid w:val="00F63A0D"/>
    <w:rsid w:val="00F71174"/>
    <w:rsid w:val="00F729F5"/>
    <w:rsid w:val="00F729FE"/>
    <w:rsid w:val="00F83B17"/>
    <w:rsid w:val="00F8649F"/>
    <w:rsid w:val="00F86FA7"/>
    <w:rsid w:val="00F91AA5"/>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66DA"/>
    <w:rsid w:val="00FE0B4C"/>
    <w:rsid w:val="00FE1A82"/>
    <w:rsid w:val="00FE30EF"/>
    <w:rsid w:val="00FE51DB"/>
    <w:rsid w:val="00FF2381"/>
    <w:rsid w:val="00FF6122"/>
    <w:rsid w:val="00FF6A8D"/>
    <w:rsid w:val="00FF79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GridTable1LightAccent5">
    <w:name w:val="Grid Table 1 Light Accent 5"/>
    <w:basedOn w:val="Tablanormal"/>
    <w:uiPriority w:val="46"/>
    <w:rsid w:val="00B40820"/>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DF22C-B8BC-4A80-B562-DBEFCB08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1879</Words>
  <Characters>10339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4</cp:revision>
  <cp:lastPrinted>2017-08-08T13:26:00Z</cp:lastPrinted>
  <dcterms:created xsi:type="dcterms:W3CDTF">2017-08-08T14:17:00Z</dcterms:created>
  <dcterms:modified xsi:type="dcterms:W3CDTF">2017-08-08T15:50:00Z</dcterms:modified>
</cp:coreProperties>
</file>