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4C9" w:rsidRPr="009272BB" w:rsidRDefault="00BB5A74" w:rsidP="009272BB">
      <w:pPr>
        <w:spacing w:after="0" w:line="240" w:lineRule="auto"/>
        <w:jc w:val="both"/>
        <w:rPr>
          <w:rFonts w:asciiTheme="majorHAnsi" w:hAnsiTheme="majorHAnsi"/>
          <w:b/>
          <w:sz w:val="24"/>
          <w:szCs w:val="24"/>
        </w:rPr>
      </w:pPr>
      <w:r w:rsidRPr="009272BB">
        <w:rPr>
          <w:rFonts w:asciiTheme="majorHAnsi" w:eastAsia="Arial" w:hAnsiTheme="majorHAnsi" w:cs="Arial"/>
          <w:b/>
          <w:sz w:val="24"/>
          <w:szCs w:val="24"/>
        </w:rPr>
        <w:t>TABLA DE</w:t>
      </w:r>
      <w:r w:rsidR="00930275" w:rsidRPr="009272BB">
        <w:rPr>
          <w:rFonts w:asciiTheme="majorHAnsi" w:eastAsia="Arial" w:hAnsiTheme="majorHAnsi" w:cs="Arial"/>
          <w:b/>
          <w:sz w:val="24"/>
          <w:szCs w:val="24"/>
        </w:rPr>
        <w:t xml:space="preserve"> APLICAB</w:t>
      </w:r>
      <w:r w:rsidR="00F8649F" w:rsidRPr="009272BB">
        <w:rPr>
          <w:rFonts w:asciiTheme="majorHAnsi" w:eastAsia="Arial" w:hAnsiTheme="majorHAnsi" w:cs="Arial"/>
          <w:b/>
          <w:sz w:val="24"/>
          <w:szCs w:val="24"/>
        </w:rPr>
        <w:t>ILIDAD DE L</w:t>
      </w:r>
      <w:r w:rsidR="00FA3366" w:rsidRPr="009272BB">
        <w:rPr>
          <w:rFonts w:asciiTheme="majorHAnsi" w:eastAsia="Arial" w:hAnsiTheme="majorHAnsi" w:cs="Arial"/>
          <w:b/>
          <w:sz w:val="24"/>
          <w:szCs w:val="24"/>
        </w:rPr>
        <w:t>AS OBLIGACIONES DE TRANSPARENCIA ESPECÍFICAS DE LOS SUJETOS OBLIGADOS DEL PODER JUDICIAL, EN TÉRMINOS DEL NUMERAL NOVENO DE LOS LINEAMIENTO</w:t>
      </w:r>
      <w:r w:rsidR="00F8649F" w:rsidRPr="009272BB">
        <w:rPr>
          <w:rFonts w:asciiTheme="majorHAnsi" w:eastAsia="Arial" w:hAnsiTheme="majorHAnsi" w:cs="Arial"/>
          <w:b/>
          <w:sz w:val="24"/>
          <w:szCs w:val="24"/>
        </w:rPr>
        <w:t>S TÉCNICOS GENERALES</w:t>
      </w:r>
    </w:p>
    <w:p w:rsidR="002A74C9" w:rsidRPr="009272BB" w:rsidRDefault="002A74C9" w:rsidP="009272BB">
      <w:pPr>
        <w:spacing w:after="0" w:line="240" w:lineRule="auto"/>
        <w:jc w:val="center"/>
        <w:rPr>
          <w:rFonts w:asciiTheme="majorHAnsi" w:hAnsiTheme="majorHAnsi"/>
          <w:b/>
          <w:sz w:val="24"/>
          <w:szCs w:val="24"/>
        </w:rPr>
      </w:pPr>
    </w:p>
    <w:p w:rsidR="00367B19" w:rsidRPr="009272BB" w:rsidRDefault="00367B19" w:rsidP="009272BB">
      <w:pPr>
        <w:spacing w:after="0" w:line="240" w:lineRule="auto"/>
        <w:jc w:val="both"/>
        <w:rPr>
          <w:rFonts w:asciiTheme="majorHAnsi" w:eastAsia="Arial" w:hAnsiTheme="majorHAnsi" w:cs="Arial"/>
          <w:sz w:val="24"/>
          <w:szCs w:val="24"/>
        </w:rPr>
      </w:pPr>
      <w:r w:rsidRPr="009272BB">
        <w:rPr>
          <w:rFonts w:asciiTheme="majorHAnsi" w:eastAsia="Arial" w:hAnsiTheme="majorHAnsi" w:cs="Arial"/>
          <w:sz w:val="24"/>
          <w:szCs w:val="24"/>
        </w:rPr>
        <w:t xml:space="preserve">En la ciudad de Mérida, Yucatán, siendo las </w:t>
      </w:r>
      <w:r w:rsidR="00B20FBA">
        <w:rPr>
          <w:rFonts w:asciiTheme="majorHAnsi" w:eastAsia="Arial" w:hAnsiTheme="majorHAnsi" w:cs="Arial"/>
          <w:sz w:val="24"/>
          <w:szCs w:val="24"/>
        </w:rPr>
        <w:t>14</w:t>
      </w:r>
      <w:r w:rsidRPr="009272BB">
        <w:rPr>
          <w:rFonts w:asciiTheme="majorHAnsi" w:eastAsia="Arial" w:hAnsiTheme="majorHAnsi" w:cs="Arial"/>
          <w:sz w:val="24"/>
          <w:szCs w:val="24"/>
        </w:rPr>
        <w:t xml:space="preserve"> horas con </w:t>
      </w:r>
      <w:r w:rsidR="00B20FBA">
        <w:rPr>
          <w:rFonts w:asciiTheme="majorHAnsi" w:eastAsia="Arial" w:hAnsiTheme="majorHAnsi" w:cs="Arial"/>
          <w:sz w:val="24"/>
          <w:szCs w:val="24"/>
        </w:rPr>
        <w:t>10</w:t>
      </w:r>
      <w:r w:rsidR="00D43BD4" w:rsidRPr="009272BB">
        <w:rPr>
          <w:rFonts w:asciiTheme="majorHAnsi" w:eastAsia="Arial" w:hAnsiTheme="majorHAnsi" w:cs="Arial"/>
          <w:sz w:val="24"/>
          <w:szCs w:val="24"/>
        </w:rPr>
        <w:t xml:space="preserve"> </w:t>
      </w:r>
      <w:r w:rsidRPr="009272BB">
        <w:rPr>
          <w:rFonts w:asciiTheme="majorHAnsi" w:eastAsia="Arial" w:hAnsiTheme="majorHAnsi" w:cs="Arial"/>
          <w:sz w:val="24"/>
          <w:szCs w:val="24"/>
        </w:rPr>
        <w:t xml:space="preserve">minutos, del día </w:t>
      </w:r>
      <w:r w:rsidR="00B20FBA">
        <w:rPr>
          <w:rFonts w:asciiTheme="majorHAnsi" w:eastAsia="Arial" w:hAnsiTheme="majorHAnsi" w:cs="Arial"/>
          <w:sz w:val="24"/>
          <w:szCs w:val="24"/>
        </w:rPr>
        <w:t>10</w:t>
      </w:r>
      <w:r w:rsidR="00595FAB" w:rsidRPr="009272BB">
        <w:rPr>
          <w:rFonts w:asciiTheme="majorHAnsi" w:eastAsia="Arial" w:hAnsiTheme="majorHAnsi" w:cs="Arial"/>
          <w:sz w:val="24"/>
          <w:szCs w:val="24"/>
        </w:rPr>
        <w:t xml:space="preserve"> </w:t>
      </w:r>
      <w:r w:rsidRPr="009272BB">
        <w:rPr>
          <w:rFonts w:asciiTheme="majorHAnsi" w:eastAsia="Arial" w:hAnsiTheme="majorHAnsi" w:cs="Arial"/>
          <w:sz w:val="24"/>
          <w:szCs w:val="24"/>
        </w:rPr>
        <w:t xml:space="preserve">de </w:t>
      </w:r>
      <w:r w:rsidR="00B20FBA">
        <w:rPr>
          <w:rFonts w:asciiTheme="majorHAnsi" w:eastAsia="Arial" w:hAnsiTheme="majorHAnsi" w:cs="Arial"/>
          <w:sz w:val="24"/>
          <w:szCs w:val="24"/>
        </w:rPr>
        <w:t>agosto</w:t>
      </w:r>
      <w:r w:rsidRPr="009272BB">
        <w:rPr>
          <w:rFonts w:asciiTheme="majorHAnsi" w:eastAsia="Arial" w:hAnsiTheme="majorHAnsi" w:cs="Arial"/>
          <w:sz w:val="24"/>
          <w:szCs w:val="24"/>
        </w:rPr>
        <w:t xml:space="preserve"> del año </w:t>
      </w:r>
      <w:r w:rsidR="00FA3366" w:rsidRPr="009272BB">
        <w:rPr>
          <w:rFonts w:asciiTheme="majorHAnsi" w:eastAsia="Arial" w:hAnsiTheme="majorHAnsi" w:cs="Arial"/>
          <w:sz w:val="24"/>
          <w:szCs w:val="24"/>
        </w:rPr>
        <w:t>2017</w:t>
      </w:r>
      <w:r w:rsidRPr="009272BB">
        <w:rPr>
          <w:rFonts w:asciiTheme="majorHAnsi" w:eastAsia="Arial" w:hAnsiTheme="majorHAnsi" w:cs="Arial"/>
          <w:sz w:val="24"/>
          <w:szCs w:val="24"/>
        </w:rPr>
        <w:t>, encontrándose reunidos los integrantes del Pleno del Instituto Estatal de Transparencia, Acceso a la Información Pública y Protección de Datos Personales, los Licenciados en Derecho, Susana Aguilar Covarrubias, María Eugenia Sansores Ruz y Aldrin Martín Briceño Conrado, Comisionada Presidenta y Comisionados, respectivamente, emiten el presente acuerdo de conformidad con los siguientes:</w:t>
      </w:r>
    </w:p>
    <w:p w:rsidR="00367B19" w:rsidRPr="009272BB" w:rsidRDefault="00367B19" w:rsidP="009272BB">
      <w:pPr>
        <w:spacing w:after="0" w:line="240" w:lineRule="auto"/>
        <w:jc w:val="center"/>
        <w:rPr>
          <w:rFonts w:asciiTheme="majorHAnsi" w:hAnsiTheme="majorHAnsi"/>
          <w:b/>
          <w:sz w:val="24"/>
          <w:szCs w:val="24"/>
        </w:rPr>
      </w:pPr>
    </w:p>
    <w:p w:rsidR="00866BBD" w:rsidRPr="009272BB" w:rsidRDefault="00866BBD" w:rsidP="009272BB">
      <w:pPr>
        <w:spacing w:after="0" w:line="240" w:lineRule="auto"/>
        <w:jc w:val="center"/>
        <w:rPr>
          <w:rFonts w:asciiTheme="majorHAnsi" w:hAnsiTheme="majorHAnsi"/>
          <w:b/>
          <w:sz w:val="24"/>
          <w:szCs w:val="24"/>
        </w:rPr>
      </w:pPr>
      <w:r w:rsidRPr="009272BB">
        <w:rPr>
          <w:rFonts w:asciiTheme="majorHAnsi" w:hAnsiTheme="majorHAnsi"/>
          <w:b/>
          <w:sz w:val="24"/>
          <w:szCs w:val="24"/>
        </w:rPr>
        <w:t>ANTECEDENTES</w:t>
      </w:r>
    </w:p>
    <w:p w:rsidR="00866BBD" w:rsidRPr="009272BB" w:rsidRDefault="00866BBD" w:rsidP="009272BB">
      <w:pPr>
        <w:spacing w:after="0" w:line="240" w:lineRule="auto"/>
        <w:jc w:val="center"/>
        <w:rPr>
          <w:rFonts w:asciiTheme="majorHAnsi" w:hAnsiTheme="majorHAnsi"/>
          <w:b/>
          <w:sz w:val="24"/>
          <w:szCs w:val="24"/>
        </w:rPr>
      </w:pPr>
    </w:p>
    <w:p w:rsidR="00574205" w:rsidRPr="009272BB" w:rsidRDefault="00866BBD" w:rsidP="009272BB">
      <w:pPr>
        <w:spacing w:after="0" w:line="240" w:lineRule="auto"/>
        <w:jc w:val="both"/>
        <w:rPr>
          <w:rFonts w:asciiTheme="majorHAnsi" w:hAnsiTheme="majorHAnsi"/>
          <w:i/>
          <w:sz w:val="24"/>
          <w:szCs w:val="24"/>
        </w:rPr>
      </w:pPr>
      <w:proofErr w:type="gramStart"/>
      <w:r w:rsidRPr="009272BB">
        <w:rPr>
          <w:rFonts w:asciiTheme="majorHAnsi" w:hAnsiTheme="majorHAnsi"/>
          <w:b/>
          <w:sz w:val="24"/>
          <w:szCs w:val="24"/>
        </w:rPr>
        <w:t>PRIMERO.-</w:t>
      </w:r>
      <w:proofErr w:type="gramEnd"/>
      <w:r w:rsidRPr="009272BB">
        <w:rPr>
          <w:rFonts w:asciiTheme="majorHAnsi" w:hAnsiTheme="majorHAnsi"/>
          <w:sz w:val="24"/>
          <w:szCs w:val="24"/>
        </w:rPr>
        <w:t xml:space="preserve"> </w:t>
      </w:r>
      <w:r w:rsidRPr="009272BB">
        <w:rPr>
          <w:rFonts w:asciiTheme="majorHAnsi" w:eastAsia="Arial" w:hAnsiTheme="majorHAnsi" w:cs="Arial"/>
          <w:sz w:val="24"/>
          <w:szCs w:val="24"/>
        </w:rPr>
        <w:t>El 7 de febrero de 2014, se publicó en el Diario Oficial de la Federación el Decreto por el que se reforman y adicionan diversas disposiciones de la Constitución Política de los Estados Unidos Mexicanos, en materia de Transparencia.</w:t>
      </w:r>
    </w:p>
    <w:p w:rsidR="00574205" w:rsidRPr="009272BB" w:rsidRDefault="00574205" w:rsidP="009272BB">
      <w:pPr>
        <w:spacing w:after="0" w:line="240" w:lineRule="auto"/>
        <w:jc w:val="both"/>
        <w:rPr>
          <w:rFonts w:asciiTheme="majorHAnsi" w:hAnsiTheme="majorHAnsi"/>
          <w:sz w:val="24"/>
          <w:szCs w:val="24"/>
        </w:rPr>
      </w:pPr>
    </w:p>
    <w:p w:rsidR="007B1E58" w:rsidRPr="009272BB" w:rsidRDefault="00866BBD" w:rsidP="009272BB">
      <w:pPr>
        <w:spacing w:after="0" w:line="240" w:lineRule="auto"/>
        <w:jc w:val="both"/>
        <w:rPr>
          <w:rFonts w:asciiTheme="majorHAnsi" w:eastAsia="Arial" w:hAnsiTheme="majorHAnsi" w:cs="Arial"/>
          <w:sz w:val="24"/>
          <w:szCs w:val="24"/>
        </w:rPr>
      </w:pPr>
      <w:proofErr w:type="gramStart"/>
      <w:r w:rsidRPr="009272BB">
        <w:rPr>
          <w:rFonts w:asciiTheme="majorHAnsi" w:eastAsia="Arial" w:hAnsiTheme="majorHAnsi" w:cs="Arial"/>
          <w:b/>
          <w:sz w:val="24"/>
          <w:szCs w:val="24"/>
        </w:rPr>
        <w:t>SEGUNDO.-</w:t>
      </w:r>
      <w:proofErr w:type="gramEnd"/>
      <w:r w:rsidRPr="009272BB">
        <w:rPr>
          <w:rFonts w:asciiTheme="majorHAnsi" w:eastAsia="Arial" w:hAnsiTheme="majorHAnsi" w:cs="Arial"/>
          <w:b/>
          <w:sz w:val="24"/>
          <w:szCs w:val="24"/>
        </w:rPr>
        <w:t xml:space="preserve"> </w:t>
      </w:r>
      <w:r w:rsidRPr="009272BB">
        <w:rPr>
          <w:rFonts w:asciiTheme="majorHAnsi" w:eastAsia="Arial" w:hAnsiTheme="majorHAnsi" w:cs="Arial"/>
          <w:sz w:val="24"/>
          <w:szCs w:val="24"/>
        </w:rPr>
        <w:t xml:space="preserve">El 4 de mayo de 2015, se publicó en el Diario Oficial de la Federación el Decreto por el que se expide la Ley General de Transparencia y Acceso a la Información Pública, Ley reglamentaria del artículo 6 constitucional. Dicha Ley, en </w:t>
      </w:r>
      <w:r w:rsidR="0045325F" w:rsidRPr="009272BB">
        <w:rPr>
          <w:rFonts w:asciiTheme="majorHAnsi" w:eastAsia="Arial" w:hAnsiTheme="majorHAnsi" w:cs="Arial"/>
          <w:sz w:val="24"/>
          <w:szCs w:val="24"/>
        </w:rPr>
        <w:t>el último párrafo del</w:t>
      </w:r>
      <w:r w:rsidRPr="009272BB">
        <w:rPr>
          <w:rFonts w:asciiTheme="majorHAnsi" w:eastAsia="Arial" w:hAnsiTheme="majorHAnsi" w:cs="Arial"/>
          <w:sz w:val="24"/>
          <w:szCs w:val="24"/>
        </w:rPr>
        <w:t xml:space="preserve"> </w:t>
      </w:r>
      <w:r w:rsidR="007B1E58" w:rsidRPr="009272BB">
        <w:rPr>
          <w:rFonts w:asciiTheme="majorHAnsi" w:eastAsia="Arial" w:hAnsiTheme="majorHAnsi" w:cs="Arial"/>
          <w:sz w:val="24"/>
          <w:szCs w:val="24"/>
        </w:rPr>
        <w:t xml:space="preserve">artículo </w:t>
      </w:r>
      <w:r w:rsidR="0045325F" w:rsidRPr="009272BB">
        <w:rPr>
          <w:rFonts w:asciiTheme="majorHAnsi" w:eastAsia="Arial" w:hAnsiTheme="majorHAnsi" w:cs="Arial"/>
          <w:sz w:val="24"/>
          <w:szCs w:val="24"/>
        </w:rPr>
        <w:t>70</w:t>
      </w:r>
      <w:r w:rsidR="007B1E58" w:rsidRPr="009272BB">
        <w:rPr>
          <w:rFonts w:asciiTheme="majorHAnsi" w:eastAsia="Arial" w:hAnsiTheme="majorHAnsi" w:cs="Arial"/>
          <w:sz w:val="24"/>
          <w:szCs w:val="24"/>
        </w:rPr>
        <w:t xml:space="preserve"> dispone que:</w:t>
      </w:r>
    </w:p>
    <w:p w:rsidR="007B1E58" w:rsidRPr="009272BB" w:rsidRDefault="007B1E58" w:rsidP="009272BB">
      <w:pPr>
        <w:spacing w:after="0" w:line="240" w:lineRule="auto"/>
        <w:jc w:val="both"/>
        <w:rPr>
          <w:rFonts w:asciiTheme="majorHAnsi" w:eastAsia="Arial" w:hAnsiTheme="majorHAnsi" w:cs="Arial"/>
          <w:sz w:val="24"/>
          <w:szCs w:val="24"/>
        </w:rPr>
      </w:pPr>
    </w:p>
    <w:p w:rsidR="00866BBD" w:rsidRPr="009272BB" w:rsidRDefault="007B1E58" w:rsidP="009272BB">
      <w:pPr>
        <w:spacing w:after="0" w:line="240" w:lineRule="auto"/>
        <w:ind w:left="851" w:right="616"/>
        <w:jc w:val="both"/>
        <w:rPr>
          <w:rFonts w:asciiTheme="majorHAnsi" w:eastAsia="Arial" w:hAnsiTheme="majorHAnsi" w:cs="Arial"/>
          <w:sz w:val="24"/>
          <w:szCs w:val="24"/>
        </w:rPr>
      </w:pPr>
      <w:r w:rsidRPr="009272BB">
        <w:rPr>
          <w:rFonts w:asciiTheme="majorHAnsi" w:eastAsia="Arial" w:hAnsiTheme="majorHAnsi" w:cs="Arial"/>
          <w:sz w:val="24"/>
          <w:szCs w:val="24"/>
        </w:rPr>
        <w:t>“..</w:t>
      </w:r>
      <w:r w:rsidR="00866BBD" w:rsidRPr="009272BB">
        <w:rPr>
          <w:rFonts w:asciiTheme="majorHAnsi" w:eastAsia="Arial" w:hAnsiTheme="majorHAnsi" w:cs="Arial"/>
          <w:sz w:val="24"/>
          <w:szCs w:val="24"/>
        </w:rPr>
        <w:t>.</w:t>
      </w:r>
      <w:r w:rsidR="0045325F" w:rsidRPr="009272BB">
        <w:rPr>
          <w:rFonts w:asciiTheme="majorHAnsi" w:eastAsia="Arial" w:hAnsiTheme="majorHAnsi" w:cs="Arial"/>
          <w:sz w:val="24"/>
          <w:szCs w:val="24"/>
        </w:rPr>
        <w:t>Los sujetos obligados deberán informar a los Organismos garantes y verificar que se publiquen en la</w:t>
      </w:r>
      <w:r w:rsidR="00422341" w:rsidRPr="009272BB">
        <w:rPr>
          <w:rFonts w:asciiTheme="majorHAnsi" w:eastAsia="Arial" w:hAnsiTheme="majorHAnsi"/>
          <w:sz w:val="24"/>
          <w:szCs w:val="24"/>
        </w:rPr>
        <w:t xml:space="preserve"> </w:t>
      </w:r>
      <w:r w:rsidR="0045325F" w:rsidRPr="009272BB">
        <w:rPr>
          <w:rFonts w:asciiTheme="majorHAnsi" w:eastAsia="Arial" w:hAnsiTheme="majorHAnsi" w:cs="Arial"/>
          <w:sz w:val="24"/>
          <w:szCs w:val="24"/>
        </w:rPr>
        <w:t>Plataforma Nacional, cuáles son los rubros que son aplicables a sus páginas de Internet, con el objeto de que</w:t>
      </w:r>
      <w:r w:rsidR="00422341" w:rsidRPr="009272BB">
        <w:rPr>
          <w:rFonts w:asciiTheme="majorHAnsi" w:eastAsia="Arial" w:hAnsiTheme="majorHAnsi"/>
          <w:sz w:val="24"/>
          <w:szCs w:val="24"/>
        </w:rPr>
        <w:t xml:space="preserve"> </w:t>
      </w:r>
      <w:r w:rsidR="0045325F" w:rsidRPr="009272BB">
        <w:rPr>
          <w:rFonts w:asciiTheme="majorHAnsi" w:eastAsia="Arial" w:hAnsiTheme="majorHAnsi" w:cs="Arial"/>
          <w:sz w:val="24"/>
          <w:szCs w:val="24"/>
        </w:rPr>
        <w:t>éstos verifiquen y aprueben, de forma fundada y motivada, la relación de fracciones aplicables a cada sujeto</w:t>
      </w:r>
      <w:r w:rsidR="00422341" w:rsidRPr="009272BB">
        <w:rPr>
          <w:rFonts w:asciiTheme="majorHAnsi" w:eastAsia="Arial" w:hAnsiTheme="majorHAnsi"/>
          <w:sz w:val="24"/>
          <w:szCs w:val="24"/>
        </w:rPr>
        <w:t xml:space="preserve"> </w:t>
      </w:r>
      <w:r w:rsidR="00B467BA" w:rsidRPr="009272BB">
        <w:rPr>
          <w:rFonts w:asciiTheme="majorHAnsi" w:eastAsia="Arial" w:hAnsiTheme="majorHAnsi" w:cs="Arial"/>
          <w:sz w:val="24"/>
          <w:szCs w:val="24"/>
        </w:rPr>
        <w:t>obligado</w:t>
      </w:r>
      <w:r w:rsidRPr="009272BB">
        <w:rPr>
          <w:rFonts w:asciiTheme="majorHAnsi" w:eastAsia="Arial" w:hAnsiTheme="majorHAnsi" w:cs="Arial"/>
          <w:sz w:val="24"/>
          <w:szCs w:val="24"/>
        </w:rPr>
        <w:t>…”</w:t>
      </w:r>
    </w:p>
    <w:p w:rsidR="00866BBD" w:rsidRPr="009272BB" w:rsidRDefault="00866BBD" w:rsidP="009272BB">
      <w:pPr>
        <w:spacing w:after="0" w:line="240" w:lineRule="auto"/>
        <w:jc w:val="both"/>
        <w:rPr>
          <w:rFonts w:asciiTheme="majorHAnsi" w:eastAsia="Arial" w:hAnsiTheme="majorHAnsi" w:cs="Arial"/>
          <w:b/>
          <w:sz w:val="24"/>
          <w:szCs w:val="24"/>
        </w:rPr>
      </w:pPr>
    </w:p>
    <w:p w:rsidR="00866BBD" w:rsidRPr="009272BB" w:rsidRDefault="00866BBD" w:rsidP="009272BB">
      <w:pPr>
        <w:spacing w:after="0" w:line="240" w:lineRule="auto"/>
        <w:jc w:val="both"/>
        <w:rPr>
          <w:rFonts w:asciiTheme="majorHAnsi" w:eastAsia="Arial" w:hAnsiTheme="majorHAnsi" w:cs="Arial"/>
          <w:sz w:val="24"/>
          <w:szCs w:val="24"/>
        </w:rPr>
      </w:pPr>
      <w:proofErr w:type="gramStart"/>
      <w:r w:rsidRPr="009272BB">
        <w:rPr>
          <w:rFonts w:asciiTheme="majorHAnsi" w:eastAsia="Arial" w:hAnsiTheme="majorHAnsi" w:cs="Arial"/>
          <w:b/>
          <w:sz w:val="24"/>
          <w:szCs w:val="24"/>
        </w:rPr>
        <w:t>TERCERO.-</w:t>
      </w:r>
      <w:proofErr w:type="gramEnd"/>
      <w:r w:rsidRPr="009272BB">
        <w:rPr>
          <w:rFonts w:asciiTheme="majorHAnsi" w:eastAsia="Arial" w:hAnsiTheme="majorHAnsi" w:cs="Arial"/>
          <w:b/>
          <w:sz w:val="24"/>
          <w:szCs w:val="24"/>
        </w:rPr>
        <w:t xml:space="preserve"> </w:t>
      </w:r>
      <w:r w:rsidRPr="009272BB">
        <w:rPr>
          <w:rFonts w:asciiTheme="majorHAnsi" w:eastAsia="Arial" w:hAnsiTheme="majorHAnsi" w:cs="Arial"/>
          <w:sz w:val="24"/>
          <w:szCs w:val="24"/>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rsidR="00866BBD" w:rsidRPr="009272BB" w:rsidRDefault="00866BBD" w:rsidP="009272BB">
      <w:pPr>
        <w:spacing w:after="0" w:line="240" w:lineRule="auto"/>
        <w:jc w:val="both"/>
        <w:rPr>
          <w:rFonts w:asciiTheme="majorHAnsi" w:eastAsia="Arial" w:hAnsiTheme="majorHAnsi" w:cs="Arial"/>
          <w:b/>
          <w:sz w:val="24"/>
          <w:szCs w:val="24"/>
        </w:rPr>
      </w:pPr>
    </w:p>
    <w:p w:rsidR="00866BBD" w:rsidRPr="009272BB" w:rsidRDefault="00866BBD" w:rsidP="009272BB">
      <w:pPr>
        <w:spacing w:after="0" w:line="240" w:lineRule="auto"/>
        <w:jc w:val="both"/>
        <w:rPr>
          <w:rFonts w:asciiTheme="majorHAnsi" w:eastAsia="Arial" w:hAnsiTheme="majorHAnsi" w:cs="Arial"/>
          <w:sz w:val="24"/>
          <w:szCs w:val="24"/>
        </w:rPr>
      </w:pPr>
      <w:proofErr w:type="gramStart"/>
      <w:r w:rsidRPr="009272BB">
        <w:rPr>
          <w:rFonts w:asciiTheme="majorHAnsi" w:eastAsia="Arial" w:hAnsiTheme="majorHAnsi" w:cs="Arial"/>
          <w:b/>
          <w:sz w:val="24"/>
          <w:szCs w:val="24"/>
        </w:rPr>
        <w:t>CUARTO.-</w:t>
      </w:r>
      <w:proofErr w:type="gramEnd"/>
      <w:r w:rsidRPr="009272BB">
        <w:rPr>
          <w:rFonts w:asciiTheme="majorHAnsi" w:eastAsia="Arial" w:hAnsiTheme="majorHAnsi" w:cs="Arial"/>
          <w:sz w:val="24"/>
          <w:szCs w:val="24"/>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p>
    <w:p w:rsidR="00AF3343" w:rsidRPr="009272BB" w:rsidRDefault="00AF3343" w:rsidP="009272BB">
      <w:pPr>
        <w:spacing w:after="0" w:line="240" w:lineRule="auto"/>
        <w:jc w:val="both"/>
        <w:rPr>
          <w:rFonts w:asciiTheme="majorHAnsi" w:eastAsia="Arial" w:hAnsiTheme="majorHAnsi" w:cs="Arial"/>
          <w:sz w:val="24"/>
          <w:szCs w:val="24"/>
        </w:rPr>
      </w:pPr>
    </w:p>
    <w:p w:rsidR="00AF3343" w:rsidRPr="009272BB" w:rsidRDefault="00AF3343" w:rsidP="009272BB">
      <w:pPr>
        <w:spacing w:after="0" w:line="240" w:lineRule="auto"/>
        <w:jc w:val="both"/>
        <w:rPr>
          <w:rFonts w:asciiTheme="majorHAnsi" w:eastAsia="Arial" w:hAnsiTheme="majorHAnsi" w:cs="Arial"/>
          <w:sz w:val="24"/>
          <w:szCs w:val="24"/>
        </w:rPr>
      </w:pPr>
      <w:r w:rsidRPr="009272BB">
        <w:rPr>
          <w:rFonts w:asciiTheme="majorHAnsi" w:eastAsia="Arial" w:hAnsiTheme="majorHAnsi" w:cs="Arial"/>
          <w:sz w:val="24"/>
          <w:szCs w:val="24"/>
        </w:rPr>
        <w:t xml:space="preserve">La referida Ley estatal, indica en su artículo </w:t>
      </w:r>
      <w:r w:rsidR="00422341" w:rsidRPr="009272BB">
        <w:rPr>
          <w:rFonts w:asciiTheme="majorHAnsi" w:eastAsia="Arial" w:hAnsiTheme="majorHAnsi" w:cs="Arial"/>
          <w:sz w:val="24"/>
          <w:szCs w:val="24"/>
        </w:rPr>
        <w:t>55</w:t>
      </w:r>
      <w:r w:rsidRPr="009272BB">
        <w:rPr>
          <w:rFonts w:asciiTheme="majorHAnsi" w:eastAsia="Arial" w:hAnsiTheme="majorHAnsi" w:cs="Arial"/>
          <w:sz w:val="24"/>
          <w:szCs w:val="24"/>
        </w:rPr>
        <w:t>, que:</w:t>
      </w:r>
    </w:p>
    <w:p w:rsidR="00AF3343" w:rsidRPr="009272BB" w:rsidRDefault="00AF3343" w:rsidP="009272BB">
      <w:pPr>
        <w:spacing w:after="0" w:line="240" w:lineRule="auto"/>
        <w:jc w:val="both"/>
        <w:rPr>
          <w:rFonts w:asciiTheme="majorHAnsi" w:eastAsia="Arial" w:hAnsiTheme="majorHAnsi" w:cs="Arial"/>
          <w:sz w:val="24"/>
          <w:szCs w:val="24"/>
        </w:rPr>
      </w:pPr>
    </w:p>
    <w:p w:rsidR="00AF3343" w:rsidRPr="009272BB" w:rsidRDefault="00AF3343" w:rsidP="009272BB">
      <w:pPr>
        <w:spacing w:after="0" w:line="240" w:lineRule="auto"/>
        <w:ind w:left="851" w:right="616"/>
        <w:jc w:val="both"/>
        <w:rPr>
          <w:rFonts w:asciiTheme="majorHAnsi" w:eastAsia="Arial" w:hAnsiTheme="majorHAnsi" w:cs="Arial"/>
          <w:sz w:val="24"/>
          <w:szCs w:val="24"/>
        </w:rPr>
      </w:pPr>
      <w:r w:rsidRPr="009272BB">
        <w:rPr>
          <w:rFonts w:asciiTheme="majorHAnsi" w:eastAsia="Arial" w:hAnsiTheme="majorHAnsi" w:cs="Arial"/>
          <w:sz w:val="24"/>
          <w:szCs w:val="24"/>
        </w:rPr>
        <w:t>“…</w:t>
      </w:r>
      <w:r w:rsidR="00DC4CF8" w:rsidRPr="009272BB">
        <w:rPr>
          <w:rFonts w:asciiTheme="majorHAnsi" w:eastAsia="Arial" w:hAnsiTheme="majorHAnsi" w:cs="Arial"/>
          <w:sz w:val="24"/>
          <w:szCs w:val="24"/>
        </w:rPr>
        <w:t>Los comités de transparencia, para el cumplimiento del objeto de la ley, tendrán las funciones establecidas en el artículo 44 de la Ley general, así como la de identificar las obligaciones que le corresponde cumplir al sujeto obligado y las áreas responsables específicamente de proporcionar la información</w:t>
      </w:r>
      <w:r w:rsidRPr="009272BB">
        <w:rPr>
          <w:rFonts w:asciiTheme="majorHAnsi" w:eastAsia="Arial" w:hAnsiTheme="majorHAnsi" w:cs="Arial"/>
          <w:sz w:val="24"/>
          <w:szCs w:val="24"/>
        </w:rPr>
        <w:t>…”</w:t>
      </w:r>
    </w:p>
    <w:p w:rsidR="00AF3343" w:rsidRPr="009272BB" w:rsidRDefault="00AF3343" w:rsidP="009272BB">
      <w:pPr>
        <w:spacing w:after="0" w:line="240" w:lineRule="auto"/>
        <w:jc w:val="both"/>
        <w:rPr>
          <w:rFonts w:asciiTheme="majorHAnsi" w:eastAsia="Arial" w:hAnsiTheme="majorHAnsi" w:cs="Arial"/>
          <w:b/>
          <w:sz w:val="24"/>
          <w:szCs w:val="24"/>
        </w:rPr>
      </w:pPr>
    </w:p>
    <w:p w:rsidR="00DC4CF8" w:rsidRPr="009272BB" w:rsidRDefault="00582AA2" w:rsidP="009272BB">
      <w:pPr>
        <w:spacing w:after="0" w:line="240" w:lineRule="auto"/>
        <w:jc w:val="both"/>
        <w:rPr>
          <w:rFonts w:asciiTheme="majorHAnsi" w:eastAsia="Arial" w:hAnsiTheme="majorHAnsi" w:cs="Arial"/>
          <w:sz w:val="24"/>
          <w:szCs w:val="24"/>
        </w:rPr>
      </w:pPr>
      <w:r w:rsidRPr="009272BB">
        <w:rPr>
          <w:rFonts w:asciiTheme="majorHAnsi" w:eastAsia="Arial" w:hAnsiTheme="majorHAnsi" w:cs="Arial"/>
          <w:b/>
          <w:sz w:val="24"/>
          <w:szCs w:val="24"/>
        </w:rPr>
        <w:t xml:space="preserve">QUINTO.- </w:t>
      </w:r>
      <w:r w:rsidR="00DC4CF8" w:rsidRPr="009272BB">
        <w:rPr>
          <w:rFonts w:asciiTheme="majorHAnsi" w:eastAsia="Arial" w:hAnsiTheme="majorHAnsi" w:cs="Arial"/>
          <w:sz w:val="24"/>
          <w:szCs w:val="24"/>
        </w:rPr>
        <w:t>El Consejo Nacional del Sistema Nacional de Transparencia, Acceso a la Información y Protección de Datos Personales</w:t>
      </w:r>
      <w:r w:rsidR="00B12D2C" w:rsidRPr="009272BB">
        <w:rPr>
          <w:rFonts w:asciiTheme="majorHAnsi" w:eastAsia="Arial" w:hAnsiTheme="majorHAnsi" w:cs="Arial"/>
          <w:sz w:val="24"/>
          <w:szCs w:val="24"/>
        </w:rPr>
        <w:t>,</w:t>
      </w:r>
      <w:r w:rsidR="00DC4CF8" w:rsidRPr="009272BB">
        <w:rPr>
          <w:rFonts w:asciiTheme="majorHAnsi" w:eastAsia="Arial" w:hAnsiTheme="majorHAnsi" w:cs="Arial"/>
          <w:sz w:val="24"/>
          <w:szCs w:val="24"/>
        </w:rPr>
        <w:t xml:space="preserve"> emitió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w:t>
      </w:r>
      <w:r w:rsidR="00163E09" w:rsidRPr="009272BB">
        <w:rPr>
          <w:rFonts w:asciiTheme="majorHAnsi" w:eastAsia="Arial" w:hAnsiTheme="majorHAnsi" w:cs="Arial"/>
          <w:sz w:val="24"/>
          <w:szCs w:val="24"/>
        </w:rPr>
        <w:t>t</w:t>
      </w:r>
      <w:r w:rsidR="00DC4CF8" w:rsidRPr="009272BB">
        <w:rPr>
          <w:rFonts w:asciiTheme="majorHAnsi" w:eastAsia="Arial" w:hAnsiTheme="majorHAnsi" w:cs="Arial"/>
          <w:sz w:val="24"/>
          <w:szCs w:val="24"/>
        </w:rPr>
        <w:t>écnicos</w:t>
      </w:r>
      <w:r w:rsidR="00163E09" w:rsidRPr="009272BB">
        <w:rPr>
          <w:rFonts w:asciiTheme="majorHAnsi" w:eastAsia="Arial" w:hAnsiTheme="majorHAnsi" w:cs="Arial"/>
          <w:sz w:val="24"/>
          <w:szCs w:val="24"/>
        </w:rPr>
        <w:t xml:space="preserve"> generales</w:t>
      </w:r>
      <w:r w:rsidR="00DC4CF8" w:rsidRPr="009272BB">
        <w:rPr>
          <w:rFonts w:asciiTheme="majorHAnsi" w:eastAsia="Arial" w:hAnsiTheme="majorHAnsi" w:cs="Arial"/>
          <w:sz w:val="24"/>
          <w:szCs w:val="24"/>
        </w:rPr>
        <w:t xml:space="preserve">), publicados en el Diario Oficial de la Federación el </w:t>
      </w:r>
      <w:r w:rsidR="005A684A" w:rsidRPr="009272BB">
        <w:rPr>
          <w:rFonts w:asciiTheme="majorHAnsi" w:eastAsia="Arial" w:hAnsiTheme="majorHAnsi" w:cs="Arial"/>
          <w:sz w:val="24"/>
          <w:szCs w:val="24"/>
        </w:rPr>
        <w:t>4</w:t>
      </w:r>
      <w:r w:rsidR="00DC4CF8" w:rsidRPr="009272BB">
        <w:rPr>
          <w:rFonts w:asciiTheme="majorHAnsi" w:eastAsia="Arial" w:hAnsiTheme="majorHAnsi" w:cs="Arial"/>
          <w:sz w:val="24"/>
          <w:szCs w:val="24"/>
        </w:rPr>
        <w:t xml:space="preserve"> de mayo de </w:t>
      </w:r>
      <w:r w:rsidR="005A684A" w:rsidRPr="009272BB">
        <w:rPr>
          <w:rFonts w:asciiTheme="majorHAnsi" w:eastAsia="Arial" w:hAnsiTheme="majorHAnsi" w:cs="Arial"/>
          <w:sz w:val="24"/>
          <w:szCs w:val="24"/>
        </w:rPr>
        <w:t>2016</w:t>
      </w:r>
      <w:r w:rsidR="00DC4CF8" w:rsidRPr="009272BB">
        <w:rPr>
          <w:rFonts w:asciiTheme="majorHAnsi" w:eastAsia="Arial" w:hAnsiTheme="majorHAnsi" w:cs="Arial"/>
          <w:sz w:val="24"/>
          <w:szCs w:val="24"/>
        </w:rPr>
        <w:t>.</w:t>
      </w:r>
    </w:p>
    <w:p w:rsidR="005A684A" w:rsidRPr="009272BB" w:rsidRDefault="005A684A" w:rsidP="009272BB">
      <w:pPr>
        <w:spacing w:after="0" w:line="240" w:lineRule="auto"/>
        <w:jc w:val="both"/>
        <w:rPr>
          <w:rFonts w:asciiTheme="majorHAnsi" w:eastAsia="Arial" w:hAnsiTheme="majorHAnsi" w:cs="Arial"/>
          <w:sz w:val="24"/>
          <w:szCs w:val="24"/>
        </w:rPr>
      </w:pPr>
    </w:p>
    <w:p w:rsidR="00B6555F" w:rsidRPr="009272BB" w:rsidRDefault="00582AA2" w:rsidP="009272BB">
      <w:pPr>
        <w:spacing w:after="0" w:line="240" w:lineRule="auto"/>
        <w:jc w:val="both"/>
        <w:rPr>
          <w:rFonts w:asciiTheme="majorHAnsi" w:eastAsia="Arial" w:hAnsiTheme="majorHAnsi" w:cs="Arial"/>
          <w:sz w:val="24"/>
          <w:szCs w:val="24"/>
        </w:rPr>
      </w:pPr>
      <w:r w:rsidRPr="009272BB">
        <w:rPr>
          <w:rFonts w:asciiTheme="majorHAnsi" w:eastAsia="Arial" w:hAnsiTheme="majorHAnsi" w:cs="Arial"/>
          <w:sz w:val="24"/>
          <w:szCs w:val="24"/>
        </w:rPr>
        <w:t xml:space="preserve">En los referidos Lineamientos, se contemplan las especificaciones necesarias para la homologación en la presentación y publicación de la información prescrita en el Título Quinto de la Ley </w:t>
      </w:r>
      <w:r w:rsidR="00163E09" w:rsidRPr="009272BB">
        <w:rPr>
          <w:rFonts w:asciiTheme="majorHAnsi" w:eastAsia="Arial" w:hAnsiTheme="majorHAnsi" w:cs="Arial"/>
          <w:sz w:val="24"/>
          <w:szCs w:val="24"/>
        </w:rPr>
        <w:t>g</w:t>
      </w:r>
      <w:r w:rsidRPr="009272BB">
        <w:rPr>
          <w:rFonts w:asciiTheme="majorHAnsi" w:eastAsia="Arial" w:hAnsiTheme="majorHAnsi" w:cs="Arial"/>
          <w:sz w:val="24"/>
          <w:szCs w:val="24"/>
        </w:rPr>
        <w:t>eneral y para asegurar que ésta sea veraz, confiable, oportuna, congruente, integral, actualizada, accesible, comprensible y verificable, al tiempo que detallan los criterios mínimos, tanto de contenido como de forma, que los sujetos obligados deberán tomar en consideración al preparar la información que publicarán para cumplir con sus obligaciones de transparencia.</w:t>
      </w:r>
    </w:p>
    <w:p w:rsidR="005A684A" w:rsidRPr="009272BB" w:rsidRDefault="005A684A" w:rsidP="009272BB">
      <w:pPr>
        <w:spacing w:after="0" w:line="240" w:lineRule="auto"/>
        <w:jc w:val="both"/>
        <w:rPr>
          <w:rFonts w:asciiTheme="majorHAnsi" w:eastAsia="Arial" w:hAnsiTheme="majorHAnsi" w:cs="Arial"/>
          <w:b/>
          <w:sz w:val="24"/>
          <w:szCs w:val="24"/>
        </w:rPr>
      </w:pPr>
    </w:p>
    <w:p w:rsidR="00A16D01" w:rsidRPr="009272BB" w:rsidRDefault="00A16D01" w:rsidP="009272BB">
      <w:pPr>
        <w:spacing w:after="0" w:line="240" w:lineRule="auto"/>
        <w:jc w:val="center"/>
        <w:rPr>
          <w:rFonts w:asciiTheme="majorHAnsi" w:hAnsiTheme="majorHAnsi"/>
          <w:b/>
          <w:sz w:val="24"/>
          <w:szCs w:val="24"/>
        </w:rPr>
      </w:pPr>
      <w:r w:rsidRPr="009272BB">
        <w:rPr>
          <w:rFonts w:asciiTheme="majorHAnsi" w:hAnsiTheme="majorHAnsi"/>
          <w:b/>
          <w:sz w:val="24"/>
          <w:szCs w:val="24"/>
        </w:rPr>
        <w:t>CONSIDERANDOS</w:t>
      </w:r>
    </w:p>
    <w:p w:rsidR="00807346" w:rsidRPr="009272BB" w:rsidRDefault="00807346" w:rsidP="009272BB">
      <w:pPr>
        <w:spacing w:after="0" w:line="240" w:lineRule="auto"/>
        <w:jc w:val="both"/>
        <w:rPr>
          <w:rFonts w:asciiTheme="majorHAnsi" w:eastAsia="Arial" w:hAnsiTheme="majorHAnsi" w:cs="Arial"/>
          <w:b/>
          <w:sz w:val="24"/>
          <w:szCs w:val="24"/>
        </w:rPr>
      </w:pPr>
    </w:p>
    <w:p w:rsidR="00807346" w:rsidRPr="009272BB" w:rsidRDefault="00A16D01" w:rsidP="009272BB">
      <w:pPr>
        <w:spacing w:after="0" w:line="240" w:lineRule="auto"/>
        <w:jc w:val="both"/>
        <w:rPr>
          <w:rFonts w:asciiTheme="majorHAnsi" w:eastAsia="Arial" w:hAnsiTheme="majorHAnsi" w:cs="Arial"/>
          <w:sz w:val="24"/>
          <w:szCs w:val="24"/>
        </w:rPr>
      </w:pPr>
      <w:r w:rsidRPr="009272BB">
        <w:rPr>
          <w:rFonts w:asciiTheme="majorHAnsi" w:eastAsia="Arial" w:hAnsiTheme="majorHAnsi" w:cs="Arial"/>
          <w:b/>
          <w:sz w:val="24"/>
          <w:szCs w:val="24"/>
        </w:rPr>
        <w:t xml:space="preserve">PRIMERO.- </w:t>
      </w:r>
      <w:r w:rsidR="000317AB" w:rsidRPr="009272BB">
        <w:rPr>
          <w:rFonts w:asciiTheme="majorHAnsi" w:eastAsia="Arial" w:hAnsiTheme="majorHAnsi" w:cs="Arial"/>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9272BB">
        <w:rPr>
          <w:rFonts w:asciiTheme="majorHAnsi" w:eastAsia="Arial" w:hAnsiTheme="majorHAnsi" w:cs="Arial"/>
          <w:sz w:val="24"/>
          <w:szCs w:val="24"/>
        </w:rPr>
        <w:t>la</w:t>
      </w:r>
      <w:r w:rsidR="000317AB" w:rsidRPr="009272BB">
        <w:rPr>
          <w:rFonts w:asciiTheme="majorHAnsi" w:eastAsia="Arial" w:hAnsiTheme="majorHAnsi" w:cs="Arial"/>
          <w:sz w:val="24"/>
          <w:szCs w:val="24"/>
        </w:rPr>
        <w:t xml:space="preserve"> </w:t>
      </w:r>
      <w:r w:rsidR="002A74C9" w:rsidRPr="009272BB">
        <w:rPr>
          <w:rFonts w:asciiTheme="majorHAnsi" w:eastAsia="Arial" w:hAnsiTheme="majorHAnsi" w:cs="Arial"/>
          <w:sz w:val="24"/>
          <w:szCs w:val="24"/>
        </w:rPr>
        <w:t>L</w:t>
      </w:r>
      <w:r w:rsidR="000317AB" w:rsidRPr="009272BB">
        <w:rPr>
          <w:rFonts w:asciiTheme="majorHAnsi" w:eastAsia="Arial" w:hAnsiTheme="majorHAnsi" w:cs="Arial"/>
          <w:sz w:val="24"/>
          <w:szCs w:val="24"/>
        </w:rPr>
        <w:t>ey</w:t>
      </w:r>
      <w:r w:rsidR="002A74C9" w:rsidRPr="009272BB">
        <w:rPr>
          <w:rFonts w:asciiTheme="majorHAnsi" w:eastAsia="Arial" w:hAnsiTheme="majorHAnsi" w:cs="Arial"/>
          <w:sz w:val="24"/>
          <w:szCs w:val="24"/>
        </w:rPr>
        <w:t xml:space="preserve"> estatal de la materia</w:t>
      </w:r>
      <w:r w:rsidR="000317AB" w:rsidRPr="009272BB">
        <w:rPr>
          <w:rFonts w:asciiTheme="majorHAnsi" w:eastAsia="Arial" w:hAnsiTheme="majorHAnsi" w:cs="Arial"/>
          <w:sz w:val="24"/>
          <w:szCs w:val="24"/>
        </w:rPr>
        <w:t xml:space="preserve"> y demás disposiciones normativas aplicables.</w:t>
      </w:r>
    </w:p>
    <w:p w:rsidR="006136C0" w:rsidRPr="009272BB" w:rsidRDefault="006136C0" w:rsidP="009272BB">
      <w:pPr>
        <w:spacing w:after="0" w:line="240" w:lineRule="auto"/>
        <w:jc w:val="both"/>
        <w:rPr>
          <w:rFonts w:asciiTheme="majorHAnsi" w:eastAsia="Arial" w:hAnsiTheme="majorHAnsi" w:cs="Arial"/>
          <w:sz w:val="24"/>
          <w:szCs w:val="24"/>
        </w:rPr>
      </w:pPr>
    </w:p>
    <w:p w:rsidR="009160F1" w:rsidRPr="009272BB" w:rsidRDefault="00D94442" w:rsidP="009272BB">
      <w:pPr>
        <w:spacing w:after="0" w:line="240" w:lineRule="auto"/>
        <w:jc w:val="both"/>
        <w:rPr>
          <w:rFonts w:asciiTheme="majorHAnsi" w:eastAsia="Arial" w:hAnsiTheme="majorHAnsi" w:cs="Arial"/>
          <w:sz w:val="24"/>
          <w:szCs w:val="24"/>
        </w:rPr>
      </w:pPr>
      <w:proofErr w:type="gramStart"/>
      <w:r w:rsidRPr="009272BB">
        <w:rPr>
          <w:rFonts w:asciiTheme="majorHAnsi" w:eastAsia="Arial" w:hAnsiTheme="majorHAnsi" w:cs="Arial"/>
          <w:b/>
          <w:sz w:val="24"/>
          <w:szCs w:val="24"/>
        </w:rPr>
        <w:t>SEGUNDO.</w:t>
      </w:r>
      <w:r w:rsidRPr="009272BB">
        <w:rPr>
          <w:rFonts w:asciiTheme="majorHAnsi" w:eastAsia="Arial" w:hAnsiTheme="majorHAnsi" w:cs="Arial"/>
          <w:sz w:val="24"/>
          <w:szCs w:val="24"/>
        </w:rPr>
        <w:t>-</w:t>
      </w:r>
      <w:proofErr w:type="gramEnd"/>
      <w:r w:rsidR="000317AB" w:rsidRPr="009272BB">
        <w:rPr>
          <w:rFonts w:asciiTheme="majorHAnsi" w:eastAsia="Arial" w:hAnsiTheme="majorHAnsi" w:cs="Arial"/>
          <w:sz w:val="24"/>
          <w:szCs w:val="24"/>
        </w:rPr>
        <w:t xml:space="preserve"> </w:t>
      </w:r>
      <w:r w:rsidR="009160F1" w:rsidRPr="009272BB">
        <w:rPr>
          <w:rFonts w:asciiTheme="majorHAnsi" w:eastAsia="Arial" w:hAnsiTheme="majorHAnsi" w:cs="Arial"/>
          <w:sz w:val="24"/>
          <w:szCs w:val="24"/>
        </w:rPr>
        <w:t xml:space="preserve">De conformidad con lo señalado en el </w:t>
      </w:r>
      <w:r w:rsidR="00F8649F" w:rsidRPr="009272BB">
        <w:rPr>
          <w:rFonts w:asciiTheme="majorHAnsi" w:eastAsia="Arial" w:hAnsiTheme="majorHAnsi" w:cs="Arial"/>
          <w:sz w:val="24"/>
          <w:szCs w:val="24"/>
        </w:rPr>
        <w:t>numeral noveno de los Lineamientos Técnicos Generales</w:t>
      </w:r>
      <w:r w:rsidR="00FE1A82" w:rsidRPr="009272BB">
        <w:rPr>
          <w:rFonts w:asciiTheme="majorHAnsi" w:eastAsia="Arial" w:hAnsiTheme="majorHAnsi" w:cs="Arial"/>
          <w:sz w:val="24"/>
          <w:szCs w:val="24"/>
        </w:rPr>
        <w:t>, en su fracci</w:t>
      </w:r>
      <w:r w:rsidR="003A51BF" w:rsidRPr="009272BB">
        <w:rPr>
          <w:rFonts w:asciiTheme="majorHAnsi" w:eastAsia="Arial" w:hAnsiTheme="majorHAnsi" w:cs="Arial"/>
          <w:sz w:val="24"/>
          <w:szCs w:val="24"/>
        </w:rPr>
        <w:t>ón III, los sujetos obligados publicarán la</w:t>
      </w:r>
      <w:r w:rsidR="00872F92" w:rsidRPr="009272BB">
        <w:rPr>
          <w:rFonts w:asciiTheme="majorHAnsi" w:eastAsia="Arial" w:hAnsiTheme="majorHAnsi" w:cs="Arial"/>
          <w:sz w:val="24"/>
          <w:szCs w:val="24"/>
        </w:rPr>
        <w:t>s</w:t>
      </w:r>
      <w:r w:rsidR="003A51BF" w:rsidRPr="009272BB">
        <w:rPr>
          <w:rFonts w:asciiTheme="majorHAnsi" w:eastAsia="Arial" w:hAnsiTheme="majorHAnsi" w:cs="Arial"/>
          <w:sz w:val="24"/>
          <w:szCs w:val="24"/>
        </w:rPr>
        <w:t xml:space="preserve"> tabla</w:t>
      </w:r>
      <w:r w:rsidR="00872F92" w:rsidRPr="009272BB">
        <w:rPr>
          <w:rFonts w:asciiTheme="majorHAnsi" w:eastAsia="Arial" w:hAnsiTheme="majorHAnsi" w:cs="Arial"/>
          <w:sz w:val="24"/>
          <w:szCs w:val="24"/>
        </w:rPr>
        <w:t>s</w:t>
      </w:r>
      <w:r w:rsidR="003A51BF" w:rsidRPr="009272BB">
        <w:rPr>
          <w:rFonts w:asciiTheme="majorHAnsi" w:eastAsia="Arial" w:hAnsiTheme="majorHAnsi" w:cs="Arial"/>
          <w:sz w:val="24"/>
          <w:szCs w:val="24"/>
        </w:rPr>
        <w:t xml:space="preserve"> de </w:t>
      </w:r>
      <w:r w:rsidR="003A51BF" w:rsidRPr="009272BB">
        <w:rPr>
          <w:rFonts w:asciiTheme="majorHAnsi" w:eastAsia="Arial" w:hAnsiTheme="majorHAnsi" w:cs="Arial"/>
          <w:sz w:val="24"/>
          <w:szCs w:val="24"/>
        </w:rPr>
        <w:lastRenderedPageBreak/>
        <w:t>aplicabilidad de las obligaciones de transparencia comunes y específicas, la</w:t>
      </w:r>
      <w:r w:rsidR="00872F92" w:rsidRPr="009272BB">
        <w:rPr>
          <w:rFonts w:asciiTheme="majorHAnsi" w:eastAsia="Arial" w:hAnsiTheme="majorHAnsi" w:cs="Arial"/>
          <w:sz w:val="24"/>
          <w:szCs w:val="24"/>
        </w:rPr>
        <w:t>s</w:t>
      </w:r>
      <w:r w:rsidR="003A51BF" w:rsidRPr="009272BB">
        <w:rPr>
          <w:rFonts w:asciiTheme="majorHAnsi" w:eastAsia="Arial" w:hAnsiTheme="majorHAnsi" w:cs="Arial"/>
          <w:sz w:val="24"/>
          <w:szCs w:val="24"/>
        </w:rPr>
        <w:t xml:space="preserve"> cual</w:t>
      </w:r>
      <w:r w:rsidR="00872F92" w:rsidRPr="009272BB">
        <w:rPr>
          <w:rFonts w:asciiTheme="majorHAnsi" w:eastAsia="Arial" w:hAnsiTheme="majorHAnsi" w:cs="Arial"/>
          <w:sz w:val="24"/>
          <w:szCs w:val="24"/>
        </w:rPr>
        <w:t>es</w:t>
      </w:r>
      <w:r w:rsidR="003A51BF" w:rsidRPr="009272BB">
        <w:rPr>
          <w:rFonts w:asciiTheme="majorHAnsi" w:eastAsia="Arial" w:hAnsiTheme="majorHAnsi" w:cs="Arial"/>
          <w:sz w:val="24"/>
          <w:szCs w:val="24"/>
        </w:rPr>
        <w:t xml:space="preserve"> deberá</w:t>
      </w:r>
      <w:r w:rsidR="00872F92" w:rsidRPr="009272BB">
        <w:rPr>
          <w:rFonts w:asciiTheme="majorHAnsi" w:eastAsia="Arial" w:hAnsiTheme="majorHAnsi" w:cs="Arial"/>
          <w:sz w:val="24"/>
          <w:szCs w:val="24"/>
        </w:rPr>
        <w:t>n</w:t>
      </w:r>
      <w:r w:rsidR="003A51BF" w:rsidRPr="009272BB">
        <w:rPr>
          <w:rFonts w:asciiTheme="majorHAnsi" w:eastAsia="Arial" w:hAnsiTheme="majorHAnsi" w:cs="Arial"/>
          <w:sz w:val="24"/>
          <w:szCs w:val="24"/>
        </w:rPr>
        <w:t xml:space="preserve"> ser verificada</w:t>
      </w:r>
      <w:r w:rsidR="00872F92" w:rsidRPr="009272BB">
        <w:rPr>
          <w:rFonts w:asciiTheme="majorHAnsi" w:eastAsia="Arial" w:hAnsiTheme="majorHAnsi" w:cs="Arial"/>
          <w:sz w:val="24"/>
          <w:szCs w:val="24"/>
        </w:rPr>
        <w:t>s</w:t>
      </w:r>
      <w:r w:rsidR="003A51BF" w:rsidRPr="009272BB">
        <w:rPr>
          <w:rFonts w:asciiTheme="majorHAnsi" w:eastAsia="Arial" w:hAnsiTheme="majorHAnsi" w:cs="Arial"/>
          <w:sz w:val="24"/>
          <w:szCs w:val="24"/>
        </w:rPr>
        <w:t xml:space="preserve"> y aprobada</w:t>
      </w:r>
      <w:r w:rsidR="00872F92" w:rsidRPr="009272BB">
        <w:rPr>
          <w:rFonts w:asciiTheme="majorHAnsi" w:eastAsia="Arial" w:hAnsiTheme="majorHAnsi" w:cs="Arial"/>
          <w:sz w:val="24"/>
          <w:szCs w:val="24"/>
        </w:rPr>
        <w:t>s</w:t>
      </w:r>
      <w:r w:rsidR="003A51BF" w:rsidRPr="009272BB">
        <w:rPr>
          <w:rFonts w:asciiTheme="majorHAnsi" w:eastAsia="Arial" w:hAnsiTheme="majorHAnsi" w:cs="Arial"/>
          <w:sz w:val="24"/>
          <w:szCs w:val="24"/>
        </w:rPr>
        <w:t xml:space="preserve"> por el órgano garante</w:t>
      </w:r>
      <w:r w:rsidR="009160F1" w:rsidRPr="009272BB">
        <w:rPr>
          <w:rFonts w:asciiTheme="majorHAnsi" w:eastAsia="Arial" w:hAnsiTheme="majorHAnsi" w:cs="Arial"/>
          <w:sz w:val="24"/>
          <w:szCs w:val="24"/>
        </w:rPr>
        <w:t>.</w:t>
      </w:r>
    </w:p>
    <w:p w:rsidR="00085008" w:rsidRPr="009272BB" w:rsidRDefault="00085008" w:rsidP="009272BB">
      <w:pPr>
        <w:spacing w:after="0" w:line="240" w:lineRule="auto"/>
        <w:jc w:val="both"/>
        <w:rPr>
          <w:rFonts w:asciiTheme="majorHAnsi" w:eastAsia="Arial" w:hAnsiTheme="majorHAnsi" w:cs="Arial"/>
          <w:sz w:val="24"/>
          <w:szCs w:val="24"/>
        </w:rPr>
      </w:pPr>
    </w:p>
    <w:p w:rsidR="00085008" w:rsidRPr="009272BB" w:rsidRDefault="00085008" w:rsidP="009272BB">
      <w:pPr>
        <w:spacing w:after="0" w:line="240" w:lineRule="auto"/>
        <w:jc w:val="both"/>
        <w:rPr>
          <w:rFonts w:asciiTheme="majorHAnsi" w:eastAsia="Arial" w:hAnsiTheme="majorHAnsi" w:cs="Arial"/>
          <w:sz w:val="24"/>
          <w:szCs w:val="24"/>
        </w:rPr>
      </w:pPr>
      <w:r w:rsidRPr="009272BB">
        <w:rPr>
          <w:rFonts w:asciiTheme="majorHAnsi" w:eastAsia="Arial" w:hAnsiTheme="majorHAnsi" w:cs="Arial"/>
          <w:b/>
          <w:sz w:val="24"/>
          <w:szCs w:val="24"/>
        </w:rPr>
        <w:t xml:space="preserve">TERCERO.- </w:t>
      </w:r>
      <w:r w:rsidRPr="009272BB">
        <w:rPr>
          <w:rFonts w:asciiTheme="majorHAnsi" w:eastAsia="Arial" w:hAnsiTheme="majorHAnsi" w:cs="Arial"/>
          <w:sz w:val="24"/>
          <w:szCs w:val="24"/>
        </w:rPr>
        <w:t xml:space="preserve">Además de lo señalado </w:t>
      </w:r>
      <w:r w:rsidR="00300372" w:rsidRPr="009272BB">
        <w:rPr>
          <w:rFonts w:asciiTheme="majorHAnsi" w:eastAsia="Arial" w:hAnsiTheme="majorHAnsi" w:cs="Arial"/>
          <w:sz w:val="24"/>
          <w:szCs w:val="24"/>
        </w:rPr>
        <w:t>en el considerando que antecede;</w:t>
      </w:r>
      <w:r w:rsidRPr="009272BB">
        <w:rPr>
          <w:rFonts w:asciiTheme="majorHAnsi" w:eastAsia="Arial" w:hAnsiTheme="majorHAnsi" w:cs="Arial"/>
          <w:sz w:val="24"/>
          <w:szCs w:val="24"/>
        </w:rPr>
        <w:t xml:space="preserve"> </w:t>
      </w:r>
      <w:r w:rsidR="00300372" w:rsidRPr="009272BB">
        <w:rPr>
          <w:rFonts w:asciiTheme="majorHAnsi" w:eastAsia="Arial" w:hAnsiTheme="majorHAnsi" w:cs="Arial"/>
          <w:sz w:val="24"/>
          <w:szCs w:val="24"/>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300372" w:rsidRPr="009272BB" w:rsidRDefault="00300372" w:rsidP="009272BB">
      <w:pPr>
        <w:spacing w:after="0" w:line="240" w:lineRule="auto"/>
        <w:jc w:val="both"/>
        <w:rPr>
          <w:rFonts w:asciiTheme="majorHAnsi" w:eastAsia="Arial" w:hAnsiTheme="majorHAnsi" w:cs="Arial"/>
          <w:sz w:val="24"/>
          <w:szCs w:val="24"/>
        </w:rPr>
      </w:pPr>
    </w:p>
    <w:p w:rsidR="00BA36A7" w:rsidRPr="009272BB" w:rsidRDefault="00620069" w:rsidP="009272BB">
      <w:pPr>
        <w:spacing w:after="0" w:line="240" w:lineRule="auto"/>
        <w:jc w:val="both"/>
        <w:rPr>
          <w:rFonts w:asciiTheme="majorHAnsi" w:eastAsia="Arial" w:hAnsiTheme="majorHAnsi" w:cs="Arial"/>
          <w:sz w:val="24"/>
          <w:szCs w:val="24"/>
        </w:rPr>
      </w:pPr>
      <w:proofErr w:type="gramStart"/>
      <w:r w:rsidRPr="009272BB">
        <w:rPr>
          <w:rFonts w:asciiTheme="majorHAnsi" w:eastAsia="Arial" w:hAnsiTheme="majorHAnsi" w:cs="Arial"/>
          <w:b/>
          <w:sz w:val="24"/>
          <w:szCs w:val="24"/>
        </w:rPr>
        <w:t>CUARTO.-</w:t>
      </w:r>
      <w:proofErr w:type="gramEnd"/>
      <w:r w:rsidR="00300372" w:rsidRPr="009272BB">
        <w:rPr>
          <w:rFonts w:asciiTheme="majorHAnsi" w:eastAsia="Arial" w:hAnsiTheme="majorHAnsi" w:cs="Arial"/>
          <w:sz w:val="24"/>
          <w:szCs w:val="24"/>
        </w:rPr>
        <w:t xml:space="preserve"> </w:t>
      </w:r>
      <w:r w:rsidR="00215EFA" w:rsidRPr="009272BB">
        <w:rPr>
          <w:rFonts w:asciiTheme="majorHAnsi" w:eastAsia="Arial" w:hAnsiTheme="majorHAnsi" w:cs="Arial"/>
          <w:sz w:val="24"/>
          <w:szCs w:val="24"/>
        </w:rPr>
        <w:t>Los Lineamientos técnicos gen</w:t>
      </w:r>
      <w:r w:rsidR="008F0C9D" w:rsidRPr="009272BB">
        <w:rPr>
          <w:rFonts w:asciiTheme="majorHAnsi" w:eastAsia="Arial" w:hAnsiTheme="majorHAnsi" w:cs="Arial"/>
          <w:sz w:val="24"/>
          <w:szCs w:val="24"/>
        </w:rPr>
        <w:t>erales, señalaron en su anexo IV</w:t>
      </w:r>
      <w:r w:rsidR="00215EFA" w:rsidRPr="009272BB">
        <w:rPr>
          <w:rFonts w:asciiTheme="majorHAnsi" w:eastAsia="Arial" w:hAnsiTheme="majorHAnsi" w:cs="Arial"/>
          <w:sz w:val="24"/>
          <w:szCs w:val="24"/>
        </w:rPr>
        <w:t xml:space="preserve">, </w:t>
      </w:r>
      <w:r w:rsidR="00BA36A7" w:rsidRPr="009272BB">
        <w:rPr>
          <w:rFonts w:asciiTheme="majorHAnsi" w:eastAsia="Arial" w:hAnsiTheme="majorHAnsi" w:cs="Arial"/>
          <w:sz w:val="24"/>
          <w:szCs w:val="24"/>
        </w:rPr>
        <w:t>que el artículo 73</w:t>
      </w:r>
      <w:r w:rsidR="00B95A31" w:rsidRPr="009272BB">
        <w:rPr>
          <w:rFonts w:asciiTheme="majorHAnsi" w:eastAsia="Arial" w:hAnsiTheme="majorHAnsi" w:cs="Arial"/>
          <w:sz w:val="24"/>
          <w:szCs w:val="24"/>
        </w:rPr>
        <w:t>,</w:t>
      </w:r>
      <w:r w:rsidR="00BA36A7" w:rsidRPr="009272BB">
        <w:rPr>
          <w:rFonts w:asciiTheme="majorHAnsi" w:eastAsia="Arial" w:hAnsiTheme="majorHAnsi" w:cs="Arial"/>
          <w:sz w:val="24"/>
          <w:szCs w:val="24"/>
        </w:rPr>
        <w:t xml:space="preserve"> específica en 5 fracciones las obligaciones de transparencia adicionales a las comunes que los sujetos obligados del Poder Judicial</w:t>
      </w:r>
      <w:r w:rsidR="00E23450" w:rsidRPr="009272BB">
        <w:rPr>
          <w:rFonts w:asciiTheme="majorHAnsi" w:eastAsia="Arial" w:hAnsiTheme="majorHAnsi" w:cs="Arial"/>
          <w:sz w:val="24"/>
          <w:szCs w:val="24"/>
        </w:rPr>
        <w:t xml:space="preserve"> de las entidades federativas </w:t>
      </w:r>
      <w:r w:rsidR="003E1729" w:rsidRPr="009272BB">
        <w:rPr>
          <w:rFonts w:asciiTheme="majorHAnsi" w:eastAsia="Arial" w:hAnsiTheme="majorHAnsi" w:cs="Arial"/>
          <w:sz w:val="24"/>
          <w:szCs w:val="24"/>
        </w:rPr>
        <w:t xml:space="preserve">deberán publicar, </w:t>
      </w:r>
      <w:r w:rsidR="00E23450" w:rsidRPr="009272BB">
        <w:rPr>
          <w:rFonts w:asciiTheme="majorHAnsi" w:eastAsia="Arial" w:hAnsiTheme="majorHAnsi" w:cs="Arial"/>
          <w:sz w:val="24"/>
          <w:szCs w:val="24"/>
        </w:rPr>
        <w:t>y que están relacionadas con la información que generan en el ejercicio de sus atribuciones y funciones particulares para impartir justicia y mantener el equilibrio entre los demás poderes.</w:t>
      </w:r>
      <w:r w:rsidR="003E1729" w:rsidRPr="009272BB">
        <w:rPr>
          <w:rFonts w:asciiTheme="majorHAnsi" w:eastAsia="Arial" w:hAnsiTheme="majorHAnsi" w:cs="Arial"/>
          <w:sz w:val="24"/>
          <w:szCs w:val="24"/>
        </w:rPr>
        <w:t xml:space="preserve"> </w:t>
      </w:r>
      <w:r w:rsidR="00FB5487" w:rsidRPr="009272BB">
        <w:rPr>
          <w:rFonts w:asciiTheme="majorHAnsi" w:eastAsia="Arial" w:hAnsiTheme="majorHAnsi" w:cs="Arial"/>
          <w:sz w:val="24"/>
          <w:szCs w:val="24"/>
        </w:rPr>
        <w:t xml:space="preserve">En este mismo sentido, los Lineamientos técnicos generales </w:t>
      </w:r>
      <w:r w:rsidR="00B20FBA">
        <w:rPr>
          <w:rFonts w:asciiTheme="majorHAnsi" w:eastAsia="Arial" w:hAnsiTheme="majorHAnsi" w:cs="Arial"/>
          <w:sz w:val="24"/>
          <w:szCs w:val="24"/>
        </w:rPr>
        <w:t xml:space="preserve">señalan </w:t>
      </w:r>
      <w:r w:rsidR="00FB5487" w:rsidRPr="009272BB">
        <w:rPr>
          <w:rFonts w:asciiTheme="majorHAnsi" w:eastAsia="Arial" w:hAnsiTheme="majorHAnsi" w:cs="Arial"/>
          <w:sz w:val="24"/>
          <w:szCs w:val="24"/>
        </w:rPr>
        <w:t>que los sujetos obligados de los poderes judiciales estatales, son:</w:t>
      </w:r>
      <w:r w:rsidR="00284F58" w:rsidRPr="009272BB">
        <w:rPr>
          <w:rFonts w:asciiTheme="majorHAnsi" w:eastAsia="Arial" w:hAnsiTheme="majorHAnsi" w:cs="Arial"/>
          <w:sz w:val="24"/>
          <w:szCs w:val="24"/>
        </w:rPr>
        <w:t xml:space="preserve"> los</w:t>
      </w:r>
      <w:r w:rsidR="00FB5487" w:rsidRPr="009272BB">
        <w:rPr>
          <w:rFonts w:asciiTheme="majorHAnsi" w:eastAsia="Arial" w:hAnsiTheme="majorHAnsi" w:cs="Arial"/>
          <w:sz w:val="24"/>
          <w:szCs w:val="24"/>
        </w:rPr>
        <w:t xml:space="preserve"> Tribunales superiores de justicia locales y en su caso, </w:t>
      </w:r>
      <w:r w:rsidR="00284F58" w:rsidRPr="009272BB">
        <w:rPr>
          <w:rFonts w:asciiTheme="majorHAnsi" w:eastAsia="Arial" w:hAnsiTheme="majorHAnsi" w:cs="Arial"/>
          <w:sz w:val="24"/>
          <w:szCs w:val="24"/>
        </w:rPr>
        <w:t xml:space="preserve">los </w:t>
      </w:r>
      <w:r w:rsidR="00FB5487" w:rsidRPr="009272BB">
        <w:rPr>
          <w:rFonts w:asciiTheme="majorHAnsi" w:eastAsia="Arial" w:hAnsiTheme="majorHAnsi" w:cs="Arial"/>
          <w:sz w:val="24"/>
          <w:szCs w:val="24"/>
        </w:rPr>
        <w:t>Consejos de las judicaturas locales.</w:t>
      </w:r>
    </w:p>
    <w:p w:rsidR="008A13CA" w:rsidRPr="009272BB" w:rsidRDefault="008A13CA" w:rsidP="009272BB">
      <w:pPr>
        <w:spacing w:after="0" w:line="240" w:lineRule="auto"/>
        <w:jc w:val="both"/>
        <w:rPr>
          <w:rFonts w:asciiTheme="majorHAnsi" w:eastAsia="Arial" w:hAnsiTheme="majorHAnsi" w:cs="Arial"/>
          <w:sz w:val="24"/>
          <w:szCs w:val="24"/>
        </w:rPr>
      </w:pPr>
    </w:p>
    <w:p w:rsidR="008A13CA" w:rsidRPr="009272BB" w:rsidRDefault="008A13CA" w:rsidP="009272BB">
      <w:pPr>
        <w:spacing w:after="0" w:line="240" w:lineRule="auto"/>
        <w:jc w:val="both"/>
        <w:rPr>
          <w:rFonts w:asciiTheme="majorHAnsi" w:eastAsia="Arial" w:hAnsiTheme="majorHAnsi" w:cs="Arial"/>
          <w:sz w:val="24"/>
          <w:szCs w:val="24"/>
        </w:rPr>
      </w:pPr>
      <w:proofErr w:type="gramStart"/>
      <w:r w:rsidRPr="009272BB">
        <w:rPr>
          <w:rFonts w:asciiTheme="majorHAnsi" w:eastAsia="Arial" w:hAnsiTheme="majorHAnsi" w:cs="Arial"/>
          <w:b/>
          <w:sz w:val="24"/>
          <w:szCs w:val="24"/>
        </w:rPr>
        <w:t>QUINTO.-</w:t>
      </w:r>
      <w:proofErr w:type="gramEnd"/>
      <w:r w:rsidRPr="009272BB">
        <w:rPr>
          <w:rFonts w:asciiTheme="majorHAnsi" w:eastAsia="Arial" w:hAnsiTheme="majorHAnsi" w:cs="Arial"/>
          <w:b/>
          <w:sz w:val="24"/>
          <w:szCs w:val="24"/>
        </w:rPr>
        <w:t xml:space="preserve"> </w:t>
      </w:r>
      <w:r w:rsidRPr="009272BB">
        <w:rPr>
          <w:rFonts w:asciiTheme="majorHAnsi" w:eastAsia="Arial" w:hAnsiTheme="majorHAnsi" w:cs="Arial"/>
          <w:sz w:val="24"/>
          <w:szCs w:val="24"/>
        </w:rPr>
        <w:t xml:space="preserve">Con base a lo anterior, </w:t>
      </w:r>
      <w:r w:rsidR="009272BB" w:rsidRPr="009272BB">
        <w:rPr>
          <w:rFonts w:asciiTheme="majorHAnsi" w:eastAsia="Arial" w:hAnsiTheme="majorHAnsi" w:cs="Arial"/>
          <w:sz w:val="24"/>
          <w:szCs w:val="24"/>
        </w:rPr>
        <w:t>e</w:t>
      </w:r>
      <w:r w:rsidR="00B20FBA">
        <w:rPr>
          <w:rFonts w:asciiTheme="majorHAnsi" w:eastAsia="Arial" w:hAnsiTheme="majorHAnsi" w:cs="Arial"/>
          <w:sz w:val="24"/>
          <w:szCs w:val="24"/>
        </w:rPr>
        <w:t>ste órgano garante determinó qué</w:t>
      </w:r>
      <w:r w:rsidRPr="009272BB">
        <w:rPr>
          <w:rFonts w:asciiTheme="majorHAnsi" w:eastAsia="Arial" w:hAnsiTheme="majorHAnsi" w:cs="Arial"/>
          <w:sz w:val="24"/>
          <w:szCs w:val="24"/>
        </w:rPr>
        <w:t xml:space="preserve"> obligaciones de transparencia específicas</w:t>
      </w:r>
      <w:r w:rsidR="00FC1AF0" w:rsidRPr="009272BB">
        <w:rPr>
          <w:rFonts w:asciiTheme="majorHAnsi" w:eastAsia="Arial" w:hAnsiTheme="majorHAnsi" w:cs="Arial"/>
          <w:sz w:val="24"/>
          <w:szCs w:val="24"/>
        </w:rPr>
        <w:t xml:space="preserve"> señaladas en el artículo 7</w:t>
      </w:r>
      <w:r w:rsidR="005922BF" w:rsidRPr="009272BB">
        <w:rPr>
          <w:rFonts w:asciiTheme="majorHAnsi" w:eastAsia="Arial" w:hAnsiTheme="majorHAnsi" w:cs="Arial"/>
          <w:sz w:val="24"/>
          <w:szCs w:val="24"/>
        </w:rPr>
        <w:t>3</w:t>
      </w:r>
      <w:r w:rsidR="00FC1AF0" w:rsidRPr="009272BB">
        <w:rPr>
          <w:rFonts w:asciiTheme="majorHAnsi" w:eastAsia="Arial" w:hAnsiTheme="majorHAnsi" w:cs="Arial"/>
          <w:sz w:val="24"/>
          <w:szCs w:val="24"/>
        </w:rPr>
        <w:t xml:space="preserve"> de la </w:t>
      </w:r>
      <w:r w:rsidR="00FB5487" w:rsidRPr="009272BB">
        <w:rPr>
          <w:rFonts w:asciiTheme="majorHAnsi" w:eastAsia="Arial" w:hAnsiTheme="majorHAnsi" w:cs="Arial"/>
          <w:sz w:val="24"/>
          <w:szCs w:val="24"/>
        </w:rPr>
        <w:t>L</w:t>
      </w:r>
      <w:r w:rsidR="00FC1AF0" w:rsidRPr="009272BB">
        <w:rPr>
          <w:rFonts w:asciiTheme="majorHAnsi" w:eastAsia="Arial" w:hAnsiTheme="majorHAnsi" w:cs="Arial"/>
          <w:sz w:val="24"/>
          <w:szCs w:val="24"/>
        </w:rPr>
        <w:t>ey general de transparencia,</w:t>
      </w:r>
      <w:r w:rsidRPr="009272BB">
        <w:rPr>
          <w:rFonts w:asciiTheme="majorHAnsi" w:eastAsia="Arial" w:hAnsiTheme="majorHAnsi" w:cs="Arial"/>
          <w:sz w:val="24"/>
          <w:szCs w:val="24"/>
        </w:rPr>
        <w:t xml:space="preserve"> les iban a aplicar </w:t>
      </w:r>
      <w:r w:rsidR="008809AA" w:rsidRPr="009272BB">
        <w:rPr>
          <w:rFonts w:asciiTheme="majorHAnsi" w:eastAsia="Arial" w:hAnsiTheme="majorHAnsi" w:cs="Arial"/>
          <w:sz w:val="24"/>
          <w:szCs w:val="24"/>
        </w:rPr>
        <w:t xml:space="preserve">a los sujetos obligados del Poder </w:t>
      </w:r>
      <w:r w:rsidR="00FB5487" w:rsidRPr="009272BB">
        <w:rPr>
          <w:rFonts w:asciiTheme="majorHAnsi" w:eastAsia="Arial" w:hAnsiTheme="majorHAnsi" w:cs="Arial"/>
          <w:sz w:val="24"/>
          <w:szCs w:val="24"/>
        </w:rPr>
        <w:t>Judicial</w:t>
      </w:r>
      <w:r w:rsidR="008809AA" w:rsidRPr="009272BB">
        <w:rPr>
          <w:rFonts w:asciiTheme="majorHAnsi" w:eastAsia="Arial" w:hAnsiTheme="majorHAnsi" w:cs="Arial"/>
          <w:sz w:val="24"/>
          <w:szCs w:val="24"/>
        </w:rPr>
        <w:t>, de conformidad con lo siguiente:</w:t>
      </w:r>
    </w:p>
    <w:p w:rsidR="008809AA" w:rsidRPr="009272BB" w:rsidRDefault="008809AA" w:rsidP="009272BB">
      <w:pPr>
        <w:spacing w:after="0" w:line="240" w:lineRule="auto"/>
        <w:jc w:val="both"/>
        <w:rPr>
          <w:rFonts w:asciiTheme="majorHAnsi" w:eastAsia="Arial" w:hAnsiTheme="majorHAnsi" w:cs="Arial"/>
          <w:sz w:val="24"/>
          <w:szCs w:val="24"/>
        </w:rPr>
      </w:pPr>
    </w:p>
    <w:tbl>
      <w:tblPr>
        <w:tblStyle w:val="Tabladecuadrcula1clara-nfasis51"/>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3682"/>
        <w:gridCol w:w="2338"/>
        <w:gridCol w:w="3820"/>
      </w:tblGrid>
      <w:tr w:rsidR="00B40820" w:rsidRPr="009272BB" w:rsidTr="009272BB">
        <w:trPr>
          <w:cnfStyle w:val="100000000000" w:firstRow="1" w:lastRow="0" w:firstColumn="0" w:lastColumn="0" w:oddVBand="0" w:evenVBand="0" w:oddHBand="0" w:evenHBand="0" w:firstRowFirstColumn="0" w:firstRowLastColumn="0" w:lastRowFirstColumn="0" w:lastRowLastColumn="0"/>
          <w:trHeight w:val="477"/>
          <w:tblHeader/>
          <w:jc w:val="center"/>
        </w:trPr>
        <w:tc>
          <w:tcPr>
            <w:cnfStyle w:val="001000000000" w:firstRow="0" w:lastRow="0" w:firstColumn="1" w:lastColumn="0" w:oddVBand="0" w:evenVBand="0" w:oddHBand="0" w:evenHBand="0" w:firstRowFirstColumn="0" w:firstRowLastColumn="0" w:lastRowFirstColumn="0" w:lastRowLastColumn="0"/>
            <w:tcW w:w="4106" w:type="dxa"/>
            <w:gridSpan w:val="2"/>
            <w:tcBorders>
              <w:bottom w:val="none" w:sz="0" w:space="0" w:color="auto"/>
            </w:tcBorders>
            <w:shd w:val="clear" w:color="auto" w:fill="B4C6E7" w:themeFill="accent5" w:themeFillTint="66"/>
            <w:vAlign w:val="center"/>
          </w:tcPr>
          <w:p w:rsidR="00B40820" w:rsidRPr="009272BB" w:rsidRDefault="005922BF" w:rsidP="009272BB">
            <w:pPr>
              <w:spacing w:after="0" w:line="240" w:lineRule="auto"/>
              <w:jc w:val="center"/>
              <w:rPr>
                <w:rFonts w:asciiTheme="majorHAnsi" w:eastAsia="Arial" w:hAnsiTheme="majorHAnsi" w:cstheme="majorHAnsi"/>
                <w:sz w:val="24"/>
                <w:szCs w:val="24"/>
              </w:rPr>
            </w:pPr>
            <w:r w:rsidRPr="009272BB">
              <w:rPr>
                <w:rFonts w:asciiTheme="majorHAnsi" w:eastAsia="Arial" w:hAnsiTheme="majorHAnsi" w:cstheme="majorHAnsi"/>
                <w:sz w:val="24"/>
                <w:szCs w:val="24"/>
              </w:rPr>
              <w:t>Fracción</w:t>
            </w:r>
          </w:p>
        </w:tc>
        <w:tc>
          <w:tcPr>
            <w:tcW w:w="2338" w:type="dxa"/>
            <w:tcBorders>
              <w:bottom w:val="none" w:sz="0" w:space="0" w:color="auto"/>
            </w:tcBorders>
            <w:shd w:val="clear" w:color="auto" w:fill="B4C6E7" w:themeFill="accent5" w:themeFillTint="66"/>
            <w:vAlign w:val="center"/>
          </w:tcPr>
          <w:p w:rsidR="00B40820" w:rsidRPr="009272BB" w:rsidRDefault="00B40820" w:rsidP="009272B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Sujeto</w:t>
            </w:r>
            <w:r w:rsidR="00F10EE6" w:rsidRPr="009272BB">
              <w:rPr>
                <w:rFonts w:asciiTheme="majorHAnsi" w:eastAsia="Arial" w:hAnsiTheme="majorHAnsi" w:cstheme="majorHAnsi"/>
                <w:sz w:val="24"/>
                <w:szCs w:val="24"/>
              </w:rPr>
              <w:t>s</w:t>
            </w:r>
            <w:r w:rsidRPr="009272BB">
              <w:rPr>
                <w:rFonts w:asciiTheme="majorHAnsi" w:eastAsia="Arial" w:hAnsiTheme="majorHAnsi" w:cstheme="majorHAnsi"/>
                <w:sz w:val="24"/>
                <w:szCs w:val="24"/>
              </w:rPr>
              <w:t xml:space="preserve"> obligado</w:t>
            </w:r>
            <w:r w:rsidR="00F10EE6" w:rsidRPr="009272BB">
              <w:rPr>
                <w:rFonts w:asciiTheme="majorHAnsi" w:eastAsia="Arial" w:hAnsiTheme="majorHAnsi" w:cstheme="majorHAnsi"/>
                <w:sz w:val="24"/>
                <w:szCs w:val="24"/>
              </w:rPr>
              <w:t>s</w:t>
            </w:r>
            <w:r w:rsidRPr="009272BB">
              <w:rPr>
                <w:rFonts w:asciiTheme="majorHAnsi" w:eastAsia="Arial" w:hAnsiTheme="majorHAnsi" w:cstheme="majorHAnsi"/>
                <w:sz w:val="24"/>
                <w:szCs w:val="24"/>
              </w:rPr>
              <w:t xml:space="preserve"> </w:t>
            </w:r>
            <w:r w:rsidR="00F10EE6" w:rsidRPr="009272BB">
              <w:rPr>
                <w:rFonts w:asciiTheme="majorHAnsi" w:eastAsia="Arial" w:hAnsiTheme="majorHAnsi" w:cstheme="majorHAnsi"/>
                <w:sz w:val="24"/>
                <w:szCs w:val="24"/>
              </w:rPr>
              <w:t xml:space="preserve">responsables de publicar y actualizar </w:t>
            </w:r>
          </w:p>
        </w:tc>
        <w:tc>
          <w:tcPr>
            <w:tcW w:w="3820" w:type="dxa"/>
            <w:tcBorders>
              <w:bottom w:val="none" w:sz="0" w:space="0" w:color="auto"/>
            </w:tcBorders>
            <w:shd w:val="clear" w:color="auto" w:fill="B4C6E7" w:themeFill="accent5" w:themeFillTint="66"/>
            <w:vAlign w:val="center"/>
          </w:tcPr>
          <w:p w:rsidR="00B40820" w:rsidRPr="009272BB" w:rsidRDefault="00F10EE6" w:rsidP="009272B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Fundamento Legal</w:t>
            </w:r>
          </w:p>
        </w:tc>
      </w:tr>
      <w:tr w:rsidR="00C46B78" w:rsidRPr="009272BB" w:rsidTr="009272BB">
        <w:trPr>
          <w:trHeight w:val="1232"/>
          <w:jc w:val="center"/>
        </w:trPr>
        <w:tc>
          <w:tcPr>
            <w:cnfStyle w:val="001000000000" w:firstRow="0" w:lastRow="0" w:firstColumn="1" w:lastColumn="0" w:oddVBand="0" w:evenVBand="0" w:oddHBand="0" w:evenHBand="0" w:firstRowFirstColumn="0" w:firstRowLastColumn="0" w:lastRowFirstColumn="0" w:lastRowLastColumn="0"/>
            <w:tcW w:w="424" w:type="dxa"/>
            <w:vAlign w:val="center"/>
          </w:tcPr>
          <w:p w:rsidR="00C46B78" w:rsidRPr="009272BB" w:rsidRDefault="00C46B78" w:rsidP="009272BB">
            <w:pPr>
              <w:spacing w:after="0" w:line="240" w:lineRule="auto"/>
              <w:jc w:val="center"/>
              <w:rPr>
                <w:rFonts w:asciiTheme="majorHAnsi" w:eastAsia="Arial" w:hAnsiTheme="majorHAnsi" w:cstheme="majorHAnsi"/>
                <w:b w:val="0"/>
                <w:sz w:val="24"/>
                <w:szCs w:val="24"/>
              </w:rPr>
            </w:pPr>
            <w:r w:rsidRPr="009272BB">
              <w:rPr>
                <w:rFonts w:asciiTheme="majorHAnsi" w:eastAsia="Arial" w:hAnsiTheme="majorHAnsi" w:cstheme="majorHAnsi"/>
                <w:b w:val="0"/>
                <w:sz w:val="24"/>
                <w:szCs w:val="24"/>
              </w:rPr>
              <w:t>I</w:t>
            </w:r>
          </w:p>
        </w:tc>
        <w:tc>
          <w:tcPr>
            <w:tcW w:w="3682" w:type="dxa"/>
            <w:vAlign w:val="center"/>
          </w:tcPr>
          <w:p w:rsidR="00C46B78" w:rsidRPr="009272BB" w:rsidRDefault="00C46B78" w:rsidP="009272BB">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9272BB">
              <w:rPr>
                <w:rFonts w:asciiTheme="majorHAnsi" w:hAnsiTheme="majorHAnsi" w:cstheme="majorHAnsi"/>
                <w:sz w:val="24"/>
                <w:szCs w:val="24"/>
              </w:rPr>
              <w:t>Las tesis y ejecutorias publicadas en el Semanario Judicial de la Federación o en la Gaceta</w:t>
            </w:r>
            <w:r w:rsidR="00FB5487" w:rsidRPr="009272BB">
              <w:rPr>
                <w:rFonts w:asciiTheme="majorHAnsi" w:hAnsiTheme="majorHAnsi" w:cstheme="majorHAnsi"/>
                <w:sz w:val="24"/>
                <w:szCs w:val="24"/>
              </w:rPr>
              <w:t xml:space="preserve"> </w:t>
            </w:r>
            <w:r w:rsidRPr="009272BB">
              <w:rPr>
                <w:rFonts w:asciiTheme="majorHAnsi" w:hAnsiTheme="majorHAnsi" w:cstheme="majorHAnsi"/>
                <w:sz w:val="24"/>
                <w:szCs w:val="24"/>
              </w:rPr>
              <w:t>respectiva de cada tribunal administrativo, incluyendo, tesis jurisprudenciales y aisladas;</w:t>
            </w:r>
          </w:p>
        </w:tc>
        <w:tc>
          <w:tcPr>
            <w:tcW w:w="2338" w:type="dxa"/>
            <w:shd w:val="clear" w:color="auto" w:fill="FFFFFF" w:themeFill="background1"/>
            <w:vAlign w:val="center"/>
          </w:tcPr>
          <w:p w:rsidR="00C46B78" w:rsidRPr="009272BB" w:rsidRDefault="00571BF6"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Tribunal Superior de Justicia.</w:t>
            </w:r>
          </w:p>
        </w:tc>
        <w:tc>
          <w:tcPr>
            <w:tcW w:w="3820" w:type="dxa"/>
            <w:shd w:val="clear" w:color="auto" w:fill="FFFFFF" w:themeFill="background1"/>
            <w:vAlign w:val="center"/>
          </w:tcPr>
          <w:p w:rsidR="000B048A" w:rsidRPr="009272BB" w:rsidRDefault="00801979"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Artículo</w:t>
            </w:r>
            <w:r w:rsidR="00D56CA3" w:rsidRPr="009272BB">
              <w:rPr>
                <w:rFonts w:asciiTheme="majorHAnsi" w:eastAsia="Arial" w:hAnsiTheme="majorHAnsi" w:cstheme="majorHAnsi"/>
                <w:sz w:val="24"/>
                <w:szCs w:val="24"/>
              </w:rPr>
              <w:t xml:space="preserve"> 69 fracción III de la Constitución Política del Estado de Yucatán y el diverso 25 de la Ley Orgánica del Poder Judicial del Estado de Yucatán</w:t>
            </w:r>
            <w:r w:rsidR="000B048A" w:rsidRPr="009272BB">
              <w:rPr>
                <w:rFonts w:asciiTheme="majorHAnsi" w:eastAsia="Arial" w:hAnsiTheme="majorHAnsi" w:cstheme="majorHAnsi"/>
                <w:sz w:val="24"/>
                <w:szCs w:val="24"/>
              </w:rPr>
              <w:t>.</w:t>
            </w:r>
          </w:p>
        </w:tc>
      </w:tr>
      <w:tr w:rsidR="00D56CA3" w:rsidRPr="009272BB" w:rsidTr="009272BB">
        <w:trPr>
          <w:trHeight w:val="527"/>
          <w:jc w:val="center"/>
        </w:trPr>
        <w:tc>
          <w:tcPr>
            <w:cnfStyle w:val="001000000000" w:firstRow="0" w:lastRow="0" w:firstColumn="1" w:lastColumn="0" w:oddVBand="0" w:evenVBand="0" w:oddHBand="0" w:evenHBand="0" w:firstRowFirstColumn="0" w:firstRowLastColumn="0" w:lastRowFirstColumn="0" w:lastRowLastColumn="0"/>
            <w:tcW w:w="424" w:type="dxa"/>
            <w:vMerge w:val="restart"/>
            <w:vAlign w:val="center"/>
          </w:tcPr>
          <w:p w:rsidR="00D56CA3" w:rsidRPr="009272BB" w:rsidRDefault="00D56CA3" w:rsidP="009272BB">
            <w:pPr>
              <w:spacing w:after="0" w:line="240" w:lineRule="auto"/>
              <w:jc w:val="center"/>
              <w:rPr>
                <w:rFonts w:asciiTheme="majorHAnsi" w:eastAsia="Arial" w:hAnsiTheme="majorHAnsi" w:cstheme="majorHAnsi"/>
                <w:b w:val="0"/>
                <w:sz w:val="24"/>
                <w:szCs w:val="24"/>
              </w:rPr>
            </w:pPr>
            <w:r w:rsidRPr="009272BB">
              <w:rPr>
                <w:rFonts w:asciiTheme="majorHAnsi" w:eastAsia="Arial" w:hAnsiTheme="majorHAnsi" w:cstheme="majorHAnsi"/>
                <w:b w:val="0"/>
                <w:sz w:val="24"/>
                <w:szCs w:val="24"/>
              </w:rPr>
              <w:t>II</w:t>
            </w:r>
          </w:p>
        </w:tc>
        <w:tc>
          <w:tcPr>
            <w:tcW w:w="3682" w:type="dxa"/>
            <w:vMerge w:val="restart"/>
            <w:vAlign w:val="center"/>
          </w:tcPr>
          <w:p w:rsidR="00D56CA3" w:rsidRPr="009272BB" w:rsidRDefault="00D56CA3"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hAnsiTheme="majorHAnsi" w:cstheme="majorHAnsi"/>
                <w:sz w:val="24"/>
                <w:szCs w:val="24"/>
              </w:rPr>
              <w:t>Las versiones públicas de las sentencias que sean de interés público;</w:t>
            </w:r>
          </w:p>
        </w:tc>
        <w:tc>
          <w:tcPr>
            <w:tcW w:w="2338" w:type="dxa"/>
            <w:shd w:val="clear" w:color="auto" w:fill="FFFFFF" w:themeFill="background1"/>
            <w:vAlign w:val="center"/>
          </w:tcPr>
          <w:p w:rsidR="00D56CA3" w:rsidRPr="009272BB" w:rsidRDefault="00D56CA3"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Tribunal Superior de Justicia.</w:t>
            </w:r>
          </w:p>
        </w:tc>
        <w:tc>
          <w:tcPr>
            <w:tcW w:w="3820" w:type="dxa"/>
            <w:shd w:val="clear" w:color="auto" w:fill="FFFFFF" w:themeFill="background1"/>
            <w:vAlign w:val="center"/>
          </w:tcPr>
          <w:p w:rsidR="00D56CA3" w:rsidRPr="009272BB" w:rsidRDefault="00B20FBA"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Pr>
                <w:rFonts w:asciiTheme="majorHAnsi" w:eastAsia="Arial" w:hAnsiTheme="majorHAnsi" w:cstheme="majorHAnsi"/>
                <w:sz w:val="24"/>
                <w:szCs w:val="24"/>
              </w:rPr>
              <w:t>Artículos 25,</w:t>
            </w:r>
            <w:r w:rsidR="00D56CA3" w:rsidRPr="009272BB">
              <w:rPr>
                <w:rFonts w:asciiTheme="majorHAnsi" w:eastAsia="Arial" w:hAnsiTheme="majorHAnsi" w:cstheme="majorHAnsi"/>
                <w:sz w:val="24"/>
                <w:szCs w:val="24"/>
              </w:rPr>
              <w:t xml:space="preserve"> 30 </w:t>
            </w:r>
            <w:r>
              <w:rPr>
                <w:rFonts w:asciiTheme="majorHAnsi" w:eastAsia="Arial" w:hAnsiTheme="majorHAnsi" w:cstheme="majorHAnsi"/>
                <w:sz w:val="24"/>
                <w:szCs w:val="24"/>
              </w:rPr>
              <w:t xml:space="preserve">fracciones II y IX y 42 </w:t>
            </w:r>
            <w:r w:rsidR="00D56CA3" w:rsidRPr="009272BB">
              <w:rPr>
                <w:rFonts w:asciiTheme="majorHAnsi" w:eastAsia="Arial" w:hAnsiTheme="majorHAnsi" w:cstheme="majorHAnsi"/>
                <w:sz w:val="24"/>
                <w:szCs w:val="24"/>
              </w:rPr>
              <w:t>de la Ley Orgánica del Poder Judicial del Estado de Yucatán.</w:t>
            </w:r>
          </w:p>
        </w:tc>
      </w:tr>
      <w:tr w:rsidR="00D56CA3" w:rsidRPr="009272BB" w:rsidTr="009272BB">
        <w:trPr>
          <w:trHeight w:val="321"/>
          <w:jc w:val="center"/>
        </w:trPr>
        <w:tc>
          <w:tcPr>
            <w:cnfStyle w:val="001000000000" w:firstRow="0" w:lastRow="0" w:firstColumn="1" w:lastColumn="0" w:oddVBand="0" w:evenVBand="0" w:oddHBand="0" w:evenHBand="0" w:firstRowFirstColumn="0" w:firstRowLastColumn="0" w:lastRowFirstColumn="0" w:lastRowLastColumn="0"/>
            <w:tcW w:w="424" w:type="dxa"/>
            <w:vMerge/>
            <w:vAlign w:val="center"/>
          </w:tcPr>
          <w:p w:rsidR="00D56CA3" w:rsidRPr="009272BB" w:rsidRDefault="00D56CA3" w:rsidP="009272BB">
            <w:pPr>
              <w:spacing w:after="0" w:line="240" w:lineRule="auto"/>
              <w:jc w:val="center"/>
              <w:rPr>
                <w:rFonts w:asciiTheme="majorHAnsi" w:eastAsia="Arial" w:hAnsiTheme="majorHAnsi" w:cstheme="majorHAnsi"/>
                <w:sz w:val="24"/>
                <w:szCs w:val="24"/>
              </w:rPr>
            </w:pPr>
          </w:p>
        </w:tc>
        <w:tc>
          <w:tcPr>
            <w:tcW w:w="3682" w:type="dxa"/>
            <w:vMerge/>
            <w:vAlign w:val="center"/>
          </w:tcPr>
          <w:p w:rsidR="00D56CA3" w:rsidRPr="009272BB" w:rsidRDefault="00D56CA3"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338" w:type="dxa"/>
            <w:shd w:val="clear" w:color="auto" w:fill="FFFFFF" w:themeFill="background1"/>
            <w:vAlign w:val="center"/>
          </w:tcPr>
          <w:p w:rsidR="00D56CA3" w:rsidRPr="009272BB" w:rsidRDefault="00D56CA3"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Tribunal de los Trabajadores al Servicio del Estado y de los Municipios.</w:t>
            </w:r>
          </w:p>
        </w:tc>
        <w:tc>
          <w:tcPr>
            <w:tcW w:w="3820" w:type="dxa"/>
            <w:shd w:val="clear" w:color="auto" w:fill="FFFFFF" w:themeFill="background1"/>
            <w:vAlign w:val="center"/>
          </w:tcPr>
          <w:p w:rsidR="00D56CA3" w:rsidRPr="009272BB" w:rsidRDefault="00D56CA3"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Artículo 76 de la Ley Orgánica del Poder Judicial del Estado de Yucatán.</w:t>
            </w:r>
          </w:p>
        </w:tc>
      </w:tr>
      <w:tr w:rsidR="006964B3" w:rsidRPr="009272BB" w:rsidTr="009272BB">
        <w:trPr>
          <w:trHeight w:val="674"/>
          <w:jc w:val="center"/>
        </w:trPr>
        <w:tc>
          <w:tcPr>
            <w:cnfStyle w:val="001000000000" w:firstRow="0" w:lastRow="0" w:firstColumn="1" w:lastColumn="0" w:oddVBand="0" w:evenVBand="0" w:oddHBand="0" w:evenHBand="0" w:firstRowFirstColumn="0" w:firstRowLastColumn="0" w:lastRowFirstColumn="0" w:lastRowLastColumn="0"/>
            <w:tcW w:w="424" w:type="dxa"/>
            <w:vMerge w:val="restart"/>
            <w:vAlign w:val="center"/>
          </w:tcPr>
          <w:p w:rsidR="006964B3" w:rsidRPr="009272BB" w:rsidRDefault="006964B3" w:rsidP="009272BB">
            <w:pPr>
              <w:spacing w:after="0" w:line="240" w:lineRule="auto"/>
              <w:jc w:val="center"/>
              <w:rPr>
                <w:rFonts w:asciiTheme="majorHAnsi" w:eastAsia="Arial" w:hAnsiTheme="majorHAnsi" w:cstheme="majorHAnsi"/>
                <w:b w:val="0"/>
                <w:sz w:val="24"/>
                <w:szCs w:val="24"/>
              </w:rPr>
            </w:pPr>
            <w:r w:rsidRPr="009272BB">
              <w:rPr>
                <w:rFonts w:asciiTheme="majorHAnsi" w:eastAsia="Arial" w:hAnsiTheme="majorHAnsi" w:cstheme="majorHAnsi"/>
                <w:b w:val="0"/>
                <w:sz w:val="24"/>
                <w:szCs w:val="24"/>
              </w:rPr>
              <w:lastRenderedPageBreak/>
              <w:t>III</w:t>
            </w:r>
          </w:p>
        </w:tc>
        <w:tc>
          <w:tcPr>
            <w:tcW w:w="3682" w:type="dxa"/>
            <w:vMerge w:val="restart"/>
            <w:vAlign w:val="center"/>
          </w:tcPr>
          <w:p w:rsidR="006964B3" w:rsidRPr="009272BB" w:rsidRDefault="006964B3"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hAnsiTheme="majorHAnsi" w:cstheme="majorHAnsi"/>
                <w:sz w:val="24"/>
                <w:szCs w:val="24"/>
              </w:rPr>
              <w:t>Las versiones estenográficas de las sesiones públicas;</w:t>
            </w:r>
          </w:p>
        </w:tc>
        <w:tc>
          <w:tcPr>
            <w:tcW w:w="2338" w:type="dxa"/>
            <w:shd w:val="clear" w:color="auto" w:fill="FFFFFF" w:themeFill="background1"/>
            <w:vAlign w:val="center"/>
          </w:tcPr>
          <w:p w:rsidR="006964B3" w:rsidRPr="009272BB" w:rsidRDefault="006964B3"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Tribunal Superior de Justicia.</w:t>
            </w:r>
          </w:p>
        </w:tc>
        <w:tc>
          <w:tcPr>
            <w:tcW w:w="3820" w:type="dxa"/>
            <w:shd w:val="clear" w:color="auto" w:fill="FFFFFF" w:themeFill="background1"/>
            <w:vAlign w:val="center"/>
          </w:tcPr>
          <w:p w:rsidR="006964B3" w:rsidRPr="009272BB" w:rsidRDefault="006964B3"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Artículo 29 de la Ley Orgánica del Poder Judicial del Estado de Yucatán, y los diversos 15 y 16 del Reglamento Interno del Tribunal Superior de Justicia.</w:t>
            </w:r>
          </w:p>
        </w:tc>
      </w:tr>
      <w:tr w:rsidR="006964B3" w:rsidRPr="009272BB" w:rsidTr="009272BB">
        <w:trPr>
          <w:trHeight w:val="508"/>
          <w:jc w:val="center"/>
        </w:trPr>
        <w:tc>
          <w:tcPr>
            <w:cnfStyle w:val="001000000000" w:firstRow="0" w:lastRow="0" w:firstColumn="1" w:lastColumn="0" w:oddVBand="0" w:evenVBand="0" w:oddHBand="0" w:evenHBand="0" w:firstRowFirstColumn="0" w:firstRowLastColumn="0" w:lastRowFirstColumn="0" w:lastRowLastColumn="0"/>
            <w:tcW w:w="424" w:type="dxa"/>
            <w:vMerge/>
            <w:vAlign w:val="center"/>
          </w:tcPr>
          <w:p w:rsidR="006964B3" w:rsidRPr="009272BB" w:rsidRDefault="006964B3" w:rsidP="009272BB">
            <w:pPr>
              <w:spacing w:after="0" w:line="240" w:lineRule="auto"/>
              <w:jc w:val="center"/>
              <w:rPr>
                <w:rFonts w:asciiTheme="majorHAnsi" w:eastAsia="Arial" w:hAnsiTheme="majorHAnsi" w:cstheme="majorHAnsi"/>
                <w:sz w:val="24"/>
                <w:szCs w:val="24"/>
              </w:rPr>
            </w:pPr>
          </w:p>
        </w:tc>
        <w:tc>
          <w:tcPr>
            <w:tcW w:w="3682" w:type="dxa"/>
            <w:vMerge/>
            <w:vAlign w:val="center"/>
          </w:tcPr>
          <w:p w:rsidR="006964B3" w:rsidRPr="009272BB" w:rsidRDefault="006964B3"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338" w:type="dxa"/>
            <w:shd w:val="clear" w:color="auto" w:fill="FFFFFF" w:themeFill="background1"/>
            <w:vAlign w:val="center"/>
          </w:tcPr>
          <w:p w:rsidR="006964B3" w:rsidRPr="009272BB" w:rsidRDefault="006964B3"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Consejo de la Judicatura.</w:t>
            </w:r>
          </w:p>
        </w:tc>
        <w:tc>
          <w:tcPr>
            <w:tcW w:w="3820" w:type="dxa"/>
            <w:shd w:val="clear" w:color="auto" w:fill="FFFFFF" w:themeFill="background1"/>
            <w:vAlign w:val="center"/>
          </w:tcPr>
          <w:p w:rsidR="006964B3" w:rsidRPr="009272BB" w:rsidRDefault="00753969"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Artículo</w:t>
            </w:r>
            <w:r w:rsidR="006964B3" w:rsidRPr="009272BB">
              <w:rPr>
                <w:rFonts w:asciiTheme="majorHAnsi" w:eastAsia="Arial" w:hAnsiTheme="majorHAnsi" w:cstheme="majorHAnsi"/>
                <w:sz w:val="24"/>
                <w:szCs w:val="24"/>
              </w:rPr>
              <w:t xml:space="preserve"> 114 de la Ley Orgánica del Poder Judicial del Estado de Yucatán, y el diverso 10 del Reglamento Interior de Consejo de la Judicatura.</w:t>
            </w:r>
          </w:p>
        </w:tc>
      </w:tr>
      <w:tr w:rsidR="00C46B78" w:rsidRPr="009272BB" w:rsidTr="009272BB">
        <w:trPr>
          <w:trHeight w:val="605"/>
          <w:jc w:val="center"/>
        </w:trPr>
        <w:tc>
          <w:tcPr>
            <w:cnfStyle w:val="001000000000" w:firstRow="0" w:lastRow="0" w:firstColumn="1" w:lastColumn="0" w:oddVBand="0" w:evenVBand="0" w:oddHBand="0" w:evenHBand="0" w:firstRowFirstColumn="0" w:firstRowLastColumn="0" w:lastRowFirstColumn="0" w:lastRowLastColumn="0"/>
            <w:tcW w:w="424" w:type="dxa"/>
            <w:vAlign w:val="center"/>
          </w:tcPr>
          <w:p w:rsidR="00C46B78" w:rsidRPr="009272BB" w:rsidRDefault="00D76338" w:rsidP="009272BB">
            <w:pPr>
              <w:spacing w:after="0" w:line="240" w:lineRule="auto"/>
              <w:jc w:val="center"/>
              <w:rPr>
                <w:rFonts w:asciiTheme="majorHAnsi" w:eastAsia="Arial" w:hAnsiTheme="majorHAnsi" w:cstheme="majorHAnsi"/>
                <w:b w:val="0"/>
                <w:sz w:val="24"/>
                <w:szCs w:val="24"/>
              </w:rPr>
            </w:pPr>
            <w:r w:rsidRPr="009272BB">
              <w:rPr>
                <w:rFonts w:asciiTheme="majorHAnsi" w:eastAsia="Arial" w:hAnsiTheme="majorHAnsi" w:cstheme="majorHAnsi"/>
                <w:b w:val="0"/>
                <w:sz w:val="24"/>
                <w:szCs w:val="24"/>
              </w:rPr>
              <w:t>IV</w:t>
            </w:r>
          </w:p>
        </w:tc>
        <w:tc>
          <w:tcPr>
            <w:tcW w:w="3682" w:type="dxa"/>
            <w:vAlign w:val="center"/>
          </w:tcPr>
          <w:p w:rsidR="00C46B78" w:rsidRPr="009272BB" w:rsidRDefault="00C46B78" w:rsidP="009272BB">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9272BB">
              <w:rPr>
                <w:rFonts w:asciiTheme="majorHAnsi" w:hAnsiTheme="majorHAnsi" w:cstheme="majorHAnsi"/>
                <w:sz w:val="24"/>
                <w:szCs w:val="24"/>
              </w:rPr>
              <w:t>La relacionada con los procesos por medio de los cuales fueron designados los jueces y</w:t>
            </w:r>
          </w:p>
          <w:p w:rsidR="00C46B78" w:rsidRPr="009272BB" w:rsidRDefault="00C46B78"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hAnsiTheme="majorHAnsi" w:cstheme="majorHAnsi"/>
                <w:sz w:val="24"/>
                <w:szCs w:val="24"/>
              </w:rPr>
              <w:t>magistrados, y</w:t>
            </w:r>
          </w:p>
        </w:tc>
        <w:tc>
          <w:tcPr>
            <w:tcW w:w="2338" w:type="dxa"/>
            <w:vAlign w:val="center"/>
          </w:tcPr>
          <w:p w:rsidR="0076424F" w:rsidRPr="009272BB" w:rsidRDefault="00BC5A05"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Consejo de la Judicatura</w:t>
            </w:r>
            <w:r w:rsidR="00753969" w:rsidRPr="009272BB">
              <w:rPr>
                <w:rFonts w:asciiTheme="majorHAnsi" w:eastAsia="Arial" w:hAnsiTheme="majorHAnsi" w:cstheme="majorHAnsi"/>
                <w:sz w:val="24"/>
                <w:szCs w:val="24"/>
              </w:rPr>
              <w:t>.</w:t>
            </w:r>
          </w:p>
        </w:tc>
        <w:tc>
          <w:tcPr>
            <w:tcW w:w="3820" w:type="dxa"/>
            <w:vAlign w:val="center"/>
          </w:tcPr>
          <w:p w:rsidR="0046176A" w:rsidRPr="009272BB" w:rsidRDefault="00753969"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A</w:t>
            </w:r>
            <w:r w:rsidR="00BC5A05" w:rsidRPr="009272BB">
              <w:rPr>
                <w:rFonts w:asciiTheme="majorHAnsi" w:eastAsia="Arial" w:hAnsiTheme="majorHAnsi" w:cstheme="majorHAnsi"/>
                <w:sz w:val="24"/>
                <w:szCs w:val="24"/>
              </w:rPr>
              <w:t>rtículo 72 de la Constitución Política del Estado de Yucat</w:t>
            </w:r>
            <w:r w:rsidR="0046176A" w:rsidRPr="009272BB">
              <w:rPr>
                <w:rFonts w:asciiTheme="majorHAnsi" w:eastAsia="Arial" w:hAnsiTheme="majorHAnsi" w:cstheme="majorHAnsi"/>
                <w:sz w:val="24"/>
                <w:szCs w:val="24"/>
              </w:rPr>
              <w:t xml:space="preserve">án, </w:t>
            </w:r>
            <w:r w:rsidR="002D302B" w:rsidRPr="009272BB">
              <w:rPr>
                <w:rFonts w:asciiTheme="majorHAnsi" w:eastAsia="Arial" w:hAnsiTheme="majorHAnsi" w:cstheme="majorHAnsi"/>
                <w:sz w:val="24"/>
                <w:szCs w:val="24"/>
              </w:rPr>
              <w:t xml:space="preserve">y </w:t>
            </w:r>
            <w:r w:rsidRPr="009272BB">
              <w:rPr>
                <w:rFonts w:asciiTheme="majorHAnsi" w:eastAsia="Arial" w:hAnsiTheme="majorHAnsi" w:cstheme="majorHAnsi"/>
                <w:sz w:val="24"/>
                <w:szCs w:val="24"/>
              </w:rPr>
              <w:t xml:space="preserve">los diversos </w:t>
            </w:r>
            <w:r w:rsidR="0046176A" w:rsidRPr="009272BB">
              <w:rPr>
                <w:rFonts w:asciiTheme="majorHAnsi" w:eastAsia="Arial" w:hAnsiTheme="majorHAnsi" w:cstheme="majorHAnsi"/>
                <w:sz w:val="24"/>
                <w:szCs w:val="24"/>
              </w:rPr>
              <w:t>111</w:t>
            </w:r>
            <w:r w:rsidRPr="009272BB">
              <w:rPr>
                <w:rFonts w:asciiTheme="majorHAnsi" w:eastAsia="Arial" w:hAnsiTheme="majorHAnsi" w:cstheme="majorHAnsi"/>
                <w:sz w:val="24"/>
                <w:szCs w:val="24"/>
              </w:rPr>
              <w:t xml:space="preserve"> y</w:t>
            </w:r>
            <w:r w:rsidR="002D302B" w:rsidRPr="009272BB">
              <w:rPr>
                <w:rFonts w:asciiTheme="majorHAnsi" w:eastAsia="Arial" w:hAnsiTheme="majorHAnsi" w:cstheme="majorHAnsi"/>
                <w:sz w:val="24"/>
                <w:szCs w:val="24"/>
              </w:rPr>
              <w:t xml:space="preserve"> </w:t>
            </w:r>
            <w:r w:rsidR="008C6046" w:rsidRPr="009272BB">
              <w:rPr>
                <w:rFonts w:asciiTheme="majorHAnsi" w:eastAsia="Arial" w:hAnsiTheme="majorHAnsi" w:cstheme="majorHAnsi"/>
                <w:sz w:val="24"/>
                <w:szCs w:val="24"/>
              </w:rPr>
              <w:t xml:space="preserve">115 </w:t>
            </w:r>
            <w:r w:rsidR="0046176A" w:rsidRPr="009272BB">
              <w:rPr>
                <w:rFonts w:asciiTheme="majorHAnsi" w:eastAsia="Arial" w:hAnsiTheme="majorHAnsi" w:cstheme="majorHAnsi"/>
                <w:sz w:val="24"/>
                <w:szCs w:val="24"/>
              </w:rPr>
              <w:t>de la Ley Orgánica del Poder Judicial del Estado de Yucatán.</w:t>
            </w:r>
          </w:p>
        </w:tc>
      </w:tr>
      <w:tr w:rsidR="00753969" w:rsidRPr="009272BB" w:rsidTr="009272BB">
        <w:trPr>
          <w:trHeight w:val="890"/>
          <w:jc w:val="center"/>
        </w:trPr>
        <w:tc>
          <w:tcPr>
            <w:cnfStyle w:val="001000000000" w:firstRow="0" w:lastRow="0" w:firstColumn="1" w:lastColumn="0" w:oddVBand="0" w:evenVBand="0" w:oddHBand="0" w:evenHBand="0" w:firstRowFirstColumn="0" w:firstRowLastColumn="0" w:lastRowFirstColumn="0" w:lastRowLastColumn="0"/>
            <w:tcW w:w="424" w:type="dxa"/>
            <w:vMerge w:val="restart"/>
            <w:vAlign w:val="center"/>
          </w:tcPr>
          <w:p w:rsidR="00753969" w:rsidRPr="009272BB" w:rsidRDefault="00753969" w:rsidP="009272BB">
            <w:pPr>
              <w:spacing w:after="0" w:line="240" w:lineRule="auto"/>
              <w:jc w:val="center"/>
              <w:rPr>
                <w:rFonts w:asciiTheme="majorHAnsi" w:eastAsia="Arial" w:hAnsiTheme="majorHAnsi" w:cstheme="majorHAnsi"/>
                <w:b w:val="0"/>
                <w:sz w:val="24"/>
                <w:szCs w:val="24"/>
              </w:rPr>
            </w:pPr>
            <w:r w:rsidRPr="009272BB">
              <w:rPr>
                <w:rFonts w:asciiTheme="majorHAnsi" w:eastAsia="Arial" w:hAnsiTheme="majorHAnsi" w:cstheme="majorHAnsi"/>
                <w:b w:val="0"/>
                <w:sz w:val="24"/>
                <w:szCs w:val="24"/>
              </w:rPr>
              <w:t>V</w:t>
            </w:r>
          </w:p>
        </w:tc>
        <w:tc>
          <w:tcPr>
            <w:tcW w:w="3682" w:type="dxa"/>
            <w:vMerge w:val="restart"/>
            <w:vAlign w:val="center"/>
          </w:tcPr>
          <w:p w:rsidR="00753969" w:rsidRPr="009272BB" w:rsidRDefault="00753969"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hAnsiTheme="majorHAnsi" w:cstheme="majorHAnsi"/>
                <w:sz w:val="24"/>
                <w:szCs w:val="24"/>
              </w:rPr>
              <w:t>La lista de acuerdos que diariamente se publiquen.</w:t>
            </w:r>
          </w:p>
        </w:tc>
        <w:tc>
          <w:tcPr>
            <w:tcW w:w="2338" w:type="dxa"/>
            <w:vAlign w:val="center"/>
          </w:tcPr>
          <w:p w:rsidR="00753969" w:rsidRPr="009272BB" w:rsidRDefault="00753969"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Tribunal Superior de Justicia.</w:t>
            </w:r>
          </w:p>
        </w:tc>
        <w:tc>
          <w:tcPr>
            <w:tcW w:w="3820" w:type="dxa"/>
            <w:vAlign w:val="center"/>
          </w:tcPr>
          <w:p w:rsidR="00753969" w:rsidRPr="009272BB" w:rsidRDefault="00753969"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Artículo 42</w:t>
            </w:r>
            <w:r w:rsidR="00B20FBA">
              <w:rPr>
                <w:rFonts w:asciiTheme="majorHAnsi" w:eastAsia="Arial" w:hAnsiTheme="majorHAnsi" w:cstheme="majorHAnsi"/>
                <w:sz w:val="24"/>
                <w:szCs w:val="24"/>
              </w:rPr>
              <w:t xml:space="preserve"> y 51</w:t>
            </w:r>
            <w:r w:rsidRPr="009272BB">
              <w:rPr>
                <w:rFonts w:asciiTheme="majorHAnsi" w:eastAsia="Arial" w:hAnsiTheme="majorHAnsi" w:cstheme="majorHAnsi"/>
                <w:sz w:val="24"/>
                <w:szCs w:val="24"/>
              </w:rPr>
              <w:t xml:space="preserve"> de la Ley Orgánica del Poder Judicial del Estado de Yucatán.</w:t>
            </w:r>
          </w:p>
        </w:tc>
      </w:tr>
      <w:tr w:rsidR="00753969" w:rsidRPr="009272BB" w:rsidTr="009272BB">
        <w:trPr>
          <w:trHeight w:val="497"/>
          <w:jc w:val="center"/>
        </w:trPr>
        <w:tc>
          <w:tcPr>
            <w:cnfStyle w:val="001000000000" w:firstRow="0" w:lastRow="0" w:firstColumn="1" w:lastColumn="0" w:oddVBand="0" w:evenVBand="0" w:oddHBand="0" w:evenHBand="0" w:firstRowFirstColumn="0" w:firstRowLastColumn="0" w:lastRowFirstColumn="0" w:lastRowLastColumn="0"/>
            <w:tcW w:w="424" w:type="dxa"/>
            <w:vMerge/>
            <w:vAlign w:val="center"/>
          </w:tcPr>
          <w:p w:rsidR="00753969" w:rsidRPr="009272BB" w:rsidRDefault="00753969" w:rsidP="009272BB">
            <w:pPr>
              <w:spacing w:after="0" w:line="240" w:lineRule="auto"/>
              <w:jc w:val="center"/>
              <w:rPr>
                <w:rFonts w:asciiTheme="majorHAnsi" w:eastAsia="Arial" w:hAnsiTheme="majorHAnsi" w:cstheme="majorHAnsi"/>
                <w:sz w:val="24"/>
                <w:szCs w:val="24"/>
              </w:rPr>
            </w:pPr>
          </w:p>
        </w:tc>
        <w:tc>
          <w:tcPr>
            <w:tcW w:w="3682" w:type="dxa"/>
            <w:vMerge/>
            <w:vAlign w:val="center"/>
          </w:tcPr>
          <w:p w:rsidR="00753969" w:rsidRPr="009272BB" w:rsidRDefault="00753969"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338" w:type="dxa"/>
            <w:vAlign w:val="center"/>
          </w:tcPr>
          <w:p w:rsidR="00753969" w:rsidRPr="009272BB" w:rsidRDefault="00753969"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Tribunal de los Trabajadores al Servicio del Estado y de los Municipios.</w:t>
            </w:r>
          </w:p>
        </w:tc>
        <w:tc>
          <w:tcPr>
            <w:tcW w:w="3820" w:type="dxa"/>
            <w:vAlign w:val="center"/>
          </w:tcPr>
          <w:p w:rsidR="00753969" w:rsidRPr="009272BB" w:rsidRDefault="00753969" w:rsidP="009272B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272BB">
              <w:rPr>
                <w:rFonts w:asciiTheme="majorHAnsi" w:eastAsia="Arial" w:hAnsiTheme="majorHAnsi" w:cstheme="majorHAnsi"/>
                <w:sz w:val="24"/>
                <w:szCs w:val="24"/>
              </w:rPr>
              <w:t>Artículo 76 de la Ley Orgánica del Poder Judicial del Estado de Yucatán.</w:t>
            </w:r>
          </w:p>
        </w:tc>
      </w:tr>
    </w:tbl>
    <w:p w:rsidR="00202AE1" w:rsidRPr="009272BB" w:rsidRDefault="00202AE1" w:rsidP="009272BB">
      <w:pPr>
        <w:spacing w:after="0" w:line="240" w:lineRule="auto"/>
        <w:jc w:val="both"/>
        <w:rPr>
          <w:rFonts w:asciiTheme="majorHAnsi" w:eastAsia="Arial" w:hAnsiTheme="majorHAnsi" w:cs="Arial"/>
          <w:sz w:val="24"/>
          <w:szCs w:val="24"/>
        </w:rPr>
      </w:pPr>
    </w:p>
    <w:p w:rsidR="00C10F91" w:rsidRPr="009272BB" w:rsidRDefault="00C10F91" w:rsidP="009272BB">
      <w:pPr>
        <w:spacing w:after="0" w:line="240" w:lineRule="auto"/>
        <w:jc w:val="both"/>
        <w:rPr>
          <w:rFonts w:asciiTheme="majorHAnsi" w:eastAsia="Arial" w:hAnsiTheme="majorHAnsi" w:cs="Arial"/>
          <w:sz w:val="24"/>
          <w:szCs w:val="24"/>
        </w:rPr>
      </w:pPr>
      <w:r w:rsidRPr="009272BB">
        <w:rPr>
          <w:rFonts w:asciiTheme="majorHAnsi" w:eastAsia="Arial" w:hAnsiTheme="majorHAnsi" w:cs="Arial"/>
          <w:sz w:val="24"/>
          <w:szCs w:val="24"/>
        </w:rPr>
        <w:t>En tal razón, se acuerda:</w:t>
      </w:r>
    </w:p>
    <w:p w:rsidR="00C10F91" w:rsidRPr="009272BB" w:rsidRDefault="00C10F91" w:rsidP="009272BB">
      <w:pPr>
        <w:spacing w:after="0" w:line="240" w:lineRule="auto"/>
        <w:jc w:val="both"/>
        <w:rPr>
          <w:rFonts w:asciiTheme="majorHAnsi" w:eastAsia="Arial" w:hAnsiTheme="majorHAnsi" w:cs="Arial"/>
          <w:sz w:val="24"/>
          <w:szCs w:val="24"/>
        </w:rPr>
      </w:pPr>
    </w:p>
    <w:p w:rsidR="00C10F91" w:rsidRPr="009272BB" w:rsidRDefault="00C10F91" w:rsidP="009272BB">
      <w:pPr>
        <w:spacing w:after="0" w:line="240" w:lineRule="auto"/>
        <w:jc w:val="both"/>
        <w:rPr>
          <w:rFonts w:asciiTheme="majorHAnsi" w:eastAsia="Arial" w:hAnsiTheme="majorHAnsi" w:cs="Arial"/>
          <w:sz w:val="24"/>
          <w:szCs w:val="24"/>
        </w:rPr>
      </w:pPr>
      <w:proofErr w:type="gramStart"/>
      <w:r w:rsidRPr="009272BB">
        <w:rPr>
          <w:rFonts w:asciiTheme="majorHAnsi" w:eastAsia="Arial" w:hAnsiTheme="majorHAnsi" w:cs="Arial"/>
          <w:b/>
          <w:sz w:val="24"/>
          <w:szCs w:val="24"/>
        </w:rPr>
        <w:t>PRIMERO.-</w:t>
      </w:r>
      <w:proofErr w:type="gramEnd"/>
      <w:r w:rsidRPr="009272BB">
        <w:rPr>
          <w:rFonts w:asciiTheme="majorHAnsi" w:eastAsia="Arial" w:hAnsiTheme="majorHAnsi" w:cs="Arial"/>
          <w:b/>
          <w:sz w:val="24"/>
          <w:szCs w:val="24"/>
        </w:rPr>
        <w:t xml:space="preserve"> </w:t>
      </w:r>
      <w:r w:rsidR="00093D91" w:rsidRPr="009272BB">
        <w:rPr>
          <w:rFonts w:asciiTheme="majorHAnsi" w:eastAsia="Arial" w:hAnsiTheme="majorHAnsi" w:cs="Arial"/>
          <w:sz w:val="24"/>
          <w:szCs w:val="24"/>
        </w:rPr>
        <w:t xml:space="preserve">Se aprueban las tablas de aplicabilidad de las obligaciones de transparencia </w:t>
      </w:r>
      <w:r w:rsidR="0004201C" w:rsidRPr="009272BB">
        <w:rPr>
          <w:rFonts w:asciiTheme="majorHAnsi" w:eastAsia="Arial" w:hAnsiTheme="majorHAnsi" w:cs="Arial"/>
          <w:sz w:val="24"/>
          <w:szCs w:val="24"/>
        </w:rPr>
        <w:t>específicas</w:t>
      </w:r>
      <w:r w:rsidR="00093D91" w:rsidRPr="009272BB">
        <w:rPr>
          <w:rFonts w:asciiTheme="majorHAnsi" w:eastAsia="Arial" w:hAnsiTheme="majorHAnsi" w:cs="Arial"/>
          <w:sz w:val="24"/>
          <w:szCs w:val="24"/>
        </w:rPr>
        <w:t xml:space="preserve"> de los sujetos obligados del Poder </w:t>
      </w:r>
      <w:r w:rsidR="00D76338" w:rsidRPr="009272BB">
        <w:rPr>
          <w:rFonts w:asciiTheme="majorHAnsi" w:eastAsia="Arial" w:hAnsiTheme="majorHAnsi" w:cs="Arial"/>
          <w:sz w:val="24"/>
          <w:szCs w:val="24"/>
        </w:rPr>
        <w:t>Judicial</w:t>
      </w:r>
      <w:r w:rsidR="00093D91" w:rsidRPr="009272BB">
        <w:rPr>
          <w:rFonts w:asciiTheme="majorHAnsi" w:eastAsia="Arial" w:hAnsiTheme="majorHAnsi" w:cs="Arial"/>
          <w:sz w:val="24"/>
          <w:szCs w:val="24"/>
        </w:rPr>
        <w:t xml:space="preserve">, de conformidad con el considerando </w:t>
      </w:r>
      <w:r w:rsidR="0004201C" w:rsidRPr="009272BB">
        <w:rPr>
          <w:rFonts w:asciiTheme="majorHAnsi" w:eastAsia="Arial" w:hAnsiTheme="majorHAnsi" w:cs="Arial"/>
          <w:sz w:val="24"/>
          <w:szCs w:val="24"/>
        </w:rPr>
        <w:t>quinto</w:t>
      </w:r>
      <w:r w:rsidR="00093D91" w:rsidRPr="009272BB">
        <w:rPr>
          <w:rFonts w:asciiTheme="majorHAnsi" w:eastAsia="Arial" w:hAnsiTheme="majorHAnsi" w:cs="Arial"/>
          <w:sz w:val="24"/>
          <w:szCs w:val="24"/>
        </w:rPr>
        <w:t>.</w:t>
      </w:r>
    </w:p>
    <w:p w:rsidR="00093D91" w:rsidRPr="009272BB" w:rsidRDefault="00093D91" w:rsidP="009272BB">
      <w:pPr>
        <w:spacing w:after="0" w:line="240" w:lineRule="auto"/>
        <w:jc w:val="both"/>
        <w:rPr>
          <w:rFonts w:asciiTheme="majorHAnsi" w:eastAsia="Arial" w:hAnsiTheme="majorHAnsi" w:cs="Arial"/>
          <w:sz w:val="24"/>
          <w:szCs w:val="24"/>
        </w:rPr>
      </w:pPr>
    </w:p>
    <w:p w:rsidR="00093D91" w:rsidRPr="009272BB" w:rsidRDefault="00930275" w:rsidP="009272BB">
      <w:pPr>
        <w:spacing w:after="0" w:line="240" w:lineRule="auto"/>
        <w:jc w:val="both"/>
        <w:rPr>
          <w:rFonts w:asciiTheme="majorHAnsi" w:eastAsia="Arial" w:hAnsiTheme="majorHAnsi" w:cs="Arial"/>
          <w:sz w:val="24"/>
          <w:szCs w:val="24"/>
        </w:rPr>
      </w:pPr>
      <w:r w:rsidRPr="009272BB">
        <w:rPr>
          <w:rFonts w:asciiTheme="majorHAnsi" w:eastAsia="Arial" w:hAnsiTheme="majorHAnsi" w:cs="Arial"/>
          <w:b/>
          <w:sz w:val="24"/>
          <w:szCs w:val="24"/>
        </w:rPr>
        <w:t>SEGUNDO</w:t>
      </w:r>
      <w:r w:rsidR="0050662C" w:rsidRPr="009272BB">
        <w:rPr>
          <w:rFonts w:asciiTheme="majorHAnsi" w:eastAsia="Arial" w:hAnsiTheme="majorHAnsi" w:cs="Arial"/>
          <w:b/>
          <w:sz w:val="24"/>
          <w:szCs w:val="24"/>
        </w:rPr>
        <w:t xml:space="preserve">.- </w:t>
      </w:r>
      <w:r w:rsidR="00093D91" w:rsidRPr="009272BB">
        <w:rPr>
          <w:rFonts w:asciiTheme="majorHAnsi" w:eastAsia="Arial" w:hAnsiTheme="majorHAnsi" w:cs="Arial"/>
          <w:sz w:val="24"/>
          <w:szCs w:val="24"/>
        </w:rPr>
        <w:t xml:space="preserve">Se ordena a los sujetos obligados del Poder </w:t>
      </w:r>
      <w:r w:rsidR="00D76338" w:rsidRPr="009272BB">
        <w:rPr>
          <w:rFonts w:asciiTheme="majorHAnsi" w:eastAsia="Arial" w:hAnsiTheme="majorHAnsi" w:cs="Arial"/>
          <w:sz w:val="24"/>
          <w:szCs w:val="24"/>
        </w:rPr>
        <w:t>Judicial</w:t>
      </w:r>
      <w:r w:rsidR="00093D91" w:rsidRPr="009272BB">
        <w:rPr>
          <w:rFonts w:asciiTheme="majorHAnsi" w:eastAsia="Arial" w:hAnsiTheme="majorHAnsi" w:cs="Arial"/>
          <w:sz w:val="24"/>
          <w:szCs w:val="24"/>
        </w:rPr>
        <w:t xml:space="preserve">, </w:t>
      </w:r>
      <w:bookmarkStart w:id="0" w:name="_GoBack"/>
      <w:bookmarkEnd w:id="0"/>
      <w:r w:rsidR="00093D91" w:rsidRPr="009272BB">
        <w:rPr>
          <w:rFonts w:asciiTheme="majorHAnsi" w:eastAsia="Arial" w:hAnsiTheme="majorHAnsi" w:cs="Arial"/>
          <w:sz w:val="24"/>
          <w:szCs w:val="24"/>
        </w:rPr>
        <w:t xml:space="preserve">modificar sus tablas de aplicabilidad </w:t>
      </w:r>
      <w:r w:rsidR="0004201C" w:rsidRPr="009272BB">
        <w:rPr>
          <w:rFonts w:asciiTheme="majorHAnsi" w:eastAsia="Arial" w:hAnsiTheme="majorHAnsi" w:cs="Arial"/>
          <w:sz w:val="24"/>
          <w:szCs w:val="24"/>
        </w:rPr>
        <w:t xml:space="preserve">de las obligaciones de transparencia específicas, </w:t>
      </w:r>
      <w:r w:rsidR="00093D91" w:rsidRPr="009272BB">
        <w:rPr>
          <w:rFonts w:asciiTheme="majorHAnsi" w:eastAsia="Arial" w:hAnsiTheme="majorHAnsi" w:cs="Arial"/>
          <w:sz w:val="24"/>
          <w:szCs w:val="24"/>
        </w:rPr>
        <w:t xml:space="preserve">de conformidad con lo señalado en el considerando </w:t>
      </w:r>
      <w:r w:rsidR="0004201C" w:rsidRPr="009272BB">
        <w:rPr>
          <w:rFonts w:asciiTheme="majorHAnsi" w:eastAsia="Arial" w:hAnsiTheme="majorHAnsi" w:cs="Arial"/>
          <w:sz w:val="24"/>
          <w:szCs w:val="24"/>
        </w:rPr>
        <w:t>quinto</w:t>
      </w:r>
      <w:r w:rsidR="00093D91" w:rsidRPr="009272BB">
        <w:rPr>
          <w:rFonts w:asciiTheme="majorHAnsi" w:eastAsia="Arial" w:hAnsiTheme="majorHAnsi" w:cs="Arial"/>
          <w:sz w:val="24"/>
          <w:szCs w:val="24"/>
        </w:rPr>
        <w:t xml:space="preserve">, y que éstas sean aprobadas por sus comités de transparencia, únicamente en lo que respecta a las áreas que posean o generen la información; y que se publiquen en el sitio de internet del sujeto obligado que se trate y en la Plataforma Nacional de Transparencia, </w:t>
      </w:r>
      <w:r w:rsidR="0004201C" w:rsidRPr="009272BB">
        <w:rPr>
          <w:rFonts w:asciiTheme="majorHAnsi" w:eastAsia="Arial" w:hAnsiTheme="majorHAnsi" w:cs="Arial"/>
          <w:sz w:val="24"/>
          <w:szCs w:val="24"/>
        </w:rPr>
        <w:t>en términos de lo establecido en el numeral noveno de los Lineamientos técnicos generales</w:t>
      </w:r>
      <w:r w:rsidR="00093D91" w:rsidRPr="009272BB">
        <w:rPr>
          <w:rFonts w:asciiTheme="majorHAnsi" w:eastAsia="Arial" w:hAnsiTheme="majorHAnsi" w:cs="Arial"/>
          <w:sz w:val="24"/>
          <w:szCs w:val="24"/>
        </w:rPr>
        <w:t>, en un plazo máximo de 15 días hábiles, contados a partir del día siguiente de la aprobación del presente.</w:t>
      </w:r>
    </w:p>
    <w:p w:rsidR="0050662C" w:rsidRPr="009272BB" w:rsidRDefault="0050662C" w:rsidP="009272BB">
      <w:pPr>
        <w:spacing w:after="0" w:line="240" w:lineRule="auto"/>
        <w:jc w:val="both"/>
        <w:rPr>
          <w:rFonts w:asciiTheme="majorHAnsi" w:hAnsiTheme="majorHAnsi"/>
          <w:sz w:val="24"/>
          <w:szCs w:val="24"/>
        </w:rPr>
      </w:pPr>
    </w:p>
    <w:p w:rsidR="00545E0A" w:rsidRPr="009272BB" w:rsidRDefault="00930275" w:rsidP="009272BB">
      <w:pPr>
        <w:spacing w:after="0" w:line="240" w:lineRule="auto"/>
        <w:jc w:val="both"/>
        <w:rPr>
          <w:rFonts w:asciiTheme="majorHAnsi" w:eastAsia="Arial" w:hAnsiTheme="majorHAnsi" w:cs="Arial"/>
          <w:sz w:val="24"/>
          <w:szCs w:val="24"/>
        </w:rPr>
      </w:pPr>
      <w:proofErr w:type="gramStart"/>
      <w:r w:rsidRPr="009272BB">
        <w:rPr>
          <w:rFonts w:asciiTheme="majorHAnsi" w:eastAsia="Arial" w:hAnsiTheme="majorHAnsi" w:cs="Arial"/>
          <w:b/>
          <w:sz w:val="24"/>
          <w:szCs w:val="24"/>
        </w:rPr>
        <w:lastRenderedPageBreak/>
        <w:t>TERCERO</w:t>
      </w:r>
      <w:r w:rsidR="0050662C" w:rsidRPr="009272BB">
        <w:rPr>
          <w:rFonts w:asciiTheme="majorHAnsi" w:eastAsia="Arial" w:hAnsiTheme="majorHAnsi" w:cs="Arial"/>
          <w:b/>
          <w:sz w:val="24"/>
          <w:szCs w:val="24"/>
        </w:rPr>
        <w:t>.-</w:t>
      </w:r>
      <w:proofErr w:type="gramEnd"/>
      <w:r w:rsidR="0050662C" w:rsidRPr="009272BB">
        <w:rPr>
          <w:rFonts w:asciiTheme="majorHAnsi" w:eastAsia="Arial" w:hAnsiTheme="majorHAnsi" w:cs="Arial"/>
          <w:b/>
          <w:sz w:val="24"/>
          <w:szCs w:val="24"/>
        </w:rPr>
        <w:t xml:space="preserve"> </w:t>
      </w:r>
      <w:r w:rsidR="00093D91" w:rsidRPr="009272BB">
        <w:rPr>
          <w:rFonts w:asciiTheme="majorHAnsi" w:eastAsia="Arial" w:hAnsiTheme="majorHAnsi" w:cs="Arial"/>
          <w:sz w:val="24"/>
          <w:szCs w:val="24"/>
        </w:rPr>
        <w:t xml:space="preserve">Se ordena a la Secretaría Ejecutiva del Instituto Estatal de Transparencia, Acceso a la Información Pública y Protección de Datos Personales, para que en un plazo máximo de 10 días hábiles, contados a partir del día siguiente de la aprobación del presente, notifique a los sujetos obligados del Poder </w:t>
      </w:r>
      <w:r w:rsidR="009272BB" w:rsidRPr="009272BB">
        <w:rPr>
          <w:rFonts w:asciiTheme="majorHAnsi" w:eastAsia="Arial" w:hAnsiTheme="majorHAnsi" w:cs="Arial"/>
          <w:sz w:val="24"/>
          <w:szCs w:val="24"/>
        </w:rPr>
        <w:t>Judicial</w:t>
      </w:r>
      <w:r w:rsidR="00093D91" w:rsidRPr="009272BB">
        <w:rPr>
          <w:rFonts w:asciiTheme="majorHAnsi" w:eastAsia="Arial" w:hAnsiTheme="majorHAnsi" w:cs="Arial"/>
          <w:sz w:val="24"/>
          <w:szCs w:val="24"/>
        </w:rPr>
        <w:t>, el acuerdo que hoy nos ocupa</w:t>
      </w:r>
      <w:r w:rsidR="00093D91" w:rsidRPr="009272BB">
        <w:rPr>
          <w:rFonts w:asciiTheme="majorHAnsi" w:hAnsiTheme="majorHAnsi"/>
          <w:sz w:val="24"/>
          <w:szCs w:val="24"/>
        </w:rPr>
        <w:t>.</w:t>
      </w:r>
    </w:p>
    <w:p w:rsidR="0085476E" w:rsidRPr="009272BB" w:rsidRDefault="0085476E" w:rsidP="009272BB">
      <w:pPr>
        <w:spacing w:after="0" w:line="240" w:lineRule="auto"/>
        <w:jc w:val="both"/>
        <w:rPr>
          <w:rFonts w:asciiTheme="majorHAnsi" w:eastAsia="Arial" w:hAnsiTheme="majorHAnsi" w:cs="Arial"/>
          <w:sz w:val="24"/>
          <w:szCs w:val="24"/>
        </w:rPr>
      </w:pPr>
    </w:p>
    <w:p w:rsidR="0085476E" w:rsidRPr="009272BB" w:rsidRDefault="00930275" w:rsidP="009272BB">
      <w:pPr>
        <w:spacing w:after="0" w:line="240" w:lineRule="auto"/>
        <w:jc w:val="both"/>
        <w:rPr>
          <w:rFonts w:asciiTheme="majorHAnsi" w:eastAsia="Arial" w:hAnsiTheme="majorHAnsi" w:cs="Arial"/>
          <w:sz w:val="24"/>
          <w:szCs w:val="24"/>
        </w:rPr>
      </w:pPr>
      <w:proofErr w:type="gramStart"/>
      <w:r w:rsidRPr="009272BB">
        <w:rPr>
          <w:rFonts w:asciiTheme="majorHAnsi" w:eastAsia="Arial" w:hAnsiTheme="majorHAnsi" w:cs="Arial"/>
          <w:b/>
          <w:sz w:val="24"/>
          <w:szCs w:val="24"/>
        </w:rPr>
        <w:t>CUARTO</w:t>
      </w:r>
      <w:r w:rsidR="0085476E" w:rsidRPr="009272BB">
        <w:rPr>
          <w:rFonts w:asciiTheme="majorHAnsi" w:eastAsia="Arial" w:hAnsiTheme="majorHAnsi" w:cs="Arial"/>
          <w:b/>
          <w:sz w:val="24"/>
          <w:szCs w:val="24"/>
        </w:rPr>
        <w:t>.-</w:t>
      </w:r>
      <w:proofErr w:type="gramEnd"/>
      <w:r w:rsidR="0085476E" w:rsidRPr="009272BB">
        <w:rPr>
          <w:rFonts w:asciiTheme="majorHAnsi" w:eastAsia="Arial" w:hAnsiTheme="majorHAnsi" w:cs="Arial"/>
          <w:b/>
          <w:sz w:val="24"/>
          <w:szCs w:val="24"/>
        </w:rPr>
        <w:t xml:space="preserve"> </w:t>
      </w:r>
      <w:r w:rsidR="00093D91" w:rsidRPr="009272BB">
        <w:rPr>
          <w:rFonts w:asciiTheme="majorHAnsi" w:eastAsia="Arial" w:hAnsiTheme="majorHAnsi" w:cs="Arial"/>
          <w:sz w:val="24"/>
          <w:szCs w:val="24"/>
        </w:rPr>
        <w:t>Publíquese en el sitio de internet de este órgano garante.</w:t>
      </w:r>
    </w:p>
    <w:p w:rsidR="00093D91" w:rsidRPr="009272BB" w:rsidRDefault="00093D91" w:rsidP="009272BB">
      <w:pPr>
        <w:spacing w:after="0" w:line="240" w:lineRule="auto"/>
        <w:jc w:val="both"/>
        <w:rPr>
          <w:rFonts w:asciiTheme="majorHAnsi" w:eastAsia="Arial" w:hAnsiTheme="majorHAnsi" w:cs="Arial"/>
          <w:sz w:val="24"/>
          <w:szCs w:val="24"/>
        </w:rPr>
      </w:pPr>
    </w:p>
    <w:p w:rsidR="00093D91" w:rsidRPr="009272BB" w:rsidRDefault="00093D91" w:rsidP="009272BB">
      <w:pPr>
        <w:spacing w:after="0" w:line="240" w:lineRule="auto"/>
        <w:jc w:val="both"/>
        <w:rPr>
          <w:rFonts w:asciiTheme="majorHAnsi" w:eastAsia="Arial" w:hAnsiTheme="majorHAnsi" w:cs="Arial"/>
          <w:sz w:val="24"/>
          <w:szCs w:val="24"/>
        </w:rPr>
      </w:pPr>
      <w:proofErr w:type="gramStart"/>
      <w:r w:rsidRPr="009272BB">
        <w:rPr>
          <w:rFonts w:asciiTheme="majorHAnsi" w:eastAsia="Arial" w:hAnsiTheme="majorHAnsi" w:cs="Arial"/>
          <w:b/>
          <w:sz w:val="24"/>
          <w:szCs w:val="24"/>
        </w:rPr>
        <w:t>QUINTO.-</w:t>
      </w:r>
      <w:proofErr w:type="gramEnd"/>
      <w:r w:rsidRPr="009272BB">
        <w:rPr>
          <w:rFonts w:asciiTheme="majorHAnsi" w:eastAsia="Arial" w:hAnsiTheme="majorHAnsi" w:cs="Arial"/>
          <w:b/>
          <w:sz w:val="24"/>
          <w:szCs w:val="24"/>
        </w:rPr>
        <w:t xml:space="preserve"> </w:t>
      </w:r>
      <w:r w:rsidRPr="009272BB">
        <w:rPr>
          <w:rFonts w:asciiTheme="majorHAnsi" w:eastAsia="Arial" w:hAnsiTheme="majorHAnsi" w:cs="Arial"/>
          <w:sz w:val="24"/>
          <w:szCs w:val="24"/>
        </w:rPr>
        <w:t>Cúmplase.</w:t>
      </w:r>
    </w:p>
    <w:tbl>
      <w:tblPr>
        <w:tblW w:w="9113" w:type="dxa"/>
        <w:tblLook w:val="04A0" w:firstRow="1" w:lastRow="0" w:firstColumn="1" w:lastColumn="0" w:noHBand="0" w:noVBand="1"/>
      </w:tblPr>
      <w:tblGrid>
        <w:gridCol w:w="4556"/>
        <w:gridCol w:w="4557"/>
      </w:tblGrid>
      <w:tr w:rsidR="0044045B" w:rsidRPr="009272BB" w:rsidTr="00F45E78">
        <w:trPr>
          <w:trHeight w:val="1946"/>
        </w:trPr>
        <w:tc>
          <w:tcPr>
            <w:tcW w:w="9113" w:type="dxa"/>
            <w:gridSpan w:val="2"/>
            <w:shd w:val="clear" w:color="auto" w:fill="auto"/>
          </w:tcPr>
          <w:p w:rsidR="0044045B" w:rsidRPr="009272BB" w:rsidRDefault="0044045B" w:rsidP="009272BB">
            <w:pPr>
              <w:spacing w:after="0" w:line="240" w:lineRule="auto"/>
              <w:rPr>
                <w:rFonts w:asciiTheme="majorHAnsi" w:hAnsiTheme="majorHAnsi" w:cs="Arial"/>
                <w:b/>
                <w:sz w:val="24"/>
                <w:szCs w:val="24"/>
              </w:rPr>
            </w:pPr>
          </w:p>
          <w:p w:rsidR="00D76338" w:rsidRPr="009272BB" w:rsidRDefault="00D76338" w:rsidP="009272BB">
            <w:pPr>
              <w:spacing w:after="0" w:line="240" w:lineRule="auto"/>
              <w:rPr>
                <w:rFonts w:asciiTheme="majorHAnsi" w:hAnsiTheme="majorHAnsi" w:cs="Arial"/>
                <w:b/>
                <w:sz w:val="24"/>
                <w:szCs w:val="24"/>
              </w:rPr>
            </w:pPr>
          </w:p>
          <w:p w:rsidR="00D76338" w:rsidRPr="009272BB" w:rsidRDefault="00D76338" w:rsidP="009272BB">
            <w:pPr>
              <w:spacing w:after="0" w:line="240" w:lineRule="auto"/>
              <w:rPr>
                <w:rFonts w:asciiTheme="majorHAnsi" w:hAnsiTheme="majorHAnsi" w:cs="Arial"/>
                <w:b/>
                <w:sz w:val="24"/>
                <w:szCs w:val="24"/>
              </w:rPr>
            </w:pPr>
          </w:p>
          <w:p w:rsidR="0044045B" w:rsidRPr="009272BB" w:rsidRDefault="0044045B" w:rsidP="009272BB">
            <w:pPr>
              <w:spacing w:after="0" w:line="240" w:lineRule="auto"/>
              <w:jc w:val="center"/>
              <w:rPr>
                <w:rFonts w:asciiTheme="majorHAnsi" w:hAnsiTheme="majorHAnsi" w:cs="Arial"/>
                <w:b/>
                <w:sz w:val="24"/>
                <w:szCs w:val="24"/>
              </w:rPr>
            </w:pPr>
          </w:p>
          <w:p w:rsidR="0044045B" w:rsidRPr="009272BB" w:rsidRDefault="0044045B" w:rsidP="009272BB">
            <w:pPr>
              <w:spacing w:after="0" w:line="240" w:lineRule="auto"/>
              <w:jc w:val="center"/>
              <w:rPr>
                <w:rFonts w:asciiTheme="majorHAnsi" w:hAnsiTheme="majorHAnsi" w:cs="Arial"/>
                <w:b/>
                <w:bCs/>
                <w:sz w:val="24"/>
                <w:szCs w:val="24"/>
              </w:rPr>
            </w:pPr>
          </w:p>
          <w:p w:rsidR="0044045B" w:rsidRPr="009272BB" w:rsidRDefault="0044045B" w:rsidP="009272BB">
            <w:pPr>
              <w:spacing w:after="0" w:line="240" w:lineRule="auto"/>
              <w:jc w:val="center"/>
              <w:rPr>
                <w:rFonts w:asciiTheme="majorHAnsi" w:hAnsiTheme="majorHAnsi" w:cs="Arial"/>
                <w:b/>
                <w:bCs/>
                <w:sz w:val="24"/>
                <w:szCs w:val="24"/>
              </w:rPr>
            </w:pPr>
          </w:p>
          <w:p w:rsidR="0044045B" w:rsidRPr="009272BB" w:rsidRDefault="0044045B" w:rsidP="009272BB">
            <w:pPr>
              <w:spacing w:after="0" w:line="240" w:lineRule="auto"/>
              <w:jc w:val="center"/>
              <w:rPr>
                <w:rFonts w:asciiTheme="majorHAnsi" w:hAnsiTheme="majorHAnsi" w:cs="Arial"/>
                <w:b/>
                <w:bCs/>
                <w:sz w:val="24"/>
                <w:szCs w:val="24"/>
              </w:rPr>
            </w:pPr>
            <w:r w:rsidRPr="009272BB">
              <w:rPr>
                <w:rFonts w:asciiTheme="majorHAnsi" w:hAnsiTheme="majorHAnsi" w:cs="Arial"/>
                <w:b/>
                <w:bCs/>
                <w:sz w:val="24"/>
                <w:szCs w:val="24"/>
              </w:rPr>
              <w:t>LICDA. SUSANA AGUILAR COVARRUBIAS</w:t>
            </w:r>
          </w:p>
          <w:p w:rsidR="0044045B" w:rsidRPr="009272BB" w:rsidRDefault="0044045B" w:rsidP="009272BB">
            <w:pPr>
              <w:spacing w:after="0" w:line="240" w:lineRule="auto"/>
              <w:jc w:val="center"/>
              <w:rPr>
                <w:rFonts w:asciiTheme="majorHAnsi" w:hAnsiTheme="majorHAnsi" w:cs="Arial"/>
                <w:b/>
                <w:sz w:val="24"/>
                <w:szCs w:val="24"/>
              </w:rPr>
            </w:pPr>
            <w:r w:rsidRPr="009272BB">
              <w:rPr>
                <w:rFonts w:asciiTheme="majorHAnsi" w:hAnsiTheme="majorHAnsi" w:cs="Arial"/>
                <w:b/>
                <w:sz w:val="24"/>
                <w:szCs w:val="24"/>
              </w:rPr>
              <w:t>COMISIONADA PRESIDENTA</w:t>
            </w:r>
          </w:p>
        </w:tc>
      </w:tr>
      <w:tr w:rsidR="0044045B" w:rsidRPr="009272BB" w:rsidTr="00093D91">
        <w:trPr>
          <w:trHeight w:val="2268"/>
        </w:trPr>
        <w:tc>
          <w:tcPr>
            <w:tcW w:w="4556" w:type="dxa"/>
            <w:shd w:val="clear" w:color="auto" w:fill="auto"/>
          </w:tcPr>
          <w:p w:rsidR="0044045B" w:rsidRPr="009272BB" w:rsidRDefault="0044045B" w:rsidP="009272BB">
            <w:pPr>
              <w:spacing w:after="0" w:line="240" w:lineRule="auto"/>
              <w:jc w:val="center"/>
              <w:rPr>
                <w:rFonts w:asciiTheme="majorHAnsi" w:hAnsiTheme="majorHAnsi" w:cs="Arial"/>
                <w:b/>
                <w:bCs/>
                <w:sz w:val="24"/>
                <w:szCs w:val="24"/>
              </w:rPr>
            </w:pPr>
          </w:p>
          <w:p w:rsidR="0044045B" w:rsidRPr="009272BB" w:rsidRDefault="0044045B" w:rsidP="009272BB">
            <w:pPr>
              <w:spacing w:after="0" w:line="240" w:lineRule="auto"/>
              <w:jc w:val="center"/>
              <w:rPr>
                <w:rFonts w:asciiTheme="majorHAnsi" w:hAnsiTheme="majorHAnsi" w:cs="Arial"/>
                <w:b/>
                <w:bCs/>
                <w:sz w:val="24"/>
                <w:szCs w:val="24"/>
              </w:rPr>
            </w:pPr>
          </w:p>
          <w:p w:rsidR="00D76338" w:rsidRPr="009272BB" w:rsidRDefault="00D76338" w:rsidP="009272BB">
            <w:pPr>
              <w:spacing w:after="0" w:line="240" w:lineRule="auto"/>
              <w:jc w:val="center"/>
              <w:rPr>
                <w:rFonts w:asciiTheme="majorHAnsi" w:hAnsiTheme="majorHAnsi" w:cs="Arial"/>
                <w:b/>
                <w:bCs/>
                <w:sz w:val="24"/>
                <w:szCs w:val="24"/>
              </w:rPr>
            </w:pPr>
          </w:p>
          <w:p w:rsidR="0044045B" w:rsidRPr="009272BB" w:rsidRDefault="0044045B" w:rsidP="009272BB">
            <w:pPr>
              <w:spacing w:after="0" w:line="240" w:lineRule="auto"/>
              <w:jc w:val="center"/>
              <w:rPr>
                <w:rFonts w:asciiTheme="majorHAnsi" w:hAnsiTheme="majorHAnsi" w:cs="Arial"/>
                <w:b/>
                <w:bCs/>
                <w:sz w:val="24"/>
                <w:szCs w:val="24"/>
              </w:rPr>
            </w:pPr>
          </w:p>
          <w:p w:rsidR="00AD126B" w:rsidRPr="009272BB" w:rsidRDefault="00AD126B" w:rsidP="009272BB">
            <w:pPr>
              <w:spacing w:after="0" w:line="240" w:lineRule="auto"/>
              <w:jc w:val="center"/>
              <w:rPr>
                <w:rFonts w:asciiTheme="majorHAnsi" w:hAnsiTheme="majorHAnsi" w:cs="Arial"/>
                <w:b/>
                <w:bCs/>
                <w:sz w:val="24"/>
                <w:szCs w:val="24"/>
              </w:rPr>
            </w:pPr>
          </w:p>
          <w:p w:rsidR="0044045B" w:rsidRPr="009272BB" w:rsidRDefault="0044045B" w:rsidP="009272BB">
            <w:pPr>
              <w:spacing w:after="0" w:line="240" w:lineRule="auto"/>
              <w:rPr>
                <w:rFonts w:asciiTheme="majorHAnsi" w:hAnsiTheme="majorHAnsi" w:cs="Arial"/>
                <w:b/>
                <w:bCs/>
                <w:sz w:val="24"/>
                <w:szCs w:val="24"/>
              </w:rPr>
            </w:pPr>
            <w:r w:rsidRPr="009272BB">
              <w:rPr>
                <w:rFonts w:asciiTheme="majorHAnsi" w:hAnsiTheme="majorHAnsi" w:cs="Arial"/>
                <w:b/>
                <w:bCs/>
                <w:sz w:val="24"/>
                <w:szCs w:val="24"/>
              </w:rPr>
              <w:t>LICDA. MARÍA EUGENIA SANSORES RUZ</w:t>
            </w:r>
          </w:p>
          <w:p w:rsidR="0044045B" w:rsidRPr="009272BB" w:rsidRDefault="0044045B" w:rsidP="009272BB">
            <w:pPr>
              <w:spacing w:after="0" w:line="240" w:lineRule="auto"/>
              <w:jc w:val="center"/>
              <w:rPr>
                <w:rFonts w:asciiTheme="majorHAnsi" w:hAnsiTheme="majorHAnsi" w:cs="Arial"/>
                <w:b/>
                <w:sz w:val="24"/>
                <w:szCs w:val="24"/>
              </w:rPr>
            </w:pPr>
            <w:r w:rsidRPr="009272BB">
              <w:rPr>
                <w:rFonts w:asciiTheme="majorHAnsi" w:hAnsiTheme="majorHAnsi" w:cs="Arial"/>
                <w:b/>
                <w:bCs/>
                <w:sz w:val="24"/>
                <w:szCs w:val="24"/>
              </w:rPr>
              <w:t>COMISIONADA</w:t>
            </w:r>
          </w:p>
        </w:tc>
        <w:tc>
          <w:tcPr>
            <w:tcW w:w="4557" w:type="dxa"/>
            <w:shd w:val="clear" w:color="auto" w:fill="auto"/>
          </w:tcPr>
          <w:p w:rsidR="0044045B" w:rsidRPr="009272BB" w:rsidRDefault="0044045B" w:rsidP="009272BB">
            <w:pPr>
              <w:spacing w:after="0" w:line="240" w:lineRule="auto"/>
              <w:jc w:val="center"/>
              <w:rPr>
                <w:rFonts w:asciiTheme="majorHAnsi" w:hAnsiTheme="majorHAnsi" w:cs="Arial"/>
                <w:b/>
                <w:bCs/>
                <w:sz w:val="24"/>
                <w:szCs w:val="24"/>
              </w:rPr>
            </w:pPr>
          </w:p>
          <w:p w:rsidR="0044045B" w:rsidRPr="009272BB" w:rsidRDefault="0044045B" w:rsidP="009272BB">
            <w:pPr>
              <w:spacing w:after="0" w:line="240" w:lineRule="auto"/>
              <w:jc w:val="center"/>
              <w:rPr>
                <w:rFonts w:asciiTheme="majorHAnsi" w:hAnsiTheme="majorHAnsi" w:cs="Arial"/>
                <w:b/>
                <w:bCs/>
                <w:sz w:val="24"/>
                <w:szCs w:val="24"/>
              </w:rPr>
            </w:pPr>
          </w:p>
          <w:p w:rsidR="0044045B" w:rsidRPr="009272BB" w:rsidRDefault="0044045B" w:rsidP="009272BB">
            <w:pPr>
              <w:spacing w:after="0" w:line="240" w:lineRule="auto"/>
              <w:jc w:val="center"/>
              <w:rPr>
                <w:rFonts w:asciiTheme="majorHAnsi" w:hAnsiTheme="majorHAnsi" w:cs="Arial"/>
                <w:b/>
                <w:bCs/>
                <w:sz w:val="24"/>
                <w:szCs w:val="24"/>
              </w:rPr>
            </w:pPr>
          </w:p>
          <w:p w:rsidR="00AD126B" w:rsidRPr="009272BB" w:rsidRDefault="00AD126B" w:rsidP="009272BB">
            <w:pPr>
              <w:spacing w:after="0" w:line="240" w:lineRule="auto"/>
              <w:jc w:val="center"/>
              <w:rPr>
                <w:rFonts w:asciiTheme="majorHAnsi" w:hAnsiTheme="majorHAnsi" w:cs="Arial"/>
                <w:b/>
                <w:bCs/>
                <w:sz w:val="24"/>
                <w:szCs w:val="24"/>
              </w:rPr>
            </w:pPr>
          </w:p>
          <w:p w:rsidR="00D76338" w:rsidRPr="009272BB" w:rsidRDefault="00D76338" w:rsidP="009272BB">
            <w:pPr>
              <w:spacing w:after="0" w:line="240" w:lineRule="auto"/>
              <w:jc w:val="center"/>
              <w:rPr>
                <w:rFonts w:asciiTheme="majorHAnsi" w:hAnsiTheme="majorHAnsi" w:cs="Arial"/>
                <w:b/>
                <w:bCs/>
                <w:sz w:val="24"/>
                <w:szCs w:val="24"/>
              </w:rPr>
            </w:pPr>
          </w:p>
          <w:p w:rsidR="0044045B" w:rsidRPr="009272BB" w:rsidRDefault="0044045B" w:rsidP="009272BB">
            <w:pPr>
              <w:spacing w:after="0" w:line="240" w:lineRule="auto"/>
              <w:jc w:val="center"/>
              <w:rPr>
                <w:rFonts w:asciiTheme="majorHAnsi" w:hAnsiTheme="majorHAnsi" w:cs="Arial"/>
                <w:b/>
                <w:sz w:val="24"/>
                <w:szCs w:val="24"/>
              </w:rPr>
            </w:pPr>
            <w:r w:rsidRPr="009272BB">
              <w:rPr>
                <w:rFonts w:asciiTheme="majorHAnsi" w:hAnsiTheme="majorHAnsi" w:cs="Arial"/>
                <w:b/>
                <w:sz w:val="24"/>
                <w:szCs w:val="24"/>
              </w:rPr>
              <w:t>LIC. ALDRIN MARTÍN BRICEÑO CONRADO</w:t>
            </w:r>
          </w:p>
          <w:p w:rsidR="0044045B" w:rsidRPr="009272BB" w:rsidRDefault="0044045B" w:rsidP="009272BB">
            <w:pPr>
              <w:spacing w:after="0" w:line="240" w:lineRule="auto"/>
              <w:jc w:val="center"/>
              <w:rPr>
                <w:rFonts w:asciiTheme="majorHAnsi" w:hAnsiTheme="majorHAnsi" w:cs="Arial"/>
                <w:b/>
                <w:sz w:val="24"/>
                <w:szCs w:val="24"/>
              </w:rPr>
            </w:pPr>
            <w:r w:rsidRPr="009272BB">
              <w:rPr>
                <w:rFonts w:asciiTheme="majorHAnsi" w:hAnsiTheme="majorHAnsi" w:cs="Arial"/>
                <w:b/>
                <w:bCs/>
                <w:sz w:val="24"/>
                <w:szCs w:val="24"/>
              </w:rPr>
              <w:t>COMISIONADO</w:t>
            </w:r>
          </w:p>
        </w:tc>
      </w:tr>
    </w:tbl>
    <w:p w:rsidR="008A416E" w:rsidRPr="009272BB" w:rsidRDefault="008A416E" w:rsidP="009272BB">
      <w:pPr>
        <w:spacing w:after="0" w:line="240" w:lineRule="auto"/>
        <w:rPr>
          <w:rFonts w:asciiTheme="majorHAnsi" w:hAnsiTheme="majorHAnsi"/>
          <w:b/>
          <w:sz w:val="24"/>
          <w:szCs w:val="24"/>
        </w:rPr>
      </w:pPr>
    </w:p>
    <w:sectPr w:rsidR="008A416E" w:rsidRPr="009272BB" w:rsidSect="00930275">
      <w:headerReference w:type="default" r:id="rId8"/>
      <w:footerReference w:type="default" r:id="rId9"/>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329" w:rsidRDefault="00247329">
      <w:pPr>
        <w:spacing w:after="0" w:line="240" w:lineRule="auto"/>
      </w:pPr>
      <w:r>
        <w:separator/>
      </w:r>
    </w:p>
  </w:endnote>
  <w:endnote w:type="continuationSeparator" w:id="0">
    <w:p w:rsidR="00247329" w:rsidRDefault="0024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023280"/>
      <w:docPartObj>
        <w:docPartGallery w:val="Page Numbers (Bottom of Page)"/>
        <w:docPartUnique/>
      </w:docPartObj>
    </w:sdtPr>
    <w:sdtEndPr/>
    <w:sdtContent>
      <w:p w:rsidR="001F33B6" w:rsidRDefault="002D4ABB">
        <w:pPr>
          <w:pStyle w:val="Piedepgina"/>
          <w:jc w:val="right"/>
        </w:pPr>
        <w:r>
          <w:fldChar w:fldCharType="begin"/>
        </w:r>
        <w:r w:rsidR="001F33B6">
          <w:instrText xml:space="preserve"> PAGE   \* MERGEFORMAT </w:instrText>
        </w:r>
        <w:r>
          <w:fldChar w:fldCharType="separate"/>
        </w:r>
        <w:r w:rsidR="00A74139">
          <w:rPr>
            <w:noProof/>
          </w:rPr>
          <w:t>5</w:t>
        </w:r>
        <w:r>
          <w:rPr>
            <w:noProof/>
          </w:rPr>
          <w:fldChar w:fldCharType="end"/>
        </w:r>
      </w:p>
    </w:sdtContent>
  </w:sdt>
  <w:p w:rsidR="001F33B6" w:rsidRDefault="001F33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329" w:rsidRDefault="00247329">
      <w:pPr>
        <w:spacing w:after="0" w:line="240" w:lineRule="auto"/>
      </w:pPr>
      <w:r>
        <w:separator/>
      </w:r>
    </w:p>
  </w:footnote>
  <w:footnote w:type="continuationSeparator" w:id="0">
    <w:p w:rsidR="00247329" w:rsidRDefault="00247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3B6" w:rsidRDefault="001F33B6">
    <w:pPr>
      <w:pStyle w:val="Encabezado"/>
    </w:pPr>
    <w:r>
      <w:rPr>
        <w:noProof/>
        <w:lang w:eastAsia="es-MX"/>
      </w:rPr>
      <w:drawing>
        <wp:inline distT="0" distB="0" distL="0" distR="0">
          <wp:extent cx="5612130" cy="9442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1F33B6" w:rsidRDefault="001F33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4"/>
  </w:num>
  <w:num w:numId="3">
    <w:abstractNumId w:val="18"/>
  </w:num>
  <w:num w:numId="4">
    <w:abstractNumId w:val="15"/>
  </w:num>
  <w:num w:numId="5">
    <w:abstractNumId w:val="0"/>
  </w:num>
  <w:num w:numId="6">
    <w:abstractNumId w:val="13"/>
  </w:num>
  <w:num w:numId="7">
    <w:abstractNumId w:val="6"/>
  </w:num>
  <w:num w:numId="8">
    <w:abstractNumId w:val="4"/>
  </w:num>
  <w:num w:numId="9">
    <w:abstractNumId w:val="1"/>
  </w:num>
  <w:num w:numId="10">
    <w:abstractNumId w:val="5"/>
  </w:num>
  <w:num w:numId="11">
    <w:abstractNumId w:val="10"/>
  </w:num>
  <w:num w:numId="12">
    <w:abstractNumId w:val="2"/>
  </w:num>
  <w:num w:numId="13">
    <w:abstractNumId w:val="3"/>
  </w:num>
  <w:num w:numId="14">
    <w:abstractNumId w:val="8"/>
  </w:num>
  <w:num w:numId="15">
    <w:abstractNumId w:val="9"/>
  </w:num>
  <w:num w:numId="16">
    <w:abstractNumId w:val="7"/>
  </w:num>
  <w:num w:numId="17">
    <w:abstractNumId w:val="17"/>
  </w:num>
  <w:num w:numId="18">
    <w:abstractNumId w:val="16"/>
  </w:num>
  <w:num w:numId="19">
    <w:abstractNumId w:val="21"/>
  </w:num>
  <w:num w:numId="20">
    <w:abstractNumId w:val="20"/>
  </w:num>
  <w:num w:numId="21">
    <w:abstractNumId w:val="1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77"/>
    <w:rsid w:val="000009B1"/>
    <w:rsid w:val="00001852"/>
    <w:rsid w:val="00004EDF"/>
    <w:rsid w:val="000071D7"/>
    <w:rsid w:val="00017BA6"/>
    <w:rsid w:val="00020AD8"/>
    <w:rsid w:val="0002140A"/>
    <w:rsid w:val="000215CF"/>
    <w:rsid w:val="000276BF"/>
    <w:rsid w:val="000317AB"/>
    <w:rsid w:val="00031A83"/>
    <w:rsid w:val="000321FA"/>
    <w:rsid w:val="0003291C"/>
    <w:rsid w:val="000340E5"/>
    <w:rsid w:val="000414AD"/>
    <w:rsid w:val="0004201C"/>
    <w:rsid w:val="000454BF"/>
    <w:rsid w:val="000479CD"/>
    <w:rsid w:val="000540BD"/>
    <w:rsid w:val="0005547B"/>
    <w:rsid w:val="000561A7"/>
    <w:rsid w:val="000662BB"/>
    <w:rsid w:val="00067719"/>
    <w:rsid w:val="000756D6"/>
    <w:rsid w:val="00075EBF"/>
    <w:rsid w:val="00076E71"/>
    <w:rsid w:val="00081527"/>
    <w:rsid w:val="00084179"/>
    <w:rsid w:val="00084E1D"/>
    <w:rsid w:val="00085008"/>
    <w:rsid w:val="000919AC"/>
    <w:rsid w:val="000925B9"/>
    <w:rsid w:val="0009262C"/>
    <w:rsid w:val="00092C59"/>
    <w:rsid w:val="00092FC7"/>
    <w:rsid w:val="00093D91"/>
    <w:rsid w:val="000962B8"/>
    <w:rsid w:val="000977A4"/>
    <w:rsid w:val="000A1022"/>
    <w:rsid w:val="000A1C54"/>
    <w:rsid w:val="000A32F2"/>
    <w:rsid w:val="000B048A"/>
    <w:rsid w:val="000B13A0"/>
    <w:rsid w:val="000B250F"/>
    <w:rsid w:val="000B290E"/>
    <w:rsid w:val="000B2C6B"/>
    <w:rsid w:val="000B6899"/>
    <w:rsid w:val="000B69C8"/>
    <w:rsid w:val="000C04E5"/>
    <w:rsid w:val="000D1CA5"/>
    <w:rsid w:val="000D1D47"/>
    <w:rsid w:val="000D3188"/>
    <w:rsid w:val="000E1784"/>
    <w:rsid w:val="000E456D"/>
    <w:rsid w:val="000E467C"/>
    <w:rsid w:val="000E6D6D"/>
    <w:rsid w:val="000E7B9F"/>
    <w:rsid w:val="000F0C05"/>
    <w:rsid w:val="000F4D33"/>
    <w:rsid w:val="00103D9E"/>
    <w:rsid w:val="0010693C"/>
    <w:rsid w:val="00107390"/>
    <w:rsid w:val="001109EE"/>
    <w:rsid w:val="00114868"/>
    <w:rsid w:val="001158E2"/>
    <w:rsid w:val="001160AC"/>
    <w:rsid w:val="00116522"/>
    <w:rsid w:val="00116E3B"/>
    <w:rsid w:val="0011797E"/>
    <w:rsid w:val="00121A35"/>
    <w:rsid w:val="00125F69"/>
    <w:rsid w:val="00126C25"/>
    <w:rsid w:val="0013214A"/>
    <w:rsid w:val="001433DD"/>
    <w:rsid w:val="00144A0F"/>
    <w:rsid w:val="001458E2"/>
    <w:rsid w:val="00146FC7"/>
    <w:rsid w:val="0015074F"/>
    <w:rsid w:val="00150B8D"/>
    <w:rsid w:val="00152A49"/>
    <w:rsid w:val="0015307D"/>
    <w:rsid w:val="001556BA"/>
    <w:rsid w:val="00157959"/>
    <w:rsid w:val="0016053B"/>
    <w:rsid w:val="00161514"/>
    <w:rsid w:val="00163E09"/>
    <w:rsid w:val="001744A7"/>
    <w:rsid w:val="00176082"/>
    <w:rsid w:val="001809D9"/>
    <w:rsid w:val="00181101"/>
    <w:rsid w:val="00192E51"/>
    <w:rsid w:val="001971EB"/>
    <w:rsid w:val="001A0F52"/>
    <w:rsid w:val="001A3D76"/>
    <w:rsid w:val="001A5928"/>
    <w:rsid w:val="001A6B69"/>
    <w:rsid w:val="001B2453"/>
    <w:rsid w:val="001B378D"/>
    <w:rsid w:val="001B5885"/>
    <w:rsid w:val="001B68B0"/>
    <w:rsid w:val="001B6F56"/>
    <w:rsid w:val="001C0596"/>
    <w:rsid w:val="001C6ACA"/>
    <w:rsid w:val="001C78FF"/>
    <w:rsid w:val="001C7C21"/>
    <w:rsid w:val="001D03B8"/>
    <w:rsid w:val="001D15AC"/>
    <w:rsid w:val="001D1C90"/>
    <w:rsid w:val="001D2BBE"/>
    <w:rsid w:val="001D39D3"/>
    <w:rsid w:val="001D4329"/>
    <w:rsid w:val="001D7085"/>
    <w:rsid w:val="001E4551"/>
    <w:rsid w:val="001E49FE"/>
    <w:rsid w:val="001E7478"/>
    <w:rsid w:val="001F06C3"/>
    <w:rsid w:val="001F2821"/>
    <w:rsid w:val="001F33B6"/>
    <w:rsid w:val="001F4541"/>
    <w:rsid w:val="00202AE1"/>
    <w:rsid w:val="0020546F"/>
    <w:rsid w:val="00214F0A"/>
    <w:rsid w:val="00215EFA"/>
    <w:rsid w:val="00216830"/>
    <w:rsid w:val="002259C5"/>
    <w:rsid w:val="002320DA"/>
    <w:rsid w:val="002347F1"/>
    <w:rsid w:val="00234D8D"/>
    <w:rsid w:val="002413D1"/>
    <w:rsid w:val="00242D91"/>
    <w:rsid w:val="00244A84"/>
    <w:rsid w:val="00247329"/>
    <w:rsid w:val="00253E8D"/>
    <w:rsid w:val="002601A3"/>
    <w:rsid w:val="0026020B"/>
    <w:rsid w:val="00260D66"/>
    <w:rsid w:val="0026202F"/>
    <w:rsid w:val="00263828"/>
    <w:rsid w:val="00266580"/>
    <w:rsid w:val="0026712D"/>
    <w:rsid w:val="00267257"/>
    <w:rsid w:val="002747FA"/>
    <w:rsid w:val="0028142D"/>
    <w:rsid w:val="002847A4"/>
    <w:rsid w:val="00284F58"/>
    <w:rsid w:val="0028747C"/>
    <w:rsid w:val="002918D2"/>
    <w:rsid w:val="00296FB5"/>
    <w:rsid w:val="002A0AC3"/>
    <w:rsid w:val="002A16A1"/>
    <w:rsid w:val="002A2785"/>
    <w:rsid w:val="002A74C9"/>
    <w:rsid w:val="002B2251"/>
    <w:rsid w:val="002B4AAB"/>
    <w:rsid w:val="002B5977"/>
    <w:rsid w:val="002B6C6E"/>
    <w:rsid w:val="002B704F"/>
    <w:rsid w:val="002B73D4"/>
    <w:rsid w:val="002C4F4E"/>
    <w:rsid w:val="002C5689"/>
    <w:rsid w:val="002D0BD5"/>
    <w:rsid w:val="002D29A8"/>
    <w:rsid w:val="002D2E32"/>
    <w:rsid w:val="002D302B"/>
    <w:rsid w:val="002D4ABB"/>
    <w:rsid w:val="002D7C64"/>
    <w:rsid w:val="002D7D33"/>
    <w:rsid w:val="002E0491"/>
    <w:rsid w:val="002E676C"/>
    <w:rsid w:val="002F09D7"/>
    <w:rsid w:val="002F1209"/>
    <w:rsid w:val="002F25C1"/>
    <w:rsid w:val="002F3F50"/>
    <w:rsid w:val="002F5CDD"/>
    <w:rsid w:val="002F6F97"/>
    <w:rsid w:val="002F757D"/>
    <w:rsid w:val="002F78C8"/>
    <w:rsid w:val="002F7989"/>
    <w:rsid w:val="00300372"/>
    <w:rsid w:val="003010A0"/>
    <w:rsid w:val="003025F9"/>
    <w:rsid w:val="003162C9"/>
    <w:rsid w:val="003164A3"/>
    <w:rsid w:val="003209F0"/>
    <w:rsid w:val="00330A4A"/>
    <w:rsid w:val="0033618C"/>
    <w:rsid w:val="00340D7B"/>
    <w:rsid w:val="003516E9"/>
    <w:rsid w:val="00351DD9"/>
    <w:rsid w:val="0035215C"/>
    <w:rsid w:val="00354281"/>
    <w:rsid w:val="00367B19"/>
    <w:rsid w:val="003714F8"/>
    <w:rsid w:val="003730AC"/>
    <w:rsid w:val="00373F25"/>
    <w:rsid w:val="003816E8"/>
    <w:rsid w:val="00390694"/>
    <w:rsid w:val="0039456A"/>
    <w:rsid w:val="003A01CC"/>
    <w:rsid w:val="003A0AF3"/>
    <w:rsid w:val="003A2131"/>
    <w:rsid w:val="003A51BF"/>
    <w:rsid w:val="003A6170"/>
    <w:rsid w:val="003A6412"/>
    <w:rsid w:val="003A780D"/>
    <w:rsid w:val="003A7A47"/>
    <w:rsid w:val="003A7F4D"/>
    <w:rsid w:val="003B008B"/>
    <w:rsid w:val="003B243D"/>
    <w:rsid w:val="003B2AC9"/>
    <w:rsid w:val="003B5FE4"/>
    <w:rsid w:val="003C29B3"/>
    <w:rsid w:val="003C2E39"/>
    <w:rsid w:val="003C457B"/>
    <w:rsid w:val="003C473D"/>
    <w:rsid w:val="003D3DAD"/>
    <w:rsid w:val="003D602D"/>
    <w:rsid w:val="003E06C3"/>
    <w:rsid w:val="003E1729"/>
    <w:rsid w:val="003E1956"/>
    <w:rsid w:val="003E417F"/>
    <w:rsid w:val="003E6DEA"/>
    <w:rsid w:val="003E7A6E"/>
    <w:rsid w:val="003E7C2B"/>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7B53"/>
    <w:rsid w:val="004215DC"/>
    <w:rsid w:val="0042185C"/>
    <w:rsid w:val="00422341"/>
    <w:rsid w:val="00423747"/>
    <w:rsid w:val="004254F3"/>
    <w:rsid w:val="00426A12"/>
    <w:rsid w:val="00432D76"/>
    <w:rsid w:val="0044045B"/>
    <w:rsid w:val="004516DC"/>
    <w:rsid w:val="004527E5"/>
    <w:rsid w:val="0045325F"/>
    <w:rsid w:val="00454513"/>
    <w:rsid w:val="0046034C"/>
    <w:rsid w:val="004607DB"/>
    <w:rsid w:val="0046176A"/>
    <w:rsid w:val="004634F1"/>
    <w:rsid w:val="00466359"/>
    <w:rsid w:val="00466C12"/>
    <w:rsid w:val="004704D3"/>
    <w:rsid w:val="00474CE3"/>
    <w:rsid w:val="004755A1"/>
    <w:rsid w:val="00480FE1"/>
    <w:rsid w:val="00482ABC"/>
    <w:rsid w:val="004838F7"/>
    <w:rsid w:val="00487907"/>
    <w:rsid w:val="00490AE1"/>
    <w:rsid w:val="004952DE"/>
    <w:rsid w:val="004A00AB"/>
    <w:rsid w:val="004A0293"/>
    <w:rsid w:val="004A1E30"/>
    <w:rsid w:val="004A40A8"/>
    <w:rsid w:val="004A493A"/>
    <w:rsid w:val="004B2313"/>
    <w:rsid w:val="004B5713"/>
    <w:rsid w:val="004B5F8E"/>
    <w:rsid w:val="004B709E"/>
    <w:rsid w:val="004C4C5D"/>
    <w:rsid w:val="004D012A"/>
    <w:rsid w:val="004D1FE1"/>
    <w:rsid w:val="004D287E"/>
    <w:rsid w:val="004E1AB3"/>
    <w:rsid w:val="004E79E1"/>
    <w:rsid w:val="004F4FE2"/>
    <w:rsid w:val="004F59ED"/>
    <w:rsid w:val="004F6C82"/>
    <w:rsid w:val="004F75B6"/>
    <w:rsid w:val="005060B8"/>
    <w:rsid w:val="0050662C"/>
    <w:rsid w:val="00507203"/>
    <w:rsid w:val="005073CE"/>
    <w:rsid w:val="00510DA9"/>
    <w:rsid w:val="00526642"/>
    <w:rsid w:val="00530A72"/>
    <w:rsid w:val="0053148D"/>
    <w:rsid w:val="00534718"/>
    <w:rsid w:val="005453F5"/>
    <w:rsid w:val="00545E0A"/>
    <w:rsid w:val="00546A08"/>
    <w:rsid w:val="00551F8B"/>
    <w:rsid w:val="00556E42"/>
    <w:rsid w:val="005604F7"/>
    <w:rsid w:val="005611FC"/>
    <w:rsid w:val="00561738"/>
    <w:rsid w:val="00561D42"/>
    <w:rsid w:val="005700C1"/>
    <w:rsid w:val="00570CCA"/>
    <w:rsid w:val="00571BF6"/>
    <w:rsid w:val="005730BC"/>
    <w:rsid w:val="00574205"/>
    <w:rsid w:val="00580068"/>
    <w:rsid w:val="00580E0D"/>
    <w:rsid w:val="005821FD"/>
    <w:rsid w:val="00582AA2"/>
    <w:rsid w:val="00585098"/>
    <w:rsid w:val="00591107"/>
    <w:rsid w:val="005922BF"/>
    <w:rsid w:val="0059597A"/>
    <w:rsid w:val="00595FAB"/>
    <w:rsid w:val="005A01B3"/>
    <w:rsid w:val="005A3DF8"/>
    <w:rsid w:val="005A684A"/>
    <w:rsid w:val="005A7222"/>
    <w:rsid w:val="005B6A86"/>
    <w:rsid w:val="005B7F55"/>
    <w:rsid w:val="005C2EFA"/>
    <w:rsid w:val="005C41D3"/>
    <w:rsid w:val="005C5DD8"/>
    <w:rsid w:val="005D28AB"/>
    <w:rsid w:val="005D3932"/>
    <w:rsid w:val="005D42B8"/>
    <w:rsid w:val="005E18A4"/>
    <w:rsid w:val="005E19D8"/>
    <w:rsid w:val="005E34C6"/>
    <w:rsid w:val="005F0D74"/>
    <w:rsid w:val="005F2B71"/>
    <w:rsid w:val="005F3418"/>
    <w:rsid w:val="00601076"/>
    <w:rsid w:val="00602F1F"/>
    <w:rsid w:val="00604B18"/>
    <w:rsid w:val="00606985"/>
    <w:rsid w:val="00607338"/>
    <w:rsid w:val="006136C0"/>
    <w:rsid w:val="00614800"/>
    <w:rsid w:val="00614B14"/>
    <w:rsid w:val="006159DD"/>
    <w:rsid w:val="00620069"/>
    <w:rsid w:val="00621EB7"/>
    <w:rsid w:val="0062501A"/>
    <w:rsid w:val="006263B3"/>
    <w:rsid w:val="00627058"/>
    <w:rsid w:val="006307CC"/>
    <w:rsid w:val="006311FC"/>
    <w:rsid w:val="00635ED9"/>
    <w:rsid w:val="006455A2"/>
    <w:rsid w:val="00647639"/>
    <w:rsid w:val="006476EF"/>
    <w:rsid w:val="00657BBD"/>
    <w:rsid w:val="00660632"/>
    <w:rsid w:val="00670F83"/>
    <w:rsid w:val="00671C05"/>
    <w:rsid w:val="00673CCF"/>
    <w:rsid w:val="006772C5"/>
    <w:rsid w:val="00677D06"/>
    <w:rsid w:val="006806C4"/>
    <w:rsid w:val="0068252D"/>
    <w:rsid w:val="006848E0"/>
    <w:rsid w:val="0069163F"/>
    <w:rsid w:val="00691B34"/>
    <w:rsid w:val="006964B3"/>
    <w:rsid w:val="006967AC"/>
    <w:rsid w:val="006A1DB5"/>
    <w:rsid w:val="006A20CD"/>
    <w:rsid w:val="006A30CF"/>
    <w:rsid w:val="006A45B7"/>
    <w:rsid w:val="006A7BDA"/>
    <w:rsid w:val="006B2575"/>
    <w:rsid w:val="006B48DD"/>
    <w:rsid w:val="006C04EE"/>
    <w:rsid w:val="006C0633"/>
    <w:rsid w:val="006C3719"/>
    <w:rsid w:val="006C4DCC"/>
    <w:rsid w:val="006C5CC3"/>
    <w:rsid w:val="006C5E73"/>
    <w:rsid w:val="006C7288"/>
    <w:rsid w:val="006D20CC"/>
    <w:rsid w:val="006D290B"/>
    <w:rsid w:val="006E5411"/>
    <w:rsid w:val="006E7E8D"/>
    <w:rsid w:val="006F221C"/>
    <w:rsid w:val="006F2C34"/>
    <w:rsid w:val="006F3ACC"/>
    <w:rsid w:val="00701099"/>
    <w:rsid w:val="00702913"/>
    <w:rsid w:val="0070501E"/>
    <w:rsid w:val="00707A6A"/>
    <w:rsid w:val="0071286A"/>
    <w:rsid w:val="00715B0F"/>
    <w:rsid w:val="00716422"/>
    <w:rsid w:val="00722871"/>
    <w:rsid w:val="00722ACF"/>
    <w:rsid w:val="00723308"/>
    <w:rsid w:val="0072504F"/>
    <w:rsid w:val="0072670A"/>
    <w:rsid w:val="00730E67"/>
    <w:rsid w:val="00731529"/>
    <w:rsid w:val="00731F58"/>
    <w:rsid w:val="00732881"/>
    <w:rsid w:val="00732D45"/>
    <w:rsid w:val="00735D56"/>
    <w:rsid w:val="00735DE5"/>
    <w:rsid w:val="007369DF"/>
    <w:rsid w:val="00740DDF"/>
    <w:rsid w:val="00741171"/>
    <w:rsid w:val="00743B75"/>
    <w:rsid w:val="0074518D"/>
    <w:rsid w:val="007462A0"/>
    <w:rsid w:val="00747B21"/>
    <w:rsid w:val="00751012"/>
    <w:rsid w:val="00753969"/>
    <w:rsid w:val="0075493D"/>
    <w:rsid w:val="00762917"/>
    <w:rsid w:val="0076424F"/>
    <w:rsid w:val="00771E39"/>
    <w:rsid w:val="0077790E"/>
    <w:rsid w:val="0078249F"/>
    <w:rsid w:val="00783ADD"/>
    <w:rsid w:val="00790144"/>
    <w:rsid w:val="007922B9"/>
    <w:rsid w:val="007B00BD"/>
    <w:rsid w:val="007B1E58"/>
    <w:rsid w:val="007B6AFB"/>
    <w:rsid w:val="007C13DC"/>
    <w:rsid w:val="007C3054"/>
    <w:rsid w:val="007C38B1"/>
    <w:rsid w:val="007C5CCB"/>
    <w:rsid w:val="007D1CDD"/>
    <w:rsid w:val="007D5ACB"/>
    <w:rsid w:val="007D6BA5"/>
    <w:rsid w:val="007E0ACA"/>
    <w:rsid w:val="007E2638"/>
    <w:rsid w:val="007E27D0"/>
    <w:rsid w:val="007E37CC"/>
    <w:rsid w:val="007E6A9E"/>
    <w:rsid w:val="007E77DE"/>
    <w:rsid w:val="007E7ACF"/>
    <w:rsid w:val="007F0AD1"/>
    <w:rsid w:val="007F4425"/>
    <w:rsid w:val="007F5208"/>
    <w:rsid w:val="007F6B68"/>
    <w:rsid w:val="007F6D13"/>
    <w:rsid w:val="0080055D"/>
    <w:rsid w:val="00801827"/>
    <w:rsid w:val="00801979"/>
    <w:rsid w:val="008041E6"/>
    <w:rsid w:val="00807346"/>
    <w:rsid w:val="008106CF"/>
    <w:rsid w:val="00810F7A"/>
    <w:rsid w:val="008164F0"/>
    <w:rsid w:val="00824569"/>
    <w:rsid w:val="00826E6D"/>
    <w:rsid w:val="00833E35"/>
    <w:rsid w:val="008360B6"/>
    <w:rsid w:val="00836E3C"/>
    <w:rsid w:val="008434A1"/>
    <w:rsid w:val="00844F15"/>
    <w:rsid w:val="00845CD4"/>
    <w:rsid w:val="00847D11"/>
    <w:rsid w:val="0085000A"/>
    <w:rsid w:val="00851856"/>
    <w:rsid w:val="00853B09"/>
    <w:rsid w:val="0085476E"/>
    <w:rsid w:val="00854A65"/>
    <w:rsid w:val="00862C7F"/>
    <w:rsid w:val="00866BBD"/>
    <w:rsid w:val="00867C7B"/>
    <w:rsid w:val="008705C5"/>
    <w:rsid w:val="00870623"/>
    <w:rsid w:val="00872F92"/>
    <w:rsid w:val="00875E38"/>
    <w:rsid w:val="008809AA"/>
    <w:rsid w:val="00881E2E"/>
    <w:rsid w:val="008859EB"/>
    <w:rsid w:val="00890936"/>
    <w:rsid w:val="008930E0"/>
    <w:rsid w:val="00894D29"/>
    <w:rsid w:val="00897802"/>
    <w:rsid w:val="00897BFB"/>
    <w:rsid w:val="008A0080"/>
    <w:rsid w:val="008A13CA"/>
    <w:rsid w:val="008A2B9F"/>
    <w:rsid w:val="008A3F69"/>
    <w:rsid w:val="008A416E"/>
    <w:rsid w:val="008A4824"/>
    <w:rsid w:val="008A64B0"/>
    <w:rsid w:val="008A6627"/>
    <w:rsid w:val="008B2026"/>
    <w:rsid w:val="008B36E7"/>
    <w:rsid w:val="008B39DF"/>
    <w:rsid w:val="008C6046"/>
    <w:rsid w:val="008C7107"/>
    <w:rsid w:val="008C7C20"/>
    <w:rsid w:val="008E16E5"/>
    <w:rsid w:val="008E7AA7"/>
    <w:rsid w:val="008F0C9D"/>
    <w:rsid w:val="008F2467"/>
    <w:rsid w:val="008F2872"/>
    <w:rsid w:val="008F3925"/>
    <w:rsid w:val="008F493B"/>
    <w:rsid w:val="008F5EEE"/>
    <w:rsid w:val="00902388"/>
    <w:rsid w:val="00905181"/>
    <w:rsid w:val="00905A05"/>
    <w:rsid w:val="009075BD"/>
    <w:rsid w:val="0091009B"/>
    <w:rsid w:val="009128C7"/>
    <w:rsid w:val="009160F1"/>
    <w:rsid w:val="00921F09"/>
    <w:rsid w:val="0092213D"/>
    <w:rsid w:val="009241FE"/>
    <w:rsid w:val="009252CA"/>
    <w:rsid w:val="009272BB"/>
    <w:rsid w:val="009275CE"/>
    <w:rsid w:val="00930275"/>
    <w:rsid w:val="009311F7"/>
    <w:rsid w:val="00931A05"/>
    <w:rsid w:val="00934A0F"/>
    <w:rsid w:val="00937F61"/>
    <w:rsid w:val="009417C6"/>
    <w:rsid w:val="00942CA0"/>
    <w:rsid w:val="00943267"/>
    <w:rsid w:val="0094360B"/>
    <w:rsid w:val="00944A5B"/>
    <w:rsid w:val="0094610A"/>
    <w:rsid w:val="009522D6"/>
    <w:rsid w:val="009543DE"/>
    <w:rsid w:val="0095597A"/>
    <w:rsid w:val="00956729"/>
    <w:rsid w:val="00957999"/>
    <w:rsid w:val="009605DD"/>
    <w:rsid w:val="009606C4"/>
    <w:rsid w:val="0096423A"/>
    <w:rsid w:val="00964D20"/>
    <w:rsid w:val="009713D6"/>
    <w:rsid w:val="00974298"/>
    <w:rsid w:val="00974575"/>
    <w:rsid w:val="009762E1"/>
    <w:rsid w:val="00977546"/>
    <w:rsid w:val="00983142"/>
    <w:rsid w:val="0098404B"/>
    <w:rsid w:val="00984552"/>
    <w:rsid w:val="00987BFB"/>
    <w:rsid w:val="009907FA"/>
    <w:rsid w:val="0099788B"/>
    <w:rsid w:val="009B3613"/>
    <w:rsid w:val="009B4A9B"/>
    <w:rsid w:val="009B7D5D"/>
    <w:rsid w:val="009C0C3E"/>
    <w:rsid w:val="009C5C25"/>
    <w:rsid w:val="009C7ECC"/>
    <w:rsid w:val="009D3474"/>
    <w:rsid w:val="009D5EB5"/>
    <w:rsid w:val="009D6EBF"/>
    <w:rsid w:val="009E1728"/>
    <w:rsid w:val="009F16AA"/>
    <w:rsid w:val="009F1E55"/>
    <w:rsid w:val="009F518E"/>
    <w:rsid w:val="009F650A"/>
    <w:rsid w:val="00A034CF"/>
    <w:rsid w:val="00A04C06"/>
    <w:rsid w:val="00A1491D"/>
    <w:rsid w:val="00A16D01"/>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617CD"/>
    <w:rsid w:val="00A61DD3"/>
    <w:rsid w:val="00A62572"/>
    <w:rsid w:val="00A64E41"/>
    <w:rsid w:val="00A6726A"/>
    <w:rsid w:val="00A674ED"/>
    <w:rsid w:val="00A7049F"/>
    <w:rsid w:val="00A74139"/>
    <w:rsid w:val="00A74E89"/>
    <w:rsid w:val="00A77257"/>
    <w:rsid w:val="00A81D3E"/>
    <w:rsid w:val="00A85DA7"/>
    <w:rsid w:val="00A86549"/>
    <w:rsid w:val="00A865BE"/>
    <w:rsid w:val="00A94178"/>
    <w:rsid w:val="00A94257"/>
    <w:rsid w:val="00A97FF8"/>
    <w:rsid w:val="00AA502E"/>
    <w:rsid w:val="00AB0565"/>
    <w:rsid w:val="00AB46AF"/>
    <w:rsid w:val="00AC4F49"/>
    <w:rsid w:val="00AC62EE"/>
    <w:rsid w:val="00AC6D42"/>
    <w:rsid w:val="00AC7E7A"/>
    <w:rsid w:val="00AD126B"/>
    <w:rsid w:val="00AD3753"/>
    <w:rsid w:val="00AD40B1"/>
    <w:rsid w:val="00AD5C53"/>
    <w:rsid w:val="00AE2131"/>
    <w:rsid w:val="00AE308A"/>
    <w:rsid w:val="00AF047D"/>
    <w:rsid w:val="00AF0C7A"/>
    <w:rsid w:val="00AF23E6"/>
    <w:rsid w:val="00AF3343"/>
    <w:rsid w:val="00AF58E7"/>
    <w:rsid w:val="00AF7D95"/>
    <w:rsid w:val="00B002A4"/>
    <w:rsid w:val="00B01658"/>
    <w:rsid w:val="00B0635A"/>
    <w:rsid w:val="00B06490"/>
    <w:rsid w:val="00B12D2C"/>
    <w:rsid w:val="00B1430B"/>
    <w:rsid w:val="00B20FBA"/>
    <w:rsid w:val="00B223F6"/>
    <w:rsid w:val="00B225C2"/>
    <w:rsid w:val="00B2369A"/>
    <w:rsid w:val="00B2425C"/>
    <w:rsid w:val="00B2591D"/>
    <w:rsid w:val="00B2708E"/>
    <w:rsid w:val="00B3227A"/>
    <w:rsid w:val="00B33254"/>
    <w:rsid w:val="00B344C0"/>
    <w:rsid w:val="00B4073D"/>
    <w:rsid w:val="00B40820"/>
    <w:rsid w:val="00B42CA5"/>
    <w:rsid w:val="00B431B0"/>
    <w:rsid w:val="00B467BA"/>
    <w:rsid w:val="00B46B78"/>
    <w:rsid w:val="00B5141E"/>
    <w:rsid w:val="00B523F3"/>
    <w:rsid w:val="00B5250D"/>
    <w:rsid w:val="00B54AE7"/>
    <w:rsid w:val="00B56B19"/>
    <w:rsid w:val="00B60444"/>
    <w:rsid w:val="00B6555F"/>
    <w:rsid w:val="00B667B0"/>
    <w:rsid w:val="00B66B74"/>
    <w:rsid w:val="00B70140"/>
    <w:rsid w:val="00B80A72"/>
    <w:rsid w:val="00B83845"/>
    <w:rsid w:val="00B871AA"/>
    <w:rsid w:val="00B9156B"/>
    <w:rsid w:val="00B93606"/>
    <w:rsid w:val="00B93C43"/>
    <w:rsid w:val="00B93CB9"/>
    <w:rsid w:val="00B959BC"/>
    <w:rsid w:val="00B95A31"/>
    <w:rsid w:val="00B95E7E"/>
    <w:rsid w:val="00B97883"/>
    <w:rsid w:val="00B97AE8"/>
    <w:rsid w:val="00B97AF5"/>
    <w:rsid w:val="00BA28F0"/>
    <w:rsid w:val="00BA2FEB"/>
    <w:rsid w:val="00BA36A7"/>
    <w:rsid w:val="00BA5203"/>
    <w:rsid w:val="00BB1218"/>
    <w:rsid w:val="00BB5A74"/>
    <w:rsid w:val="00BC046D"/>
    <w:rsid w:val="00BC2C42"/>
    <w:rsid w:val="00BC5A05"/>
    <w:rsid w:val="00BC696D"/>
    <w:rsid w:val="00BD006E"/>
    <w:rsid w:val="00BD1C35"/>
    <w:rsid w:val="00BD63B2"/>
    <w:rsid w:val="00BD787B"/>
    <w:rsid w:val="00BE45E0"/>
    <w:rsid w:val="00BE5DD4"/>
    <w:rsid w:val="00BF2C09"/>
    <w:rsid w:val="00BF44CD"/>
    <w:rsid w:val="00BF5B57"/>
    <w:rsid w:val="00C01F2A"/>
    <w:rsid w:val="00C042D9"/>
    <w:rsid w:val="00C05ED5"/>
    <w:rsid w:val="00C10F91"/>
    <w:rsid w:val="00C13D1C"/>
    <w:rsid w:val="00C20F21"/>
    <w:rsid w:val="00C23BAE"/>
    <w:rsid w:val="00C27C05"/>
    <w:rsid w:val="00C30344"/>
    <w:rsid w:val="00C31F39"/>
    <w:rsid w:val="00C36E52"/>
    <w:rsid w:val="00C40DCC"/>
    <w:rsid w:val="00C43492"/>
    <w:rsid w:val="00C44869"/>
    <w:rsid w:val="00C46B78"/>
    <w:rsid w:val="00C51C63"/>
    <w:rsid w:val="00C52138"/>
    <w:rsid w:val="00C534C4"/>
    <w:rsid w:val="00C60219"/>
    <w:rsid w:val="00C6057E"/>
    <w:rsid w:val="00C6362C"/>
    <w:rsid w:val="00C64AC2"/>
    <w:rsid w:val="00C64B1C"/>
    <w:rsid w:val="00C6621E"/>
    <w:rsid w:val="00C66BB5"/>
    <w:rsid w:val="00C67365"/>
    <w:rsid w:val="00C72CE5"/>
    <w:rsid w:val="00C74906"/>
    <w:rsid w:val="00C83A34"/>
    <w:rsid w:val="00C83FC1"/>
    <w:rsid w:val="00C841F4"/>
    <w:rsid w:val="00C84F03"/>
    <w:rsid w:val="00C90720"/>
    <w:rsid w:val="00C96377"/>
    <w:rsid w:val="00C96A75"/>
    <w:rsid w:val="00C97021"/>
    <w:rsid w:val="00CA55DE"/>
    <w:rsid w:val="00CA6BA6"/>
    <w:rsid w:val="00CA6D0F"/>
    <w:rsid w:val="00CB6B36"/>
    <w:rsid w:val="00CC193E"/>
    <w:rsid w:val="00CC2452"/>
    <w:rsid w:val="00CC380D"/>
    <w:rsid w:val="00CC5C3D"/>
    <w:rsid w:val="00CD2C73"/>
    <w:rsid w:val="00CD3508"/>
    <w:rsid w:val="00CD6D25"/>
    <w:rsid w:val="00CE01B8"/>
    <w:rsid w:val="00CF5992"/>
    <w:rsid w:val="00CF786B"/>
    <w:rsid w:val="00D12955"/>
    <w:rsid w:val="00D1463B"/>
    <w:rsid w:val="00D150A5"/>
    <w:rsid w:val="00D178F4"/>
    <w:rsid w:val="00D21E38"/>
    <w:rsid w:val="00D2666F"/>
    <w:rsid w:val="00D26888"/>
    <w:rsid w:val="00D31E16"/>
    <w:rsid w:val="00D31FF7"/>
    <w:rsid w:val="00D33A34"/>
    <w:rsid w:val="00D343E9"/>
    <w:rsid w:val="00D36E39"/>
    <w:rsid w:val="00D43BD4"/>
    <w:rsid w:val="00D4400C"/>
    <w:rsid w:val="00D467E5"/>
    <w:rsid w:val="00D4693B"/>
    <w:rsid w:val="00D534E9"/>
    <w:rsid w:val="00D56CA3"/>
    <w:rsid w:val="00D60A6A"/>
    <w:rsid w:val="00D619D5"/>
    <w:rsid w:val="00D63AF7"/>
    <w:rsid w:val="00D70332"/>
    <w:rsid w:val="00D71729"/>
    <w:rsid w:val="00D7253B"/>
    <w:rsid w:val="00D73A05"/>
    <w:rsid w:val="00D74ACA"/>
    <w:rsid w:val="00D7586C"/>
    <w:rsid w:val="00D76338"/>
    <w:rsid w:val="00D76707"/>
    <w:rsid w:val="00D8010F"/>
    <w:rsid w:val="00D804B0"/>
    <w:rsid w:val="00D813A4"/>
    <w:rsid w:val="00D85455"/>
    <w:rsid w:val="00D90379"/>
    <w:rsid w:val="00D91D51"/>
    <w:rsid w:val="00D94442"/>
    <w:rsid w:val="00DB19F5"/>
    <w:rsid w:val="00DB3F8A"/>
    <w:rsid w:val="00DB66A8"/>
    <w:rsid w:val="00DB66E8"/>
    <w:rsid w:val="00DB6CF6"/>
    <w:rsid w:val="00DB7FB5"/>
    <w:rsid w:val="00DC4A2F"/>
    <w:rsid w:val="00DC4CF8"/>
    <w:rsid w:val="00DD203F"/>
    <w:rsid w:val="00DD216C"/>
    <w:rsid w:val="00DD434C"/>
    <w:rsid w:val="00DD540C"/>
    <w:rsid w:val="00DD5722"/>
    <w:rsid w:val="00DE15F6"/>
    <w:rsid w:val="00DE410C"/>
    <w:rsid w:val="00DE4F2D"/>
    <w:rsid w:val="00DE5278"/>
    <w:rsid w:val="00DF0DDB"/>
    <w:rsid w:val="00DF7F7E"/>
    <w:rsid w:val="00E122FC"/>
    <w:rsid w:val="00E1259A"/>
    <w:rsid w:val="00E13DAF"/>
    <w:rsid w:val="00E172E1"/>
    <w:rsid w:val="00E23450"/>
    <w:rsid w:val="00E374EF"/>
    <w:rsid w:val="00E42CB8"/>
    <w:rsid w:val="00E450F3"/>
    <w:rsid w:val="00E45DF0"/>
    <w:rsid w:val="00E47ECC"/>
    <w:rsid w:val="00E47F23"/>
    <w:rsid w:val="00E50092"/>
    <w:rsid w:val="00E525BA"/>
    <w:rsid w:val="00E6016D"/>
    <w:rsid w:val="00E6086D"/>
    <w:rsid w:val="00E618FF"/>
    <w:rsid w:val="00E6237B"/>
    <w:rsid w:val="00E667CC"/>
    <w:rsid w:val="00E67522"/>
    <w:rsid w:val="00E72261"/>
    <w:rsid w:val="00E75F17"/>
    <w:rsid w:val="00E762D8"/>
    <w:rsid w:val="00E826E8"/>
    <w:rsid w:val="00E83981"/>
    <w:rsid w:val="00E83BCA"/>
    <w:rsid w:val="00E87EF2"/>
    <w:rsid w:val="00E96742"/>
    <w:rsid w:val="00E96F9E"/>
    <w:rsid w:val="00E9762C"/>
    <w:rsid w:val="00EA574B"/>
    <w:rsid w:val="00EB3198"/>
    <w:rsid w:val="00EB36F2"/>
    <w:rsid w:val="00EB7C65"/>
    <w:rsid w:val="00EC29A9"/>
    <w:rsid w:val="00EC4C0B"/>
    <w:rsid w:val="00ED26B2"/>
    <w:rsid w:val="00ED2C7A"/>
    <w:rsid w:val="00ED398D"/>
    <w:rsid w:val="00ED608F"/>
    <w:rsid w:val="00ED64A1"/>
    <w:rsid w:val="00ED7F39"/>
    <w:rsid w:val="00EE0550"/>
    <w:rsid w:val="00EF6259"/>
    <w:rsid w:val="00EF73A3"/>
    <w:rsid w:val="00F044C8"/>
    <w:rsid w:val="00F04F4B"/>
    <w:rsid w:val="00F054DA"/>
    <w:rsid w:val="00F06549"/>
    <w:rsid w:val="00F107FE"/>
    <w:rsid w:val="00F10EE6"/>
    <w:rsid w:val="00F224D8"/>
    <w:rsid w:val="00F24BCE"/>
    <w:rsid w:val="00F25B69"/>
    <w:rsid w:val="00F337CE"/>
    <w:rsid w:val="00F35CF4"/>
    <w:rsid w:val="00F3652C"/>
    <w:rsid w:val="00F36C64"/>
    <w:rsid w:val="00F405BD"/>
    <w:rsid w:val="00F4138E"/>
    <w:rsid w:val="00F42317"/>
    <w:rsid w:val="00F437C9"/>
    <w:rsid w:val="00F44026"/>
    <w:rsid w:val="00F45E78"/>
    <w:rsid w:val="00F5442D"/>
    <w:rsid w:val="00F609C8"/>
    <w:rsid w:val="00F63A0D"/>
    <w:rsid w:val="00F71174"/>
    <w:rsid w:val="00F729F5"/>
    <w:rsid w:val="00F729FE"/>
    <w:rsid w:val="00F77671"/>
    <w:rsid w:val="00F83B17"/>
    <w:rsid w:val="00F8649F"/>
    <w:rsid w:val="00F86FA7"/>
    <w:rsid w:val="00F91AA5"/>
    <w:rsid w:val="00FA0B01"/>
    <w:rsid w:val="00FA0D53"/>
    <w:rsid w:val="00FA1B9A"/>
    <w:rsid w:val="00FA3366"/>
    <w:rsid w:val="00FA36C7"/>
    <w:rsid w:val="00FA76CF"/>
    <w:rsid w:val="00FB114E"/>
    <w:rsid w:val="00FB1B66"/>
    <w:rsid w:val="00FB2DB0"/>
    <w:rsid w:val="00FB3D7D"/>
    <w:rsid w:val="00FB5474"/>
    <w:rsid w:val="00FB5487"/>
    <w:rsid w:val="00FC1AF0"/>
    <w:rsid w:val="00FC29A3"/>
    <w:rsid w:val="00FC474E"/>
    <w:rsid w:val="00FC4880"/>
    <w:rsid w:val="00FC7186"/>
    <w:rsid w:val="00FD66DA"/>
    <w:rsid w:val="00FE0B4C"/>
    <w:rsid w:val="00FE1A82"/>
    <w:rsid w:val="00FE30EF"/>
    <w:rsid w:val="00FE51DB"/>
    <w:rsid w:val="00FF2381"/>
    <w:rsid w:val="00FF6122"/>
    <w:rsid w:val="00FF6A8D"/>
    <w:rsid w:val="00FF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1673FA8-06DC-4288-9834-59D72CA7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customStyle="1" w:styleId="Tabladecuadrcula1clara-nfasis51">
    <w:name w:val="Tabla de cuadrícula 1 clara - Énfasis 51"/>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DFF08-5E5A-4DCA-8393-890B80C0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8484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Planeación</cp:lastModifiedBy>
  <cp:revision>3</cp:revision>
  <cp:lastPrinted>2017-08-22T18:02:00Z</cp:lastPrinted>
  <dcterms:created xsi:type="dcterms:W3CDTF">2017-08-22T19:32:00Z</dcterms:created>
  <dcterms:modified xsi:type="dcterms:W3CDTF">2017-08-23T15:35:00Z</dcterms:modified>
</cp:coreProperties>
</file>