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4C9" w:rsidRPr="00D31FF7" w:rsidRDefault="006B46F2" w:rsidP="003209F0">
      <w:pPr>
        <w:spacing w:after="0" w:line="240" w:lineRule="auto"/>
        <w:jc w:val="both"/>
        <w:rPr>
          <w:rFonts w:asciiTheme="majorHAnsi" w:hAnsiTheme="majorHAnsi"/>
          <w:b/>
          <w:sz w:val="26"/>
          <w:szCs w:val="26"/>
        </w:rPr>
      </w:pPr>
      <w:r>
        <w:rPr>
          <w:rFonts w:asciiTheme="majorHAnsi" w:eastAsia="Arial" w:hAnsiTheme="majorHAnsi" w:cs="Arial"/>
          <w:b/>
          <w:sz w:val="26"/>
          <w:szCs w:val="26"/>
        </w:rPr>
        <w:t>MODIFICACIÓN DE LAS TABLAS DE APLICABILIDAD DE LAS OBLIGACIONES DE TRANSPARENCIA COMUNES DE DIVERSOS SUJETOS OBLIGADOS</w:t>
      </w:r>
    </w:p>
    <w:p w:rsidR="002A74C9" w:rsidRPr="00D31FF7" w:rsidRDefault="002A74C9" w:rsidP="003209F0">
      <w:pPr>
        <w:spacing w:after="0" w:line="240" w:lineRule="auto"/>
        <w:jc w:val="center"/>
        <w:rPr>
          <w:rFonts w:asciiTheme="majorHAnsi" w:hAnsiTheme="majorHAnsi"/>
          <w:b/>
          <w:sz w:val="26"/>
          <w:szCs w:val="26"/>
        </w:rPr>
      </w:pPr>
    </w:p>
    <w:p w:rsidR="00367B19" w:rsidRPr="00D31FF7" w:rsidRDefault="00367B19"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sz w:val="26"/>
          <w:szCs w:val="26"/>
        </w:rPr>
        <w:t xml:space="preserve">En la ciudad de Mérida, Yucatán, siendo las </w:t>
      </w:r>
      <w:r w:rsidR="006B46F2">
        <w:rPr>
          <w:rFonts w:asciiTheme="majorHAnsi" w:eastAsia="Arial" w:hAnsiTheme="majorHAnsi" w:cs="Arial"/>
          <w:sz w:val="26"/>
          <w:szCs w:val="26"/>
        </w:rPr>
        <w:t>14</w:t>
      </w:r>
      <w:r w:rsidRPr="00D31FF7">
        <w:rPr>
          <w:rFonts w:asciiTheme="majorHAnsi" w:eastAsia="Arial" w:hAnsiTheme="majorHAnsi" w:cs="Arial"/>
          <w:sz w:val="26"/>
          <w:szCs w:val="26"/>
        </w:rPr>
        <w:t xml:space="preserve"> horas con </w:t>
      </w:r>
      <w:r w:rsidR="006B46F2">
        <w:rPr>
          <w:rFonts w:asciiTheme="majorHAnsi" w:eastAsia="Arial" w:hAnsiTheme="majorHAnsi" w:cs="Arial"/>
          <w:sz w:val="26"/>
          <w:szCs w:val="26"/>
        </w:rPr>
        <w:t>05</w:t>
      </w:r>
      <w:r w:rsidR="00D43BD4" w:rsidRPr="00D31FF7">
        <w:rPr>
          <w:rFonts w:asciiTheme="majorHAnsi" w:eastAsia="Arial" w:hAnsiTheme="majorHAnsi" w:cs="Arial"/>
          <w:sz w:val="26"/>
          <w:szCs w:val="26"/>
        </w:rPr>
        <w:t xml:space="preserve"> </w:t>
      </w:r>
      <w:r w:rsidRPr="00D31FF7">
        <w:rPr>
          <w:rFonts w:asciiTheme="majorHAnsi" w:eastAsia="Arial" w:hAnsiTheme="majorHAnsi" w:cs="Arial"/>
          <w:sz w:val="26"/>
          <w:szCs w:val="26"/>
        </w:rPr>
        <w:t xml:space="preserve">minutos, del día </w:t>
      </w:r>
      <w:r w:rsidR="006B46F2">
        <w:rPr>
          <w:rFonts w:asciiTheme="majorHAnsi" w:eastAsia="Arial" w:hAnsiTheme="majorHAnsi" w:cs="Arial"/>
          <w:sz w:val="26"/>
          <w:szCs w:val="26"/>
        </w:rPr>
        <w:t>15</w:t>
      </w:r>
      <w:r w:rsidR="00595FAB" w:rsidRPr="00D31FF7">
        <w:rPr>
          <w:rFonts w:asciiTheme="majorHAnsi" w:eastAsia="Arial" w:hAnsiTheme="majorHAnsi" w:cs="Arial"/>
          <w:sz w:val="26"/>
          <w:szCs w:val="26"/>
        </w:rPr>
        <w:t xml:space="preserve"> </w:t>
      </w:r>
      <w:r w:rsidRPr="00D31FF7">
        <w:rPr>
          <w:rFonts w:asciiTheme="majorHAnsi" w:eastAsia="Arial" w:hAnsiTheme="majorHAnsi" w:cs="Arial"/>
          <w:sz w:val="26"/>
          <w:szCs w:val="26"/>
        </w:rPr>
        <w:t xml:space="preserve">de </w:t>
      </w:r>
      <w:r w:rsidR="006B46F2">
        <w:rPr>
          <w:rFonts w:asciiTheme="majorHAnsi" w:eastAsia="Arial" w:hAnsiTheme="majorHAnsi" w:cs="Arial"/>
          <w:sz w:val="26"/>
          <w:szCs w:val="26"/>
        </w:rPr>
        <w:t xml:space="preserve">agosto </w:t>
      </w:r>
      <w:r w:rsidRPr="00D31FF7">
        <w:rPr>
          <w:rFonts w:asciiTheme="majorHAnsi" w:eastAsia="Arial" w:hAnsiTheme="majorHAnsi" w:cs="Arial"/>
          <w:sz w:val="26"/>
          <w:szCs w:val="26"/>
        </w:rPr>
        <w:t xml:space="preserve">del año </w:t>
      </w:r>
      <w:r w:rsidR="00943213">
        <w:rPr>
          <w:rFonts w:asciiTheme="majorHAnsi" w:eastAsia="Arial" w:hAnsiTheme="majorHAnsi" w:cs="Arial"/>
          <w:sz w:val="26"/>
          <w:szCs w:val="26"/>
        </w:rPr>
        <w:t>2017</w:t>
      </w:r>
      <w:r w:rsidRPr="00D31FF7">
        <w:rPr>
          <w:rFonts w:asciiTheme="majorHAnsi" w:eastAsia="Arial" w:hAnsiTheme="majorHAnsi" w:cs="Arial"/>
          <w:sz w:val="26"/>
          <w:szCs w:val="26"/>
        </w:rPr>
        <w:t>,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 emiten el presente acuerdo de conformidad con los siguientes:</w:t>
      </w:r>
    </w:p>
    <w:p w:rsidR="00367B19" w:rsidRPr="00D31FF7" w:rsidRDefault="00367B19" w:rsidP="003209F0">
      <w:pPr>
        <w:spacing w:after="0" w:line="240" w:lineRule="auto"/>
        <w:jc w:val="center"/>
        <w:rPr>
          <w:rFonts w:asciiTheme="majorHAnsi" w:hAnsiTheme="majorHAnsi"/>
          <w:b/>
          <w:sz w:val="26"/>
          <w:szCs w:val="26"/>
        </w:rPr>
      </w:pPr>
    </w:p>
    <w:p w:rsidR="00866BBD" w:rsidRPr="00D31FF7" w:rsidRDefault="00866BBD" w:rsidP="003209F0">
      <w:pPr>
        <w:spacing w:after="0" w:line="240" w:lineRule="auto"/>
        <w:jc w:val="center"/>
        <w:rPr>
          <w:rFonts w:asciiTheme="majorHAnsi" w:hAnsiTheme="majorHAnsi"/>
          <w:b/>
          <w:sz w:val="26"/>
          <w:szCs w:val="26"/>
        </w:rPr>
      </w:pPr>
      <w:r w:rsidRPr="00D31FF7">
        <w:rPr>
          <w:rFonts w:asciiTheme="majorHAnsi" w:hAnsiTheme="majorHAnsi"/>
          <w:b/>
          <w:sz w:val="26"/>
          <w:szCs w:val="26"/>
        </w:rPr>
        <w:t>ANTECEDENTES</w:t>
      </w:r>
    </w:p>
    <w:p w:rsidR="00866BBD" w:rsidRPr="00D31FF7" w:rsidRDefault="00866BBD" w:rsidP="003209F0">
      <w:pPr>
        <w:spacing w:after="0" w:line="240" w:lineRule="auto"/>
        <w:jc w:val="center"/>
        <w:rPr>
          <w:rFonts w:asciiTheme="majorHAnsi" w:hAnsiTheme="majorHAnsi"/>
          <w:b/>
          <w:sz w:val="26"/>
          <w:szCs w:val="26"/>
        </w:rPr>
      </w:pPr>
    </w:p>
    <w:p w:rsidR="00771C09" w:rsidRDefault="00866BBD" w:rsidP="00771C09">
      <w:pPr>
        <w:spacing w:after="0" w:line="240" w:lineRule="auto"/>
        <w:jc w:val="both"/>
        <w:rPr>
          <w:rFonts w:asciiTheme="majorHAnsi" w:eastAsia="Arial" w:hAnsiTheme="majorHAnsi" w:cs="Arial"/>
          <w:sz w:val="26"/>
          <w:szCs w:val="26"/>
        </w:rPr>
      </w:pPr>
      <w:r w:rsidRPr="00D31FF7">
        <w:rPr>
          <w:rFonts w:asciiTheme="majorHAnsi" w:hAnsiTheme="majorHAnsi"/>
          <w:b/>
          <w:sz w:val="26"/>
          <w:szCs w:val="26"/>
        </w:rPr>
        <w:t>PRIMERO.-</w:t>
      </w:r>
      <w:r w:rsidRPr="00D31FF7">
        <w:rPr>
          <w:rFonts w:asciiTheme="majorHAnsi" w:hAnsiTheme="majorHAnsi"/>
          <w:sz w:val="26"/>
          <w:szCs w:val="26"/>
        </w:rPr>
        <w:t xml:space="preserve"> </w:t>
      </w:r>
      <w:r w:rsidR="00F239DD">
        <w:rPr>
          <w:rFonts w:asciiTheme="majorHAnsi" w:eastAsia="Arial" w:hAnsiTheme="majorHAnsi" w:cs="Arial"/>
          <w:sz w:val="26"/>
          <w:szCs w:val="26"/>
        </w:rPr>
        <w:t>El 8 de mayo de 2017, el Pleno del Instituto Estatal de Transparencia, Acceso a la Información Pública y Protección de Datos Personales</w:t>
      </w:r>
      <w:r w:rsidR="00AD554E">
        <w:rPr>
          <w:rFonts w:asciiTheme="majorHAnsi" w:eastAsia="Arial" w:hAnsiTheme="majorHAnsi" w:cs="Arial"/>
          <w:sz w:val="26"/>
          <w:szCs w:val="26"/>
        </w:rPr>
        <w:t xml:space="preserve">, aprobó la tabla de aplicabilidad de las obligaciones de transparencia </w:t>
      </w:r>
      <w:r w:rsidR="00C67E47">
        <w:rPr>
          <w:rFonts w:asciiTheme="majorHAnsi" w:eastAsia="Arial" w:hAnsiTheme="majorHAnsi" w:cs="Arial"/>
          <w:sz w:val="26"/>
          <w:szCs w:val="26"/>
        </w:rPr>
        <w:t xml:space="preserve">comunes </w:t>
      </w:r>
      <w:r w:rsidR="00AD554E">
        <w:rPr>
          <w:rFonts w:asciiTheme="majorHAnsi" w:eastAsia="Arial" w:hAnsiTheme="majorHAnsi" w:cs="Arial"/>
          <w:sz w:val="26"/>
          <w:szCs w:val="26"/>
        </w:rPr>
        <w:t>de los sujetos obligados del Poder Ejecutivo, ayuntamientos, organismos municipales y partidos políticos del Estado de Yucatán.</w:t>
      </w:r>
    </w:p>
    <w:p w:rsidR="00AD554E" w:rsidRDefault="00AD554E" w:rsidP="00771C09">
      <w:pPr>
        <w:spacing w:after="0" w:line="240" w:lineRule="auto"/>
        <w:jc w:val="both"/>
        <w:rPr>
          <w:rFonts w:asciiTheme="majorHAnsi" w:eastAsia="Arial" w:hAnsiTheme="majorHAnsi" w:cs="Arial"/>
          <w:sz w:val="26"/>
          <w:szCs w:val="26"/>
        </w:rPr>
      </w:pPr>
    </w:p>
    <w:p w:rsidR="00AD554E" w:rsidRDefault="00AD554E" w:rsidP="00771C09">
      <w:pPr>
        <w:spacing w:after="0" w:line="240" w:lineRule="auto"/>
        <w:jc w:val="both"/>
        <w:rPr>
          <w:rFonts w:asciiTheme="majorHAnsi" w:eastAsia="Arial" w:hAnsiTheme="majorHAnsi" w:cs="Arial"/>
          <w:sz w:val="26"/>
          <w:szCs w:val="26"/>
        </w:rPr>
      </w:pPr>
      <w:r>
        <w:rPr>
          <w:rFonts w:asciiTheme="majorHAnsi" w:eastAsia="Arial" w:hAnsiTheme="majorHAnsi" w:cs="Arial"/>
          <w:b/>
          <w:sz w:val="26"/>
          <w:szCs w:val="26"/>
        </w:rPr>
        <w:t xml:space="preserve">SEGUNDO.- </w:t>
      </w:r>
      <w:r>
        <w:rPr>
          <w:rFonts w:asciiTheme="majorHAnsi" w:eastAsia="Arial" w:hAnsiTheme="majorHAnsi" w:cs="Arial"/>
          <w:sz w:val="26"/>
          <w:szCs w:val="26"/>
        </w:rPr>
        <w:t xml:space="preserve">El 18 de mayo de 2017, el Pleno del Instituto Estatal de Transparencia, Acceso a la Información Pública y Protección de Datos Personales, aprobó la tabla de aplicabilidad de las obligaciones de transparencia </w:t>
      </w:r>
      <w:r w:rsidR="00C67E47">
        <w:rPr>
          <w:rFonts w:asciiTheme="majorHAnsi" w:eastAsia="Arial" w:hAnsiTheme="majorHAnsi" w:cs="Arial"/>
          <w:sz w:val="26"/>
          <w:szCs w:val="26"/>
        </w:rPr>
        <w:t xml:space="preserve">comunes </w:t>
      </w:r>
      <w:r>
        <w:rPr>
          <w:rFonts w:asciiTheme="majorHAnsi" w:eastAsia="Arial" w:hAnsiTheme="majorHAnsi" w:cs="Arial"/>
          <w:sz w:val="26"/>
          <w:szCs w:val="26"/>
        </w:rPr>
        <w:t xml:space="preserve">de los sujetos obligados del Poder </w:t>
      </w:r>
      <w:r w:rsidR="00C67E47">
        <w:rPr>
          <w:rFonts w:asciiTheme="majorHAnsi" w:eastAsia="Arial" w:hAnsiTheme="majorHAnsi" w:cs="Arial"/>
          <w:sz w:val="26"/>
          <w:szCs w:val="26"/>
        </w:rPr>
        <w:t>Legislativo</w:t>
      </w:r>
      <w:r>
        <w:rPr>
          <w:rFonts w:asciiTheme="majorHAnsi" w:eastAsia="Arial" w:hAnsiTheme="majorHAnsi" w:cs="Arial"/>
          <w:sz w:val="26"/>
          <w:szCs w:val="26"/>
        </w:rPr>
        <w:t xml:space="preserve"> del Estado de Yucatán.</w:t>
      </w:r>
    </w:p>
    <w:p w:rsidR="00C67E47" w:rsidRDefault="00C67E47" w:rsidP="00771C09">
      <w:pPr>
        <w:spacing w:after="0" w:line="240" w:lineRule="auto"/>
        <w:jc w:val="both"/>
        <w:rPr>
          <w:rFonts w:asciiTheme="majorHAnsi" w:eastAsia="Arial" w:hAnsiTheme="majorHAnsi" w:cs="Arial"/>
          <w:sz w:val="26"/>
          <w:szCs w:val="26"/>
        </w:rPr>
      </w:pPr>
    </w:p>
    <w:p w:rsidR="00C67E47" w:rsidRDefault="00C67E47" w:rsidP="00771C09">
      <w:pPr>
        <w:spacing w:after="0" w:line="240" w:lineRule="auto"/>
        <w:jc w:val="both"/>
        <w:rPr>
          <w:rFonts w:asciiTheme="majorHAnsi" w:eastAsia="Arial" w:hAnsiTheme="majorHAnsi" w:cs="Arial"/>
          <w:sz w:val="26"/>
          <w:szCs w:val="26"/>
        </w:rPr>
      </w:pPr>
      <w:r w:rsidRPr="00C278C5">
        <w:rPr>
          <w:rFonts w:asciiTheme="majorHAnsi" w:eastAsia="Arial" w:hAnsiTheme="majorHAnsi" w:cs="Arial"/>
          <w:b/>
          <w:sz w:val="26"/>
          <w:szCs w:val="26"/>
        </w:rPr>
        <w:t>TERCERO.-</w:t>
      </w:r>
      <w:r>
        <w:rPr>
          <w:rFonts w:asciiTheme="majorHAnsi" w:eastAsia="Arial" w:hAnsiTheme="majorHAnsi" w:cs="Arial"/>
          <w:sz w:val="26"/>
          <w:szCs w:val="26"/>
        </w:rPr>
        <w:t xml:space="preserve"> </w:t>
      </w:r>
      <w:r w:rsidR="001E13D3">
        <w:rPr>
          <w:rFonts w:asciiTheme="majorHAnsi" w:eastAsia="Arial" w:hAnsiTheme="majorHAnsi" w:cs="Arial"/>
          <w:sz w:val="26"/>
          <w:szCs w:val="26"/>
        </w:rPr>
        <w:t xml:space="preserve">El </w:t>
      </w:r>
      <w:r w:rsidR="00C278C5">
        <w:rPr>
          <w:rFonts w:asciiTheme="majorHAnsi" w:eastAsia="Arial" w:hAnsiTheme="majorHAnsi" w:cs="Arial"/>
          <w:sz w:val="26"/>
          <w:szCs w:val="26"/>
        </w:rPr>
        <w:t>25</w:t>
      </w:r>
      <w:r w:rsidR="001E13D3">
        <w:rPr>
          <w:rFonts w:asciiTheme="majorHAnsi" w:eastAsia="Arial" w:hAnsiTheme="majorHAnsi" w:cs="Arial"/>
          <w:sz w:val="26"/>
          <w:szCs w:val="26"/>
        </w:rPr>
        <w:t xml:space="preserve"> de mayo de 2017, el Pleno del Instituto Estatal de Transparencia, Acceso a la Información Pública y Protección de Datos Personales, aprobó la tabla de aplicabilidad de las obligaciones de transparencia comunes de los </w:t>
      </w:r>
      <w:r w:rsidR="00C278C5">
        <w:rPr>
          <w:rFonts w:asciiTheme="majorHAnsi" w:eastAsia="Arial" w:hAnsiTheme="majorHAnsi" w:cs="Arial"/>
          <w:sz w:val="26"/>
          <w:szCs w:val="26"/>
        </w:rPr>
        <w:t xml:space="preserve">organismos autónomos </w:t>
      </w:r>
      <w:r w:rsidR="001E13D3">
        <w:rPr>
          <w:rFonts w:asciiTheme="majorHAnsi" w:eastAsia="Arial" w:hAnsiTheme="majorHAnsi" w:cs="Arial"/>
          <w:sz w:val="26"/>
          <w:szCs w:val="26"/>
        </w:rPr>
        <w:t>del Estado de Yucatán.</w:t>
      </w:r>
    </w:p>
    <w:p w:rsidR="00C278C5" w:rsidRDefault="00C278C5" w:rsidP="00771C09">
      <w:pPr>
        <w:spacing w:after="0" w:line="240" w:lineRule="auto"/>
        <w:jc w:val="both"/>
        <w:rPr>
          <w:rFonts w:asciiTheme="majorHAnsi" w:eastAsia="Arial" w:hAnsiTheme="majorHAnsi" w:cs="Arial"/>
          <w:sz w:val="26"/>
          <w:szCs w:val="26"/>
        </w:rPr>
      </w:pPr>
    </w:p>
    <w:p w:rsidR="00D7026E" w:rsidRPr="00D7026E" w:rsidRDefault="00C278C5" w:rsidP="00771C09">
      <w:pPr>
        <w:spacing w:after="0" w:line="240" w:lineRule="auto"/>
        <w:jc w:val="both"/>
        <w:rPr>
          <w:rFonts w:asciiTheme="majorHAnsi" w:eastAsia="Arial" w:hAnsiTheme="majorHAnsi" w:cs="Arial"/>
          <w:sz w:val="26"/>
          <w:szCs w:val="26"/>
        </w:rPr>
      </w:pPr>
      <w:r w:rsidRPr="00C278C5">
        <w:rPr>
          <w:rFonts w:asciiTheme="majorHAnsi" w:eastAsia="Arial" w:hAnsiTheme="majorHAnsi" w:cs="Arial"/>
          <w:b/>
          <w:sz w:val="26"/>
          <w:szCs w:val="26"/>
        </w:rPr>
        <w:t xml:space="preserve">CUARTO.- </w:t>
      </w:r>
      <w:r w:rsidR="00D7026E">
        <w:rPr>
          <w:rFonts w:asciiTheme="majorHAnsi" w:eastAsia="Arial" w:hAnsiTheme="majorHAnsi" w:cs="Arial"/>
          <w:sz w:val="26"/>
          <w:szCs w:val="26"/>
        </w:rPr>
        <w:t>Con base a las consideraciones realizadas en los acuerdos a través de los cuales se aprobaron las tablas de aplicabilidad de las obligaciones de transparencia, se recibieron los siguientes oficios:</w:t>
      </w:r>
    </w:p>
    <w:p w:rsidR="00D7026E" w:rsidRDefault="00D7026E" w:rsidP="00771C09">
      <w:pPr>
        <w:spacing w:after="0" w:line="240" w:lineRule="auto"/>
        <w:jc w:val="both"/>
        <w:rPr>
          <w:rFonts w:asciiTheme="majorHAnsi" w:eastAsia="Arial" w:hAnsiTheme="majorHAnsi" w:cs="Arial"/>
          <w:b/>
          <w:sz w:val="26"/>
          <w:szCs w:val="26"/>
        </w:rPr>
      </w:pPr>
    </w:p>
    <w:p w:rsidR="00C278C5" w:rsidRPr="00D7026E" w:rsidRDefault="00C278C5" w:rsidP="00D7026E">
      <w:pPr>
        <w:pStyle w:val="Prrafodelista"/>
        <w:numPr>
          <w:ilvl w:val="0"/>
          <w:numId w:val="24"/>
        </w:numPr>
        <w:spacing w:after="0" w:line="240" w:lineRule="auto"/>
        <w:jc w:val="both"/>
        <w:rPr>
          <w:rFonts w:asciiTheme="majorHAnsi" w:eastAsia="Arial" w:hAnsiTheme="majorHAnsi" w:cs="Arial"/>
          <w:sz w:val="26"/>
          <w:szCs w:val="26"/>
        </w:rPr>
      </w:pPr>
      <w:r w:rsidRPr="00D7026E">
        <w:rPr>
          <w:rFonts w:asciiTheme="majorHAnsi" w:eastAsia="Arial" w:hAnsiTheme="majorHAnsi" w:cs="Arial"/>
          <w:sz w:val="26"/>
          <w:szCs w:val="26"/>
        </w:rPr>
        <w:t>El 31 de mayo de 2017, se recibió de la Coordinadora General de Transparencia y Acceso a la Información Pública</w:t>
      </w:r>
      <w:r w:rsidR="00B3204D" w:rsidRPr="00D7026E">
        <w:rPr>
          <w:rFonts w:asciiTheme="majorHAnsi" w:eastAsia="Arial" w:hAnsiTheme="majorHAnsi" w:cs="Arial"/>
          <w:sz w:val="26"/>
          <w:szCs w:val="26"/>
        </w:rPr>
        <w:t>, la Licda. Mirka Elí Sahuí Rivero, e</w:t>
      </w:r>
      <w:r w:rsidR="0019630A">
        <w:rPr>
          <w:rFonts w:asciiTheme="majorHAnsi" w:eastAsia="Arial" w:hAnsiTheme="majorHAnsi" w:cs="Arial"/>
          <w:sz w:val="26"/>
          <w:szCs w:val="26"/>
        </w:rPr>
        <w:t>l</w:t>
      </w:r>
      <w:r w:rsidR="00B3204D" w:rsidRPr="00D7026E">
        <w:rPr>
          <w:rFonts w:asciiTheme="majorHAnsi" w:eastAsia="Arial" w:hAnsiTheme="majorHAnsi" w:cs="Arial"/>
          <w:sz w:val="26"/>
          <w:szCs w:val="26"/>
        </w:rPr>
        <w:t xml:space="preserve"> oficio número CGTAIP/036/17, de fecha 31 de mayo de 2017</w:t>
      </w:r>
      <w:r w:rsidR="005F2FB9" w:rsidRPr="00D7026E">
        <w:rPr>
          <w:rFonts w:asciiTheme="majorHAnsi" w:eastAsia="Arial" w:hAnsiTheme="majorHAnsi" w:cs="Arial"/>
          <w:sz w:val="26"/>
          <w:szCs w:val="26"/>
        </w:rPr>
        <w:t>; a través de dicho escrito</w:t>
      </w:r>
      <w:r w:rsidR="005A364E" w:rsidRPr="00D7026E">
        <w:rPr>
          <w:rFonts w:asciiTheme="majorHAnsi" w:eastAsia="Arial" w:hAnsiTheme="majorHAnsi" w:cs="Arial"/>
          <w:sz w:val="26"/>
          <w:szCs w:val="26"/>
        </w:rPr>
        <w:t xml:space="preserve"> solicitó la reconsideración de la aplicabilidad de las obligaciones de </w:t>
      </w:r>
      <w:r w:rsidR="005A364E" w:rsidRPr="00D7026E">
        <w:rPr>
          <w:rFonts w:asciiTheme="majorHAnsi" w:eastAsia="Arial" w:hAnsiTheme="majorHAnsi" w:cs="Arial"/>
          <w:sz w:val="26"/>
          <w:szCs w:val="26"/>
        </w:rPr>
        <w:lastRenderedPageBreak/>
        <w:t>transparencia, dispuestas en las fracciones XV y XVIII del artículo 70 de la Ley general de transparencia.</w:t>
      </w:r>
    </w:p>
    <w:p w:rsidR="005A364E" w:rsidRDefault="005A364E" w:rsidP="00771C09">
      <w:pPr>
        <w:spacing w:after="0" w:line="240" w:lineRule="auto"/>
        <w:jc w:val="both"/>
        <w:rPr>
          <w:rFonts w:asciiTheme="majorHAnsi" w:eastAsia="Arial" w:hAnsiTheme="majorHAnsi" w:cs="Arial"/>
          <w:sz w:val="26"/>
          <w:szCs w:val="26"/>
        </w:rPr>
      </w:pPr>
    </w:p>
    <w:p w:rsidR="00F94218" w:rsidRPr="00D7026E" w:rsidRDefault="00F94218" w:rsidP="00D7026E">
      <w:pPr>
        <w:pStyle w:val="Prrafodelista"/>
        <w:numPr>
          <w:ilvl w:val="0"/>
          <w:numId w:val="24"/>
        </w:numPr>
        <w:spacing w:after="0" w:line="240" w:lineRule="auto"/>
        <w:jc w:val="both"/>
        <w:rPr>
          <w:rFonts w:asciiTheme="majorHAnsi" w:eastAsia="Arial" w:hAnsiTheme="majorHAnsi" w:cs="Arial"/>
          <w:sz w:val="26"/>
          <w:szCs w:val="26"/>
        </w:rPr>
      </w:pPr>
      <w:r w:rsidRPr="00D7026E">
        <w:rPr>
          <w:rFonts w:asciiTheme="majorHAnsi" w:eastAsia="Arial" w:hAnsiTheme="majorHAnsi" w:cs="Arial"/>
          <w:sz w:val="26"/>
          <w:szCs w:val="26"/>
        </w:rPr>
        <w:t xml:space="preserve">En este mismo sentido el 16 de junio de 2017, se recibió del Director General del Fideicomiso Garante de la Orquesta Sinfónica de Yucatán, C.P. Miguel Francisco Escobedo Novelo, </w:t>
      </w:r>
      <w:r w:rsidR="0019630A">
        <w:rPr>
          <w:rFonts w:asciiTheme="majorHAnsi" w:eastAsia="Arial" w:hAnsiTheme="majorHAnsi" w:cs="Arial"/>
          <w:sz w:val="26"/>
          <w:szCs w:val="26"/>
        </w:rPr>
        <w:t xml:space="preserve">el oficio número FIGAROSY/DG/98/E/2017 de fecha 15 de junio de 2017, </w:t>
      </w:r>
      <w:r w:rsidRPr="00D7026E">
        <w:rPr>
          <w:rFonts w:asciiTheme="majorHAnsi" w:eastAsia="Arial" w:hAnsiTheme="majorHAnsi" w:cs="Arial"/>
          <w:sz w:val="26"/>
          <w:szCs w:val="26"/>
        </w:rPr>
        <w:t>a través del cual solicitó la reconsideración de la aplicabilidad de las obligaciones de transparencia dispuestas en las fracciones XV y XXII del artículo 70 de la Ley general de transparencia.</w:t>
      </w:r>
    </w:p>
    <w:p w:rsidR="00F94218" w:rsidRDefault="00F94218" w:rsidP="00771C09">
      <w:pPr>
        <w:spacing w:after="0" w:line="240" w:lineRule="auto"/>
        <w:jc w:val="both"/>
        <w:rPr>
          <w:rFonts w:asciiTheme="majorHAnsi" w:eastAsia="Arial" w:hAnsiTheme="majorHAnsi" w:cs="Arial"/>
          <w:sz w:val="26"/>
          <w:szCs w:val="26"/>
        </w:rPr>
      </w:pPr>
    </w:p>
    <w:p w:rsidR="00F94218" w:rsidRDefault="00F94218" w:rsidP="00D7026E">
      <w:pPr>
        <w:pStyle w:val="Prrafodelista"/>
        <w:numPr>
          <w:ilvl w:val="0"/>
          <w:numId w:val="24"/>
        </w:numPr>
        <w:spacing w:after="0" w:line="240" w:lineRule="auto"/>
        <w:jc w:val="both"/>
        <w:rPr>
          <w:rFonts w:asciiTheme="majorHAnsi" w:eastAsia="Arial" w:hAnsiTheme="majorHAnsi" w:cs="Arial"/>
          <w:sz w:val="26"/>
          <w:szCs w:val="26"/>
        </w:rPr>
      </w:pPr>
      <w:r w:rsidRPr="00D7026E">
        <w:rPr>
          <w:rFonts w:asciiTheme="majorHAnsi" w:eastAsia="Arial" w:hAnsiTheme="majorHAnsi" w:cs="Arial"/>
          <w:sz w:val="26"/>
          <w:szCs w:val="26"/>
        </w:rPr>
        <w:t>De igual manera se recibió el 16 de junio de 2017, el oficio número UT-CEY/026/2017,</w:t>
      </w:r>
      <w:r w:rsidR="0019630A">
        <w:rPr>
          <w:rFonts w:asciiTheme="majorHAnsi" w:eastAsia="Arial" w:hAnsiTheme="majorHAnsi" w:cs="Arial"/>
          <w:sz w:val="26"/>
          <w:szCs w:val="26"/>
        </w:rPr>
        <w:t xml:space="preserve"> de misma fecha,</w:t>
      </w:r>
      <w:r w:rsidRPr="00D7026E">
        <w:rPr>
          <w:rFonts w:asciiTheme="majorHAnsi" w:eastAsia="Arial" w:hAnsiTheme="majorHAnsi" w:cs="Arial"/>
          <w:sz w:val="26"/>
          <w:szCs w:val="26"/>
        </w:rPr>
        <w:t xml:space="preserve"> </w:t>
      </w:r>
      <w:r w:rsidR="00D7026E" w:rsidRPr="00D7026E">
        <w:rPr>
          <w:rFonts w:asciiTheme="majorHAnsi" w:eastAsia="Arial" w:hAnsiTheme="majorHAnsi" w:cs="Arial"/>
          <w:sz w:val="26"/>
          <w:szCs w:val="26"/>
        </w:rPr>
        <w:t>suscrito por la Licda. Nazly Amarú Acosta, encargada de la Unidad de Transparencia del Congreso del Estado de Yucatán, a través del cual solicitó la reconsideración de la aplicabilidad de las obligaciones de transparencia referidas en las fracciones LX y LXVI.</w:t>
      </w:r>
    </w:p>
    <w:p w:rsidR="00D7026E" w:rsidRPr="00D7026E" w:rsidRDefault="00D7026E" w:rsidP="00D7026E">
      <w:pPr>
        <w:pStyle w:val="Prrafodelista"/>
        <w:rPr>
          <w:rFonts w:asciiTheme="majorHAnsi" w:eastAsia="Arial" w:hAnsiTheme="majorHAnsi" w:cs="Arial"/>
          <w:sz w:val="26"/>
          <w:szCs w:val="26"/>
        </w:rPr>
      </w:pPr>
    </w:p>
    <w:p w:rsidR="00D7026E" w:rsidRPr="00D7026E" w:rsidRDefault="00D7026E" w:rsidP="00D7026E">
      <w:pPr>
        <w:pStyle w:val="Prrafodelista"/>
        <w:numPr>
          <w:ilvl w:val="0"/>
          <w:numId w:val="24"/>
        </w:numPr>
        <w:spacing w:after="0" w:line="240" w:lineRule="auto"/>
        <w:jc w:val="both"/>
        <w:rPr>
          <w:rFonts w:asciiTheme="majorHAnsi" w:eastAsia="Arial" w:hAnsiTheme="majorHAnsi" w:cs="Arial"/>
          <w:sz w:val="26"/>
          <w:szCs w:val="26"/>
        </w:rPr>
      </w:pPr>
      <w:r>
        <w:rPr>
          <w:rFonts w:asciiTheme="majorHAnsi" w:eastAsia="Arial" w:hAnsiTheme="majorHAnsi" w:cs="Arial"/>
          <w:sz w:val="26"/>
          <w:szCs w:val="26"/>
        </w:rPr>
        <w:t>El 23 de junio del año en curso, se recibió del Presidente del Comité de Transparencia de la Junta de Agua Potable y Alcantarillado de Yucatán, C.P. Luis Alberto Ruz Poot</w:t>
      </w:r>
      <w:r w:rsidR="00FF2A0C">
        <w:rPr>
          <w:rFonts w:asciiTheme="majorHAnsi" w:eastAsia="Arial" w:hAnsiTheme="majorHAnsi" w:cs="Arial"/>
          <w:sz w:val="26"/>
          <w:szCs w:val="26"/>
        </w:rPr>
        <w:t xml:space="preserve">, el oficio número UAA-0092/14/2017, </w:t>
      </w:r>
      <w:r w:rsidR="0019630A">
        <w:rPr>
          <w:rFonts w:asciiTheme="majorHAnsi" w:eastAsia="Arial" w:hAnsiTheme="majorHAnsi" w:cs="Arial"/>
          <w:sz w:val="26"/>
          <w:szCs w:val="26"/>
        </w:rPr>
        <w:t xml:space="preserve">de misma fecha, </w:t>
      </w:r>
      <w:r w:rsidR="00FF2A0C">
        <w:rPr>
          <w:rFonts w:asciiTheme="majorHAnsi" w:eastAsia="Arial" w:hAnsiTheme="majorHAnsi" w:cs="Arial"/>
          <w:sz w:val="26"/>
          <w:szCs w:val="26"/>
        </w:rPr>
        <w:t>a través del cual solicitó la reconsideración de la obligación de transparencia dispuesta en la fracción XLII del artículo 70 de la Ley general de transparencia.</w:t>
      </w:r>
    </w:p>
    <w:p w:rsidR="00D7026E" w:rsidRDefault="00D7026E" w:rsidP="00771C09">
      <w:pPr>
        <w:spacing w:after="0" w:line="240" w:lineRule="auto"/>
        <w:jc w:val="both"/>
        <w:rPr>
          <w:rFonts w:asciiTheme="majorHAnsi" w:eastAsia="Arial" w:hAnsiTheme="majorHAnsi" w:cs="Arial"/>
          <w:sz w:val="26"/>
          <w:szCs w:val="26"/>
        </w:rPr>
      </w:pPr>
    </w:p>
    <w:p w:rsidR="00A16D01" w:rsidRPr="00D31FF7" w:rsidRDefault="00A16D01" w:rsidP="003209F0">
      <w:pPr>
        <w:spacing w:after="0" w:line="240" w:lineRule="auto"/>
        <w:jc w:val="center"/>
        <w:rPr>
          <w:rFonts w:asciiTheme="majorHAnsi" w:hAnsiTheme="majorHAnsi"/>
          <w:b/>
          <w:sz w:val="26"/>
          <w:szCs w:val="26"/>
        </w:rPr>
      </w:pPr>
      <w:r w:rsidRPr="00D31FF7">
        <w:rPr>
          <w:rFonts w:asciiTheme="majorHAnsi" w:hAnsiTheme="majorHAnsi"/>
          <w:b/>
          <w:sz w:val="26"/>
          <w:szCs w:val="26"/>
        </w:rPr>
        <w:t>CONSIDERANDOS</w:t>
      </w:r>
    </w:p>
    <w:p w:rsidR="00807346" w:rsidRPr="00D31FF7" w:rsidRDefault="00807346" w:rsidP="003209F0">
      <w:pPr>
        <w:spacing w:after="0" w:line="240" w:lineRule="auto"/>
        <w:jc w:val="both"/>
        <w:rPr>
          <w:rFonts w:asciiTheme="majorHAnsi" w:eastAsia="Arial" w:hAnsiTheme="majorHAnsi" w:cs="Arial"/>
          <w:b/>
          <w:sz w:val="26"/>
          <w:szCs w:val="26"/>
        </w:rPr>
      </w:pPr>
    </w:p>
    <w:p w:rsidR="00807346" w:rsidRPr="00D31FF7" w:rsidRDefault="00A16D01"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PRIMERO.- </w:t>
      </w:r>
      <w:r w:rsidR="000317AB" w:rsidRPr="00D31FF7">
        <w:rPr>
          <w:rFonts w:asciiTheme="majorHAnsi" w:eastAsia="Arial" w:hAnsiTheme="majorHAnsi" w:cs="Arial"/>
          <w:sz w:val="26"/>
          <w:szCs w:val="26"/>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D31FF7">
        <w:rPr>
          <w:rFonts w:asciiTheme="majorHAnsi" w:eastAsia="Arial" w:hAnsiTheme="majorHAnsi" w:cs="Arial"/>
          <w:sz w:val="26"/>
          <w:szCs w:val="26"/>
        </w:rPr>
        <w:t>la</w:t>
      </w:r>
      <w:r w:rsidR="000317AB" w:rsidRPr="00D31FF7">
        <w:rPr>
          <w:rFonts w:asciiTheme="majorHAnsi" w:eastAsia="Arial" w:hAnsiTheme="majorHAnsi" w:cs="Arial"/>
          <w:sz w:val="26"/>
          <w:szCs w:val="26"/>
        </w:rPr>
        <w:t xml:space="preserve"> </w:t>
      </w:r>
      <w:r w:rsidR="002A74C9" w:rsidRPr="00D31FF7">
        <w:rPr>
          <w:rFonts w:asciiTheme="majorHAnsi" w:eastAsia="Arial" w:hAnsiTheme="majorHAnsi" w:cs="Arial"/>
          <w:sz w:val="26"/>
          <w:szCs w:val="26"/>
        </w:rPr>
        <w:t>L</w:t>
      </w:r>
      <w:r w:rsidR="000317AB" w:rsidRPr="00D31FF7">
        <w:rPr>
          <w:rFonts w:asciiTheme="majorHAnsi" w:eastAsia="Arial" w:hAnsiTheme="majorHAnsi" w:cs="Arial"/>
          <w:sz w:val="26"/>
          <w:szCs w:val="26"/>
        </w:rPr>
        <w:t>ey</w:t>
      </w:r>
      <w:r w:rsidR="002A74C9" w:rsidRPr="00D31FF7">
        <w:rPr>
          <w:rFonts w:asciiTheme="majorHAnsi" w:eastAsia="Arial" w:hAnsiTheme="majorHAnsi" w:cs="Arial"/>
          <w:sz w:val="26"/>
          <w:szCs w:val="26"/>
        </w:rPr>
        <w:t xml:space="preserve"> estatal de la materia</w:t>
      </w:r>
      <w:r w:rsidR="000317AB" w:rsidRPr="00D31FF7">
        <w:rPr>
          <w:rFonts w:asciiTheme="majorHAnsi" w:eastAsia="Arial" w:hAnsiTheme="majorHAnsi" w:cs="Arial"/>
          <w:sz w:val="26"/>
          <w:szCs w:val="26"/>
        </w:rPr>
        <w:t xml:space="preserve"> y demás disposiciones normativas aplicables.</w:t>
      </w:r>
    </w:p>
    <w:p w:rsidR="006136C0" w:rsidRPr="00D31FF7" w:rsidRDefault="006136C0" w:rsidP="003209F0">
      <w:pPr>
        <w:spacing w:after="0" w:line="240" w:lineRule="auto"/>
        <w:jc w:val="both"/>
        <w:rPr>
          <w:rFonts w:asciiTheme="majorHAnsi" w:eastAsia="Arial" w:hAnsiTheme="majorHAnsi" w:cs="Arial"/>
          <w:sz w:val="26"/>
          <w:szCs w:val="26"/>
        </w:rPr>
      </w:pPr>
    </w:p>
    <w:p w:rsidR="009160F1" w:rsidRPr="00D31FF7" w:rsidRDefault="00D94442"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SEGUNDO.</w:t>
      </w:r>
      <w:r w:rsidRPr="00D31FF7">
        <w:rPr>
          <w:rFonts w:asciiTheme="majorHAnsi" w:eastAsia="Arial" w:hAnsiTheme="majorHAnsi" w:cs="Arial"/>
          <w:sz w:val="26"/>
          <w:szCs w:val="26"/>
        </w:rPr>
        <w:t>-</w:t>
      </w:r>
      <w:r w:rsidR="000317AB" w:rsidRPr="00D31FF7">
        <w:rPr>
          <w:rFonts w:asciiTheme="majorHAnsi" w:eastAsia="Arial" w:hAnsiTheme="majorHAnsi" w:cs="Arial"/>
          <w:sz w:val="26"/>
          <w:szCs w:val="26"/>
        </w:rPr>
        <w:t xml:space="preserve"> </w:t>
      </w:r>
      <w:r w:rsidR="009160F1" w:rsidRPr="00D31FF7">
        <w:rPr>
          <w:rFonts w:asciiTheme="majorHAnsi" w:eastAsia="Arial" w:hAnsiTheme="majorHAnsi" w:cs="Arial"/>
          <w:sz w:val="26"/>
          <w:szCs w:val="26"/>
        </w:rPr>
        <w:t xml:space="preserve">De conformidad con lo señalado en el </w:t>
      </w:r>
      <w:r w:rsidR="00F8649F" w:rsidRPr="00D31FF7">
        <w:rPr>
          <w:rFonts w:asciiTheme="majorHAnsi" w:eastAsia="Arial" w:hAnsiTheme="majorHAnsi" w:cs="Arial"/>
          <w:sz w:val="26"/>
          <w:szCs w:val="26"/>
        </w:rPr>
        <w:t>numeral noveno de los Lineamientos Técnicos Generales</w:t>
      </w:r>
      <w:r w:rsidR="00FE1A82" w:rsidRPr="00D31FF7">
        <w:rPr>
          <w:rFonts w:asciiTheme="majorHAnsi" w:eastAsia="Arial" w:hAnsiTheme="majorHAnsi" w:cs="Arial"/>
          <w:sz w:val="26"/>
          <w:szCs w:val="26"/>
        </w:rPr>
        <w:t>, en su fracci</w:t>
      </w:r>
      <w:r w:rsidR="003A51BF" w:rsidRPr="00D31FF7">
        <w:rPr>
          <w:rFonts w:asciiTheme="majorHAnsi" w:eastAsia="Arial" w:hAnsiTheme="majorHAnsi" w:cs="Arial"/>
          <w:sz w:val="26"/>
          <w:szCs w:val="26"/>
        </w:rPr>
        <w:t xml:space="preserve">ón III, los sujetos obligados publicarán </w:t>
      </w:r>
      <w:r w:rsidR="003A51BF" w:rsidRPr="00D31FF7">
        <w:rPr>
          <w:rFonts w:asciiTheme="majorHAnsi" w:eastAsia="Arial" w:hAnsiTheme="majorHAnsi" w:cs="Arial"/>
          <w:sz w:val="26"/>
          <w:szCs w:val="26"/>
        </w:rPr>
        <w:lastRenderedPageBreak/>
        <w:t>la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tabla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de aplicabilidad de las obligaciones de transparencia comunes y específicas, la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cual</w:t>
      </w:r>
      <w:r w:rsidR="00872F92" w:rsidRPr="00D31FF7">
        <w:rPr>
          <w:rFonts w:asciiTheme="majorHAnsi" w:eastAsia="Arial" w:hAnsiTheme="majorHAnsi" w:cs="Arial"/>
          <w:sz w:val="26"/>
          <w:szCs w:val="26"/>
        </w:rPr>
        <w:t>es</w:t>
      </w:r>
      <w:r w:rsidR="003A51BF" w:rsidRPr="00D31FF7">
        <w:rPr>
          <w:rFonts w:asciiTheme="majorHAnsi" w:eastAsia="Arial" w:hAnsiTheme="majorHAnsi" w:cs="Arial"/>
          <w:sz w:val="26"/>
          <w:szCs w:val="26"/>
        </w:rPr>
        <w:t xml:space="preserve"> deberá</w:t>
      </w:r>
      <w:r w:rsidR="00872F92" w:rsidRPr="00D31FF7">
        <w:rPr>
          <w:rFonts w:asciiTheme="majorHAnsi" w:eastAsia="Arial" w:hAnsiTheme="majorHAnsi" w:cs="Arial"/>
          <w:sz w:val="26"/>
          <w:szCs w:val="26"/>
        </w:rPr>
        <w:t>n</w:t>
      </w:r>
      <w:r w:rsidR="003A51BF" w:rsidRPr="00D31FF7">
        <w:rPr>
          <w:rFonts w:asciiTheme="majorHAnsi" w:eastAsia="Arial" w:hAnsiTheme="majorHAnsi" w:cs="Arial"/>
          <w:sz w:val="26"/>
          <w:szCs w:val="26"/>
        </w:rPr>
        <w:t xml:space="preserve"> ser verificada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y aprobada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por el órgano garante</w:t>
      </w:r>
      <w:r w:rsidR="009160F1" w:rsidRPr="00D31FF7">
        <w:rPr>
          <w:rFonts w:asciiTheme="majorHAnsi" w:eastAsia="Arial" w:hAnsiTheme="majorHAnsi" w:cs="Arial"/>
          <w:sz w:val="26"/>
          <w:szCs w:val="26"/>
        </w:rPr>
        <w:t>.</w:t>
      </w:r>
    </w:p>
    <w:p w:rsidR="00085008" w:rsidRPr="00D31FF7" w:rsidRDefault="00085008" w:rsidP="003209F0">
      <w:pPr>
        <w:spacing w:after="0" w:line="240" w:lineRule="auto"/>
        <w:jc w:val="both"/>
        <w:rPr>
          <w:rFonts w:asciiTheme="majorHAnsi" w:eastAsia="Arial" w:hAnsiTheme="majorHAnsi" w:cs="Arial"/>
          <w:sz w:val="26"/>
          <w:szCs w:val="26"/>
        </w:rPr>
      </w:pPr>
    </w:p>
    <w:p w:rsidR="00085008" w:rsidRPr="00D31FF7" w:rsidRDefault="00085008"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TERCERO.- </w:t>
      </w:r>
      <w:r w:rsidRPr="00D31FF7">
        <w:rPr>
          <w:rFonts w:asciiTheme="majorHAnsi" w:eastAsia="Arial" w:hAnsiTheme="majorHAnsi" w:cs="Arial"/>
          <w:sz w:val="26"/>
          <w:szCs w:val="26"/>
        </w:rPr>
        <w:t xml:space="preserve">Además de lo señalado </w:t>
      </w:r>
      <w:r w:rsidR="00300372" w:rsidRPr="00D31FF7">
        <w:rPr>
          <w:rFonts w:asciiTheme="majorHAnsi" w:eastAsia="Arial" w:hAnsiTheme="majorHAnsi" w:cs="Arial"/>
          <w:sz w:val="26"/>
          <w:szCs w:val="26"/>
        </w:rPr>
        <w:t>en el considerando que antecede;</w:t>
      </w:r>
      <w:r w:rsidRPr="00D31FF7">
        <w:rPr>
          <w:rFonts w:asciiTheme="majorHAnsi" w:eastAsia="Arial" w:hAnsiTheme="majorHAnsi" w:cs="Arial"/>
          <w:sz w:val="26"/>
          <w:szCs w:val="26"/>
        </w:rPr>
        <w:t xml:space="preserve"> </w:t>
      </w:r>
      <w:r w:rsidR="00300372" w:rsidRPr="00D31FF7">
        <w:rPr>
          <w:rFonts w:asciiTheme="majorHAnsi" w:eastAsia="Arial" w:hAnsiTheme="majorHAnsi" w:cs="Arial"/>
          <w:sz w:val="26"/>
          <w:szCs w:val="26"/>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D31FF7" w:rsidRDefault="00300372" w:rsidP="003209F0">
      <w:pPr>
        <w:spacing w:after="0" w:line="240" w:lineRule="auto"/>
        <w:jc w:val="both"/>
        <w:rPr>
          <w:rFonts w:asciiTheme="majorHAnsi" w:eastAsia="Arial" w:hAnsiTheme="majorHAnsi" w:cs="Arial"/>
          <w:sz w:val="26"/>
          <w:szCs w:val="26"/>
        </w:rPr>
      </w:pPr>
    </w:p>
    <w:p w:rsidR="008A13CA" w:rsidRDefault="00620069" w:rsidP="00D31E16">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CUARTO.-</w:t>
      </w:r>
      <w:r w:rsidR="00300372" w:rsidRPr="00D31FF7">
        <w:rPr>
          <w:rFonts w:asciiTheme="majorHAnsi" w:eastAsia="Arial" w:hAnsiTheme="majorHAnsi" w:cs="Arial"/>
          <w:sz w:val="26"/>
          <w:szCs w:val="26"/>
        </w:rPr>
        <w:t xml:space="preserve"> </w:t>
      </w:r>
      <w:r w:rsidR="006F0546">
        <w:rPr>
          <w:rFonts w:asciiTheme="majorHAnsi" w:eastAsia="Arial" w:hAnsiTheme="majorHAnsi" w:cs="Arial"/>
          <w:sz w:val="26"/>
          <w:szCs w:val="26"/>
        </w:rPr>
        <w:t xml:space="preserve">Con base en los ocursos recibidos señalados en el antecedente cuarto, así como de los resultados obtenidos </w:t>
      </w:r>
      <w:r w:rsidR="00A55E83">
        <w:rPr>
          <w:rFonts w:asciiTheme="majorHAnsi" w:eastAsia="Arial" w:hAnsiTheme="majorHAnsi" w:cs="Arial"/>
          <w:sz w:val="26"/>
          <w:szCs w:val="26"/>
        </w:rPr>
        <w:t>en</w:t>
      </w:r>
      <w:r w:rsidR="006F0546">
        <w:rPr>
          <w:rFonts w:asciiTheme="majorHAnsi" w:eastAsia="Arial" w:hAnsiTheme="majorHAnsi" w:cs="Arial"/>
          <w:sz w:val="26"/>
          <w:szCs w:val="26"/>
        </w:rPr>
        <w:t xml:space="preserve"> </w:t>
      </w:r>
      <w:r w:rsidR="008C7186">
        <w:rPr>
          <w:rFonts w:asciiTheme="majorHAnsi" w:eastAsia="Arial" w:hAnsiTheme="majorHAnsi" w:cs="Arial"/>
          <w:sz w:val="26"/>
          <w:szCs w:val="26"/>
        </w:rPr>
        <w:t>las reuniones sostenidas con personal de l</w:t>
      </w:r>
      <w:r w:rsidR="0056677F">
        <w:rPr>
          <w:rFonts w:asciiTheme="majorHAnsi" w:eastAsia="Arial" w:hAnsiTheme="majorHAnsi" w:cs="Arial"/>
          <w:sz w:val="26"/>
          <w:szCs w:val="26"/>
        </w:rPr>
        <w:t>a</w:t>
      </w:r>
      <w:r w:rsidR="008C7186">
        <w:rPr>
          <w:rFonts w:asciiTheme="majorHAnsi" w:eastAsia="Arial" w:hAnsiTheme="majorHAnsi" w:cs="Arial"/>
          <w:sz w:val="26"/>
          <w:szCs w:val="26"/>
        </w:rPr>
        <w:t>s</w:t>
      </w:r>
      <w:r w:rsidR="0056677F">
        <w:rPr>
          <w:rFonts w:asciiTheme="majorHAnsi" w:eastAsia="Arial" w:hAnsiTheme="majorHAnsi" w:cs="Arial"/>
          <w:sz w:val="26"/>
          <w:szCs w:val="26"/>
        </w:rPr>
        <w:t xml:space="preserve"> unidades administrativas y unidades de transparencia de los</w:t>
      </w:r>
      <w:r w:rsidR="008C7186">
        <w:rPr>
          <w:rFonts w:asciiTheme="majorHAnsi" w:eastAsia="Arial" w:hAnsiTheme="majorHAnsi" w:cs="Arial"/>
          <w:sz w:val="26"/>
          <w:szCs w:val="26"/>
        </w:rPr>
        <w:t xml:space="preserve"> </w:t>
      </w:r>
      <w:r w:rsidR="005913A6">
        <w:rPr>
          <w:rFonts w:asciiTheme="majorHAnsi" w:eastAsia="Arial" w:hAnsiTheme="majorHAnsi" w:cs="Arial"/>
          <w:sz w:val="26"/>
          <w:szCs w:val="26"/>
        </w:rPr>
        <w:t xml:space="preserve">diversos </w:t>
      </w:r>
      <w:r w:rsidR="008C7186">
        <w:rPr>
          <w:rFonts w:asciiTheme="majorHAnsi" w:eastAsia="Arial" w:hAnsiTheme="majorHAnsi" w:cs="Arial"/>
          <w:sz w:val="26"/>
          <w:szCs w:val="26"/>
        </w:rPr>
        <w:t>sujetos obligados, en l</w:t>
      </w:r>
      <w:r w:rsidR="005913A6">
        <w:rPr>
          <w:rFonts w:asciiTheme="majorHAnsi" w:eastAsia="Arial" w:hAnsiTheme="majorHAnsi" w:cs="Arial"/>
          <w:sz w:val="26"/>
          <w:szCs w:val="26"/>
        </w:rPr>
        <w:t>a</w:t>
      </w:r>
      <w:r w:rsidR="008C7186">
        <w:rPr>
          <w:rFonts w:asciiTheme="majorHAnsi" w:eastAsia="Arial" w:hAnsiTheme="majorHAnsi" w:cs="Arial"/>
          <w:sz w:val="26"/>
          <w:szCs w:val="26"/>
        </w:rPr>
        <w:t>s</w:t>
      </w:r>
      <w:r w:rsidR="0056677F">
        <w:rPr>
          <w:rFonts w:asciiTheme="majorHAnsi" w:eastAsia="Arial" w:hAnsiTheme="majorHAnsi" w:cs="Arial"/>
          <w:sz w:val="26"/>
          <w:szCs w:val="26"/>
        </w:rPr>
        <w:t xml:space="preserve"> que se analiza</w:t>
      </w:r>
      <w:r w:rsidR="00A55E83">
        <w:rPr>
          <w:rFonts w:asciiTheme="majorHAnsi" w:eastAsia="Arial" w:hAnsiTheme="majorHAnsi" w:cs="Arial"/>
          <w:sz w:val="26"/>
          <w:szCs w:val="26"/>
        </w:rPr>
        <w:t>ron</w:t>
      </w:r>
      <w:r w:rsidR="0056677F">
        <w:rPr>
          <w:rFonts w:asciiTheme="majorHAnsi" w:eastAsia="Arial" w:hAnsiTheme="majorHAnsi" w:cs="Arial"/>
          <w:sz w:val="26"/>
          <w:szCs w:val="26"/>
        </w:rPr>
        <w:t xml:space="preserve"> y vincula</w:t>
      </w:r>
      <w:r w:rsidR="00A55E83">
        <w:rPr>
          <w:rFonts w:asciiTheme="majorHAnsi" w:eastAsia="Arial" w:hAnsiTheme="majorHAnsi" w:cs="Arial"/>
          <w:sz w:val="26"/>
          <w:szCs w:val="26"/>
        </w:rPr>
        <w:t>ron</w:t>
      </w:r>
      <w:r w:rsidR="008C7186">
        <w:rPr>
          <w:rFonts w:asciiTheme="majorHAnsi" w:eastAsia="Arial" w:hAnsiTheme="majorHAnsi" w:cs="Arial"/>
          <w:sz w:val="26"/>
          <w:szCs w:val="26"/>
        </w:rPr>
        <w:t xml:space="preserve"> </w:t>
      </w:r>
      <w:r w:rsidR="005913A6">
        <w:rPr>
          <w:rFonts w:asciiTheme="majorHAnsi" w:eastAsia="Arial" w:hAnsiTheme="majorHAnsi" w:cs="Arial"/>
          <w:sz w:val="26"/>
          <w:szCs w:val="26"/>
        </w:rPr>
        <w:t>los acuerdos del Pleno, referidos en los antecedentes primero, segundo y tercero</w:t>
      </w:r>
      <w:r w:rsidR="00A55E83">
        <w:rPr>
          <w:rFonts w:asciiTheme="majorHAnsi" w:eastAsia="Arial" w:hAnsiTheme="majorHAnsi" w:cs="Arial"/>
          <w:sz w:val="26"/>
          <w:szCs w:val="26"/>
        </w:rPr>
        <w:t>;</w:t>
      </w:r>
      <w:r w:rsidR="005913A6">
        <w:rPr>
          <w:rFonts w:asciiTheme="majorHAnsi" w:eastAsia="Arial" w:hAnsiTheme="majorHAnsi" w:cs="Arial"/>
          <w:sz w:val="26"/>
          <w:szCs w:val="26"/>
        </w:rPr>
        <w:t xml:space="preserve"> se discurrió que habían obligaciones de transparencia que el Instituto determinó que les aplicaría a ciertos sujetos obligados y otras que no les aplicaría, pero que de las reuniones sostenidas con éstos, nos allegamos de elementos para revocar dichas determinaciones, en tal razón se </w:t>
      </w:r>
      <w:r w:rsidR="00A55E83">
        <w:rPr>
          <w:rFonts w:asciiTheme="majorHAnsi" w:eastAsia="Arial" w:hAnsiTheme="majorHAnsi" w:cs="Arial"/>
          <w:sz w:val="26"/>
          <w:szCs w:val="26"/>
        </w:rPr>
        <w:t>modifican las tablas de aplicabilidad, respecto a las obligaciones de transparencia comunes y sujetos obligados que se enlistan a continuación:</w:t>
      </w:r>
    </w:p>
    <w:p w:rsidR="002D0C2E" w:rsidRDefault="002D0C2E" w:rsidP="00D31E16">
      <w:pPr>
        <w:spacing w:after="0" w:line="240" w:lineRule="auto"/>
        <w:jc w:val="both"/>
        <w:rPr>
          <w:rFonts w:asciiTheme="majorHAnsi" w:eastAsia="Arial" w:hAnsiTheme="majorHAnsi" w:cs="Arial"/>
          <w:b/>
          <w:sz w:val="26"/>
          <w:szCs w:val="26"/>
        </w:rPr>
      </w:pPr>
    </w:p>
    <w:p w:rsidR="001A257A" w:rsidRPr="001A257A" w:rsidRDefault="001A257A" w:rsidP="00D31E16">
      <w:pPr>
        <w:spacing w:after="0" w:line="240" w:lineRule="auto"/>
        <w:jc w:val="both"/>
        <w:rPr>
          <w:rFonts w:asciiTheme="majorHAnsi" w:eastAsia="Arial" w:hAnsiTheme="majorHAnsi" w:cs="Arial"/>
          <w:b/>
          <w:sz w:val="26"/>
          <w:szCs w:val="26"/>
        </w:rPr>
      </w:pPr>
      <w:r w:rsidRPr="001A257A">
        <w:rPr>
          <w:rFonts w:asciiTheme="majorHAnsi" w:eastAsia="Arial" w:hAnsiTheme="majorHAnsi" w:cs="Arial"/>
          <w:b/>
          <w:sz w:val="26"/>
          <w:szCs w:val="26"/>
        </w:rPr>
        <w:t>Del Poder Ejecutivo</w:t>
      </w:r>
    </w:p>
    <w:p w:rsidR="001A257A" w:rsidRDefault="001A257A" w:rsidP="00D31E16">
      <w:pPr>
        <w:spacing w:after="0" w:line="240" w:lineRule="auto"/>
        <w:jc w:val="both"/>
        <w:rPr>
          <w:rFonts w:asciiTheme="majorHAnsi" w:eastAsia="Arial" w:hAnsiTheme="majorHAnsi" w:cs="Arial"/>
          <w:sz w:val="26"/>
          <w:szCs w:val="26"/>
        </w:rPr>
      </w:pPr>
    </w:p>
    <w:tbl>
      <w:tblPr>
        <w:tblStyle w:val="Tablaconcuadrcula"/>
        <w:tblW w:w="10427" w:type="dxa"/>
        <w:jc w:val="center"/>
        <w:tblLook w:val="04A0" w:firstRow="1" w:lastRow="0" w:firstColumn="1" w:lastColumn="0" w:noHBand="0" w:noVBand="1"/>
      </w:tblPr>
      <w:tblGrid>
        <w:gridCol w:w="702"/>
        <w:gridCol w:w="2938"/>
        <w:gridCol w:w="1735"/>
        <w:gridCol w:w="1444"/>
        <w:gridCol w:w="3608"/>
      </w:tblGrid>
      <w:tr w:rsidR="006029DC" w:rsidRPr="006C69EE" w:rsidTr="006C69EE">
        <w:trPr>
          <w:cantSplit/>
          <w:trHeight w:val="591"/>
          <w:tblHeader/>
          <w:jc w:val="center"/>
        </w:trPr>
        <w:tc>
          <w:tcPr>
            <w:tcW w:w="3640" w:type="dxa"/>
            <w:gridSpan w:val="2"/>
            <w:shd w:val="clear" w:color="auto" w:fill="B4C6E7" w:themeFill="accent5" w:themeFillTint="66"/>
            <w:vAlign w:val="center"/>
          </w:tcPr>
          <w:p w:rsidR="006029DC" w:rsidRPr="006C69EE" w:rsidRDefault="006029DC" w:rsidP="001A257A">
            <w:pPr>
              <w:spacing w:after="0" w:line="240" w:lineRule="auto"/>
              <w:jc w:val="center"/>
              <w:rPr>
                <w:rFonts w:asciiTheme="majorHAnsi" w:eastAsia="Arial" w:hAnsiTheme="majorHAnsi" w:cstheme="majorHAnsi"/>
                <w:b/>
              </w:rPr>
            </w:pPr>
            <w:r w:rsidRPr="006C69EE">
              <w:rPr>
                <w:rFonts w:asciiTheme="majorHAnsi" w:eastAsia="Arial" w:hAnsiTheme="majorHAnsi" w:cstheme="majorHAnsi"/>
                <w:b/>
              </w:rPr>
              <w:t>Fracción/ Obligación de Transparencia</w:t>
            </w:r>
          </w:p>
        </w:tc>
        <w:tc>
          <w:tcPr>
            <w:tcW w:w="1735" w:type="dxa"/>
            <w:shd w:val="clear" w:color="auto" w:fill="B4C6E7" w:themeFill="accent5" w:themeFillTint="66"/>
            <w:vAlign w:val="center"/>
          </w:tcPr>
          <w:p w:rsidR="006029DC" w:rsidRPr="006C69EE" w:rsidRDefault="001A257A" w:rsidP="001A257A">
            <w:pPr>
              <w:spacing w:after="0" w:line="240" w:lineRule="auto"/>
              <w:jc w:val="center"/>
              <w:rPr>
                <w:rFonts w:asciiTheme="majorHAnsi" w:eastAsia="Arial" w:hAnsiTheme="majorHAnsi" w:cstheme="majorHAnsi"/>
                <w:b/>
              </w:rPr>
            </w:pPr>
            <w:r w:rsidRPr="006C69EE">
              <w:rPr>
                <w:rFonts w:asciiTheme="majorHAnsi" w:eastAsia="Arial" w:hAnsiTheme="majorHAnsi" w:cstheme="majorHAnsi"/>
                <w:b/>
              </w:rPr>
              <w:t>Sujeto Obligado</w:t>
            </w:r>
          </w:p>
        </w:tc>
        <w:tc>
          <w:tcPr>
            <w:tcW w:w="1444" w:type="dxa"/>
            <w:shd w:val="clear" w:color="auto" w:fill="B4C6E7" w:themeFill="accent5" w:themeFillTint="66"/>
            <w:vAlign w:val="center"/>
          </w:tcPr>
          <w:p w:rsidR="006029DC" w:rsidRPr="006C69EE" w:rsidRDefault="001A257A" w:rsidP="001A257A">
            <w:pPr>
              <w:spacing w:after="0" w:line="240" w:lineRule="auto"/>
              <w:jc w:val="center"/>
              <w:rPr>
                <w:rFonts w:asciiTheme="majorHAnsi" w:eastAsia="Arial" w:hAnsiTheme="majorHAnsi" w:cstheme="majorHAnsi"/>
                <w:b/>
              </w:rPr>
            </w:pPr>
            <w:r w:rsidRPr="006C69EE">
              <w:rPr>
                <w:rFonts w:asciiTheme="majorHAnsi" w:eastAsia="Arial" w:hAnsiTheme="majorHAnsi" w:cstheme="majorHAnsi"/>
                <w:b/>
              </w:rPr>
              <w:t>Aplicable/ No Aplicable</w:t>
            </w:r>
          </w:p>
        </w:tc>
        <w:tc>
          <w:tcPr>
            <w:tcW w:w="3608" w:type="dxa"/>
            <w:shd w:val="clear" w:color="auto" w:fill="B4C6E7" w:themeFill="accent5" w:themeFillTint="66"/>
            <w:vAlign w:val="center"/>
          </w:tcPr>
          <w:p w:rsidR="006029DC" w:rsidRPr="006C69EE" w:rsidRDefault="001A257A" w:rsidP="001A257A">
            <w:pPr>
              <w:spacing w:after="0" w:line="240" w:lineRule="auto"/>
              <w:jc w:val="center"/>
              <w:rPr>
                <w:rFonts w:asciiTheme="majorHAnsi" w:eastAsia="Arial" w:hAnsiTheme="majorHAnsi" w:cstheme="majorHAnsi"/>
                <w:b/>
              </w:rPr>
            </w:pPr>
            <w:r w:rsidRPr="006C69EE">
              <w:rPr>
                <w:rFonts w:asciiTheme="majorHAnsi" w:eastAsia="Arial" w:hAnsiTheme="majorHAnsi" w:cstheme="majorHAnsi"/>
                <w:b/>
              </w:rPr>
              <w:t>Fundamento Legal</w:t>
            </w:r>
          </w:p>
        </w:tc>
      </w:tr>
      <w:tr w:rsidR="006029DC" w:rsidRPr="006C69EE" w:rsidTr="006C69EE">
        <w:trPr>
          <w:cantSplit/>
          <w:trHeight w:val="3018"/>
          <w:jc w:val="center"/>
        </w:trPr>
        <w:tc>
          <w:tcPr>
            <w:tcW w:w="702" w:type="dxa"/>
            <w:vAlign w:val="center"/>
          </w:tcPr>
          <w:p w:rsidR="006029DC" w:rsidRPr="006C69EE" w:rsidRDefault="001A257A"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XV</w:t>
            </w:r>
          </w:p>
        </w:tc>
        <w:tc>
          <w:tcPr>
            <w:tcW w:w="2938" w:type="dxa"/>
            <w:vAlign w:val="center"/>
          </w:tcPr>
          <w:p w:rsidR="006029DC" w:rsidRPr="006C69EE" w:rsidRDefault="001A257A" w:rsidP="00D31E16">
            <w:pPr>
              <w:spacing w:after="0" w:line="240" w:lineRule="auto"/>
              <w:jc w:val="both"/>
              <w:rPr>
                <w:rFonts w:asciiTheme="majorHAnsi" w:eastAsia="Arial" w:hAnsiTheme="majorHAnsi" w:cstheme="majorHAnsi"/>
              </w:rPr>
            </w:pPr>
            <w:r w:rsidRPr="006C69EE">
              <w:rPr>
                <w:rFonts w:asciiTheme="majorHAnsi" w:eastAsia="Times New Roman" w:hAnsiTheme="majorHAnsi" w:cstheme="majorHAnsi"/>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1735" w:type="dxa"/>
            <w:vAlign w:val="center"/>
          </w:tcPr>
          <w:p w:rsidR="006029DC" w:rsidRPr="006C69EE" w:rsidRDefault="001A257A"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Secretaría de la Contraloría General</w:t>
            </w:r>
          </w:p>
        </w:tc>
        <w:tc>
          <w:tcPr>
            <w:tcW w:w="1444" w:type="dxa"/>
            <w:vAlign w:val="center"/>
          </w:tcPr>
          <w:p w:rsidR="006029DC" w:rsidRPr="006C69EE" w:rsidRDefault="001A257A"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No Aplicable</w:t>
            </w:r>
          </w:p>
        </w:tc>
        <w:tc>
          <w:tcPr>
            <w:tcW w:w="3608" w:type="dxa"/>
            <w:vAlign w:val="center"/>
          </w:tcPr>
          <w:p w:rsidR="006029DC" w:rsidRPr="006C69EE" w:rsidRDefault="001A257A" w:rsidP="00D31E16">
            <w:pPr>
              <w:spacing w:after="0" w:line="240" w:lineRule="auto"/>
              <w:jc w:val="both"/>
              <w:rPr>
                <w:rFonts w:asciiTheme="majorHAnsi" w:eastAsia="Arial" w:hAnsiTheme="majorHAnsi" w:cstheme="majorHAnsi"/>
              </w:rPr>
            </w:pPr>
            <w:r w:rsidRPr="006C69EE">
              <w:rPr>
                <w:rFonts w:asciiTheme="majorHAnsi" w:eastAsia="Times New Roman" w:hAnsiTheme="majorHAnsi" w:cstheme="majorHAnsi"/>
                <w:lang w:eastAsia="es-MX"/>
              </w:rPr>
              <w:t xml:space="preserve">No le es aplicable, toda vez que de conformidad con lo señalado en el artículo 46 del Código de la Administración </w:t>
            </w:r>
            <w:r w:rsidR="003F08A9" w:rsidRPr="006C69EE">
              <w:rPr>
                <w:rFonts w:asciiTheme="majorHAnsi" w:eastAsia="Times New Roman" w:hAnsiTheme="majorHAnsi" w:cstheme="majorHAnsi"/>
                <w:lang w:eastAsia="es-MX"/>
              </w:rPr>
              <w:t>Pública de Yucatán</w:t>
            </w:r>
            <w:r w:rsidRPr="006C69EE">
              <w:rPr>
                <w:rFonts w:asciiTheme="majorHAnsi" w:eastAsia="Times New Roman" w:hAnsiTheme="majorHAnsi" w:cstheme="majorHAnsi"/>
                <w:lang w:eastAsia="es-MX"/>
              </w:rPr>
              <w:t>, no se encuentra dentro del ámbito de sus facultades, competencias o funciones,</w:t>
            </w:r>
            <w:r w:rsidRPr="006C69EE">
              <w:rPr>
                <w:rFonts w:asciiTheme="majorHAnsi" w:hAnsiTheme="majorHAnsi" w:cstheme="majorHAnsi"/>
              </w:rPr>
              <w:t xml:space="preserve"> </w:t>
            </w:r>
            <w:r w:rsidRPr="006C69EE">
              <w:rPr>
                <w:rFonts w:asciiTheme="majorHAnsi" w:eastAsia="Times New Roman" w:hAnsiTheme="majorHAnsi" w:cstheme="majorHAnsi"/>
                <w:lang w:eastAsia="es-MX"/>
              </w:rPr>
              <w:t xml:space="preserve">toda vez que </w:t>
            </w:r>
            <w:r w:rsidR="003F08A9" w:rsidRPr="006C69EE">
              <w:rPr>
                <w:rFonts w:asciiTheme="majorHAnsi" w:eastAsia="Times New Roman" w:hAnsiTheme="majorHAnsi" w:cstheme="majorHAnsi"/>
                <w:lang w:eastAsia="es-MX"/>
              </w:rPr>
              <w:t xml:space="preserve">esta dependencia </w:t>
            </w:r>
            <w:r w:rsidRPr="006C69EE">
              <w:rPr>
                <w:rFonts w:asciiTheme="majorHAnsi" w:eastAsia="Times New Roman" w:hAnsiTheme="majorHAnsi" w:cstheme="majorHAnsi"/>
                <w:lang w:eastAsia="es-MX"/>
              </w:rPr>
              <w:t>no desarrolla ni opera programas que impliquen el otorgamiento de subsidios, estímulos y apoyos en efectivo o en especie.</w:t>
            </w:r>
          </w:p>
        </w:tc>
      </w:tr>
      <w:tr w:rsidR="00051F94" w:rsidRPr="006C69EE" w:rsidTr="006C69EE">
        <w:trPr>
          <w:cantSplit/>
          <w:trHeight w:val="3018"/>
          <w:jc w:val="center"/>
        </w:trPr>
        <w:tc>
          <w:tcPr>
            <w:tcW w:w="702" w:type="dxa"/>
            <w:vAlign w:val="center"/>
          </w:tcPr>
          <w:p w:rsidR="00051F94" w:rsidRPr="006C69EE" w:rsidRDefault="00051F94" w:rsidP="00051F94">
            <w:pPr>
              <w:spacing w:after="0" w:line="240" w:lineRule="auto"/>
              <w:jc w:val="both"/>
              <w:rPr>
                <w:rFonts w:asciiTheme="majorHAnsi" w:eastAsia="Arial" w:hAnsiTheme="majorHAnsi" w:cstheme="majorHAnsi"/>
              </w:rPr>
            </w:pPr>
            <w:r w:rsidRPr="006C69EE">
              <w:rPr>
                <w:rFonts w:asciiTheme="majorHAnsi" w:eastAsia="Arial" w:hAnsiTheme="majorHAnsi" w:cstheme="majorHAnsi"/>
              </w:rPr>
              <w:lastRenderedPageBreak/>
              <w:t>XV</w:t>
            </w:r>
          </w:p>
        </w:tc>
        <w:tc>
          <w:tcPr>
            <w:tcW w:w="2938" w:type="dxa"/>
            <w:vAlign w:val="center"/>
          </w:tcPr>
          <w:p w:rsidR="00051F94" w:rsidRPr="006C69EE" w:rsidRDefault="00051F94" w:rsidP="00051F94">
            <w:pPr>
              <w:spacing w:after="0" w:line="240" w:lineRule="auto"/>
              <w:jc w:val="both"/>
              <w:rPr>
                <w:rFonts w:asciiTheme="majorHAnsi" w:eastAsia="Arial" w:hAnsiTheme="majorHAnsi" w:cstheme="majorHAnsi"/>
              </w:rPr>
            </w:pPr>
            <w:r w:rsidRPr="006C69EE">
              <w:rPr>
                <w:rFonts w:asciiTheme="majorHAnsi" w:eastAsia="Times New Roman" w:hAnsiTheme="majorHAnsi" w:cstheme="majorHAnsi"/>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1735" w:type="dxa"/>
            <w:vAlign w:val="center"/>
          </w:tcPr>
          <w:p w:rsidR="00051F94" w:rsidRPr="006C69EE" w:rsidRDefault="00051F94" w:rsidP="00051F94">
            <w:pPr>
              <w:spacing w:after="0" w:line="240" w:lineRule="auto"/>
              <w:jc w:val="both"/>
              <w:rPr>
                <w:rFonts w:asciiTheme="majorHAnsi" w:eastAsia="Arial" w:hAnsiTheme="majorHAnsi" w:cstheme="majorHAnsi"/>
              </w:rPr>
            </w:pPr>
            <w:r w:rsidRPr="006C69EE">
              <w:rPr>
                <w:rFonts w:asciiTheme="majorHAnsi" w:eastAsia="Arial" w:hAnsiTheme="majorHAnsi" w:cstheme="majorHAnsi"/>
              </w:rPr>
              <w:t>Fideicomiso Garante de la Orquesta Sinfónica de Yucatán, FIGAROSY.</w:t>
            </w:r>
          </w:p>
        </w:tc>
        <w:tc>
          <w:tcPr>
            <w:tcW w:w="1444" w:type="dxa"/>
            <w:vAlign w:val="center"/>
          </w:tcPr>
          <w:p w:rsidR="00051F94" w:rsidRPr="006C69EE" w:rsidRDefault="00051F94" w:rsidP="00051F94">
            <w:pPr>
              <w:spacing w:after="0" w:line="240" w:lineRule="auto"/>
              <w:jc w:val="both"/>
              <w:rPr>
                <w:rFonts w:asciiTheme="majorHAnsi" w:eastAsia="Arial" w:hAnsiTheme="majorHAnsi" w:cstheme="majorHAnsi"/>
              </w:rPr>
            </w:pPr>
            <w:r w:rsidRPr="006C69EE">
              <w:rPr>
                <w:rFonts w:asciiTheme="majorHAnsi" w:eastAsia="Arial" w:hAnsiTheme="majorHAnsi" w:cstheme="majorHAnsi"/>
              </w:rPr>
              <w:t>No Aplicable</w:t>
            </w:r>
          </w:p>
        </w:tc>
        <w:tc>
          <w:tcPr>
            <w:tcW w:w="3608" w:type="dxa"/>
            <w:vAlign w:val="center"/>
          </w:tcPr>
          <w:p w:rsidR="00051F94" w:rsidRPr="006C69EE" w:rsidRDefault="00051F94" w:rsidP="0019630A">
            <w:pPr>
              <w:spacing w:after="0" w:line="240" w:lineRule="auto"/>
              <w:jc w:val="both"/>
              <w:rPr>
                <w:rFonts w:asciiTheme="majorHAnsi" w:eastAsia="Arial" w:hAnsiTheme="majorHAnsi" w:cstheme="majorHAnsi"/>
              </w:rPr>
            </w:pPr>
            <w:r w:rsidRPr="006C69EE">
              <w:rPr>
                <w:rFonts w:asciiTheme="majorHAnsi" w:eastAsia="Times New Roman" w:hAnsiTheme="majorHAnsi" w:cstheme="majorHAnsi"/>
                <w:lang w:eastAsia="es-MX"/>
              </w:rPr>
              <w:t>No le es aplicable, toda vez que de conformidad con lo señalado en el artículo 6</w:t>
            </w:r>
            <w:r w:rsidR="006E279F" w:rsidRPr="006C69EE">
              <w:rPr>
                <w:rFonts w:asciiTheme="majorHAnsi" w:eastAsia="Times New Roman" w:hAnsiTheme="majorHAnsi" w:cstheme="majorHAnsi"/>
                <w:lang w:eastAsia="es-MX"/>
              </w:rPr>
              <w:t xml:space="preserve"> del Decreto que autoriza la creación del Fideicomiso Garante de la Orquesta Sinfónica de Yucatán</w:t>
            </w:r>
            <w:r w:rsidRPr="006C69EE">
              <w:rPr>
                <w:rFonts w:asciiTheme="majorHAnsi" w:eastAsia="Times New Roman" w:hAnsiTheme="majorHAnsi" w:cstheme="majorHAnsi"/>
                <w:lang w:eastAsia="es-MX"/>
              </w:rPr>
              <w:t>, no se encuentra dentro del ámbito de sus facultades, competencias o funciones,</w:t>
            </w:r>
            <w:r w:rsidRPr="006C69EE">
              <w:rPr>
                <w:rFonts w:asciiTheme="majorHAnsi" w:hAnsiTheme="majorHAnsi" w:cstheme="majorHAnsi"/>
              </w:rPr>
              <w:t xml:space="preserve"> </w:t>
            </w:r>
            <w:r w:rsidR="0019630A" w:rsidRPr="006C69EE">
              <w:rPr>
                <w:rFonts w:asciiTheme="majorHAnsi" w:eastAsia="Times New Roman" w:hAnsiTheme="majorHAnsi" w:cstheme="majorHAnsi"/>
                <w:lang w:eastAsia="es-MX"/>
              </w:rPr>
              <w:t>ya que</w:t>
            </w:r>
            <w:r w:rsidRPr="006C69EE">
              <w:rPr>
                <w:rFonts w:asciiTheme="majorHAnsi" w:eastAsia="Times New Roman" w:hAnsiTheme="majorHAnsi" w:cstheme="majorHAnsi"/>
                <w:lang w:eastAsia="es-MX"/>
              </w:rPr>
              <w:t xml:space="preserve"> esta </w:t>
            </w:r>
            <w:r w:rsidR="006E279F" w:rsidRPr="006C69EE">
              <w:rPr>
                <w:rFonts w:asciiTheme="majorHAnsi" w:eastAsia="Times New Roman" w:hAnsiTheme="majorHAnsi" w:cstheme="majorHAnsi"/>
                <w:lang w:eastAsia="es-MX"/>
              </w:rPr>
              <w:t>entidad paraestatal</w:t>
            </w:r>
            <w:r w:rsidRPr="006C69EE">
              <w:rPr>
                <w:rFonts w:asciiTheme="majorHAnsi" w:eastAsia="Times New Roman" w:hAnsiTheme="majorHAnsi" w:cstheme="majorHAnsi"/>
                <w:lang w:eastAsia="es-MX"/>
              </w:rPr>
              <w:t xml:space="preserve"> no desarrolla ni opera programas que impliquen el otorgamiento de subsidios, estímulos y apoyos en efectivo o en especie.</w:t>
            </w:r>
          </w:p>
        </w:tc>
      </w:tr>
      <w:tr w:rsidR="001A257A" w:rsidRPr="006C69EE" w:rsidTr="006C69EE">
        <w:trPr>
          <w:cantSplit/>
          <w:trHeight w:val="295"/>
          <w:jc w:val="center"/>
        </w:trPr>
        <w:tc>
          <w:tcPr>
            <w:tcW w:w="702" w:type="dxa"/>
            <w:vAlign w:val="center"/>
          </w:tcPr>
          <w:p w:rsidR="001A257A" w:rsidRPr="006C69EE" w:rsidRDefault="003F08A9"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XXII</w:t>
            </w:r>
          </w:p>
        </w:tc>
        <w:tc>
          <w:tcPr>
            <w:tcW w:w="2938" w:type="dxa"/>
            <w:vAlign w:val="center"/>
          </w:tcPr>
          <w:p w:rsidR="001A257A" w:rsidRPr="006C69EE" w:rsidRDefault="003F08A9" w:rsidP="00D31E16">
            <w:pPr>
              <w:spacing w:after="0" w:line="240" w:lineRule="auto"/>
              <w:jc w:val="both"/>
              <w:rPr>
                <w:rFonts w:asciiTheme="majorHAnsi" w:eastAsia="Arial" w:hAnsiTheme="majorHAnsi" w:cstheme="majorHAnsi"/>
              </w:rPr>
            </w:pPr>
            <w:r w:rsidRPr="006C69EE">
              <w:rPr>
                <w:rFonts w:ascii="Calibri Light" w:eastAsia="Times New Roman" w:hAnsi="Calibri Light" w:cs="Calibri Light"/>
                <w:lang w:eastAsia="es-MX"/>
              </w:rPr>
              <w:t>La información relativa a la deuda pública, en términos de la normatividad aplicable;</w:t>
            </w:r>
          </w:p>
        </w:tc>
        <w:tc>
          <w:tcPr>
            <w:tcW w:w="1735" w:type="dxa"/>
            <w:vAlign w:val="center"/>
          </w:tcPr>
          <w:p w:rsidR="001A257A" w:rsidRPr="006C69EE" w:rsidRDefault="003F08A9"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Secretaría de Administración y Finanzas</w:t>
            </w:r>
          </w:p>
        </w:tc>
        <w:tc>
          <w:tcPr>
            <w:tcW w:w="1444" w:type="dxa"/>
            <w:vAlign w:val="center"/>
          </w:tcPr>
          <w:p w:rsidR="003F08A9" w:rsidRPr="006C69EE" w:rsidRDefault="003F08A9"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Aplicable.</w:t>
            </w:r>
          </w:p>
        </w:tc>
        <w:tc>
          <w:tcPr>
            <w:tcW w:w="3608" w:type="dxa"/>
            <w:vAlign w:val="center"/>
          </w:tcPr>
          <w:p w:rsidR="001A257A" w:rsidRPr="006C69EE" w:rsidRDefault="003F08A9"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 xml:space="preserve">Tratándose de la administración pública centralizada, integrada por el Despacho del Gobernador y las dependencias contempladas en el artículo 22 del Código de la Administración Pública; esta obligación de transparencia únicamente le será aplicable a la Secretaría de Administración y Finanzas, toda vez que de conformidad </w:t>
            </w:r>
            <w:r w:rsidR="00413C86" w:rsidRPr="006C69EE">
              <w:rPr>
                <w:rFonts w:asciiTheme="majorHAnsi" w:eastAsia="Arial" w:hAnsiTheme="majorHAnsi" w:cstheme="majorHAnsi"/>
              </w:rPr>
              <w:t>con lo señalado en el artículo 7 de la Ley de Deuda Pública del Estado de Yucatán, le corresponde al Titular del Ejecutivo, a través de la Secretaría de Administración y Finanzas</w:t>
            </w:r>
            <w:r w:rsidR="00C55525" w:rsidRPr="006C69EE">
              <w:rPr>
                <w:rFonts w:asciiTheme="majorHAnsi" w:eastAsia="Arial" w:hAnsiTheme="majorHAnsi" w:cstheme="majorHAnsi"/>
              </w:rPr>
              <w:t>,</w:t>
            </w:r>
            <w:r w:rsidR="00413C86" w:rsidRPr="006C69EE">
              <w:rPr>
                <w:rFonts w:asciiTheme="majorHAnsi" w:eastAsia="Arial" w:hAnsiTheme="majorHAnsi" w:cstheme="majorHAnsi"/>
              </w:rPr>
              <w:t xml:space="preserve"> celebrar y suscribir los contratos y documentos para la contratación  de deuda a cargo del Estado, así como suscribir los títulos de crédito y demás instrumentos legales requeridos para tales efectos.</w:t>
            </w:r>
          </w:p>
        </w:tc>
      </w:tr>
      <w:tr w:rsidR="001A257A" w:rsidRPr="006C69EE" w:rsidTr="006C69EE">
        <w:trPr>
          <w:cantSplit/>
          <w:trHeight w:val="281"/>
          <w:jc w:val="center"/>
        </w:trPr>
        <w:tc>
          <w:tcPr>
            <w:tcW w:w="702" w:type="dxa"/>
            <w:vAlign w:val="center"/>
          </w:tcPr>
          <w:p w:rsidR="001A257A" w:rsidRPr="006C69EE" w:rsidRDefault="00AA0764"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lastRenderedPageBreak/>
              <w:t>XXV</w:t>
            </w:r>
          </w:p>
        </w:tc>
        <w:tc>
          <w:tcPr>
            <w:tcW w:w="2938" w:type="dxa"/>
            <w:vAlign w:val="center"/>
          </w:tcPr>
          <w:p w:rsidR="001A257A" w:rsidRPr="006C69EE" w:rsidRDefault="00AA0764" w:rsidP="00D31E16">
            <w:pPr>
              <w:spacing w:after="0" w:line="240" w:lineRule="auto"/>
              <w:jc w:val="both"/>
              <w:rPr>
                <w:rFonts w:asciiTheme="majorHAnsi" w:eastAsia="Arial" w:hAnsiTheme="majorHAnsi" w:cstheme="majorHAnsi"/>
              </w:rPr>
            </w:pPr>
            <w:r w:rsidRPr="006C69EE">
              <w:rPr>
                <w:rFonts w:ascii="Calibri Light" w:eastAsia="Times New Roman" w:hAnsi="Calibri Light" w:cs="Calibri Light"/>
                <w:lang w:eastAsia="es-MX"/>
              </w:rPr>
              <w:t>El resultado de la dictaminación de los estados financieros;</w:t>
            </w:r>
          </w:p>
        </w:tc>
        <w:tc>
          <w:tcPr>
            <w:tcW w:w="1735" w:type="dxa"/>
            <w:vAlign w:val="center"/>
          </w:tcPr>
          <w:p w:rsidR="001A257A" w:rsidRPr="006C69EE" w:rsidRDefault="00AA0764"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Secretaría de Administración y Finanzas</w:t>
            </w:r>
          </w:p>
        </w:tc>
        <w:tc>
          <w:tcPr>
            <w:tcW w:w="1444" w:type="dxa"/>
            <w:vAlign w:val="center"/>
          </w:tcPr>
          <w:p w:rsidR="001A257A" w:rsidRPr="006C69EE" w:rsidRDefault="00AA0764"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Aplicable.</w:t>
            </w:r>
          </w:p>
        </w:tc>
        <w:tc>
          <w:tcPr>
            <w:tcW w:w="3608" w:type="dxa"/>
            <w:vAlign w:val="center"/>
          </w:tcPr>
          <w:p w:rsidR="001A257A" w:rsidRPr="006C69EE" w:rsidRDefault="00AA0764"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 xml:space="preserve">Tratándose de la administración pública centralizada, integrada por el Despacho del Gobernador y las dependencias contempladas en el artículo 22 del Código de la Administración Pública; esta obligación de transparencia únicamente le será aplicable a la Secretaría de Administración y Finanzas, ya que es la única </w:t>
            </w:r>
            <w:r w:rsidR="004E09E9" w:rsidRPr="006C69EE">
              <w:rPr>
                <w:rFonts w:asciiTheme="majorHAnsi" w:eastAsia="Arial" w:hAnsiTheme="majorHAnsi" w:cstheme="majorHAnsi"/>
              </w:rPr>
              <w:t xml:space="preserve">dependencia dentro de la administración pública centralizada, </w:t>
            </w:r>
            <w:r w:rsidRPr="006C69EE">
              <w:rPr>
                <w:rFonts w:asciiTheme="majorHAnsi" w:eastAsia="Arial" w:hAnsiTheme="majorHAnsi" w:cstheme="majorHAnsi"/>
              </w:rPr>
              <w:t xml:space="preserve">que cuenta con facultades para generar </w:t>
            </w:r>
            <w:r w:rsidR="00C021F3" w:rsidRPr="006C69EE">
              <w:rPr>
                <w:rFonts w:asciiTheme="majorHAnsi" w:eastAsia="Arial" w:hAnsiTheme="majorHAnsi" w:cstheme="majorHAnsi"/>
              </w:rPr>
              <w:t xml:space="preserve">los </w:t>
            </w:r>
            <w:r w:rsidR="004930C3" w:rsidRPr="006C69EE">
              <w:rPr>
                <w:rFonts w:asciiTheme="majorHAnsi" w:eastAsia="Arial" w:hAnsiTheme="majorHAnsi" w:cstheme="majorHAnsi"/>
              </w:rPr>
              <w:t>estados financieros</w:t>
            </w:r>
            <w:r w:rsidR="00C021F3" w:rsidRPr="006C69EE">
              <w:rPr>
                <w:rFonts w:asciiTheme="majorHAnsi" w:eastAsia="Arial" w:hAnsiTheme="majorHAnsi" w:cstheme="majorHAnsi"/>
              </w:rPr>
              <w:t xml:space="preserve"> de la Administración Pública Centralizada</w:t>
            </w:r>
            <w:r w:rsidR="004E09E9" w:rsidRPr="006C69EE">
              <w:rPr>
                <w:rFonts w:asciiTheme="majorHAnsi" w:eastAsia="Arial" w:hAnsiTheme="majorHAnsi" w:cstheme="majorHAnsi"/>
              </w:rPr>
              <w:t>, y por ende cuenta con atribuciones</w:t>
            </w:r>
            <w:r w:rsidR="00C021F3" w:rsidRPr="006C69EE">
              <w:rPr>
                <w:rFonts w:asciiTheme="majorHAnsi" w:eastAsia="Arial" w:hAnsiTheme="majorHAnsi" w:cstheme="majorHAnsi"/>
              </w:rPr>
              <w:t xml:space="preserve"> suficientes</w:t>
            </w:r>
            <w:r w:rsidR="004E09E9" w:rsidRPr="006C69EE">
              <w:rPr>
                <w:rFonts w:asciiTheme="majorHAnsi" w:eastAsia="Arial" w:hAnsiTheme="majorHAnsi" w:cstheme="majorHAnsi"/>
              </w:rPr>
              <w:t xml:space="preserve"> para contratar la dictaminación </w:t>
            </w:r>
            <w:r w:rsidR="00C021F3" w:rsidRPr="006C69EE">
              <w:rPr>
                <w:rFonts w:asciiTheme="majorHAnsi" w:eastAsia="Arial" w:hAnsiTheme="majorHAnsi" w:cstheme="majorHAnsi"/>
              </w:rPr>
              <w:t>a</w:t>
            </w:r>
            <w:r w:rsidR="004E09E9" w:rsidRPr="006C69EE">
              <w:rPr>
                <w:rFonts w:asciiTheme="majorHAnsi" w:eastAsia="Arial" w:hAnsiTheme="majorHAnsi" w:cstheme="majorHAnsi"/>
              </w:rPr>
              <w:t xml:space="preserve"> </w:t>
            </w:r>
            <w:r w:rsidR="00C021F3" w:rsidRPr="006C69EE">
              <w:rPr>
                <w:rFonts w:asciiTheme="majorHAnsi" w:eastAsia="Arial" w:hAnsiTheme="majorHAnsi" w:cstheme="majorHAnsi"/>
              </w:rPr>
              <w:t>los</w:t>
            </w:r>
            <w:r w:rsidR="004E09E9" w:rsidRPr="006C69EE">
              <w:rPr>
                <w:rFonts w:asciiTheme="majorHAnsi" w:eastAsia="Arial" w:hAnsiTheme="majorHAnsi" w:cstheme="majorHAnsi"/>
              </w:rPr>
              <w:t xml:space="preserve"> estados financieros</w:t>
            </w:r>
            <w:r w:rsidR="00F202BB" w:rsidRPr="006C69EE">
              <w:rPr>
                <w:rFonts w:asciiTheme="majorHAnsi" w:eastAsia="Arial" w:hAnsiTheme="majorHAnsi" w:cstheme="majorHAnsi"/>
              </w:rPr>
              <w:t>. Fundamento Legal: Artículo 31 fracción XXVI del Código de la Administración Pública de Yucatán y el d</w:t>
            </w:r>
            <w:r w:rsidR="000820D5">
              <w:rPr>
                <w:rFonts w:asciiTheme="majorHAnsi" w:eastAsia="Arial" w:hAnsiTheme="majorHAnsi" w:cstheme="majorHAnsi"/>
              </w:rPr>
              <w:t>iverso 69</w:t>
            </w:r>
            <w:r w:rsidR="00F202BB" w:rsidRPr="006C69EE">
              <w:rPr>
                <w:rFonts w:asciiTheme="majorHAnsi" w:eastAsia="Arial" w:hAnsiTheme="majorHAnsi" w:cstheme="majorHAnsi"/>
              </w:rPr>
              <w:t xml:space="preserve"> </w:t>
            </w:r>
            <w:r w:rsidR="000820D5">
              <w:rPr>
                <w:rFonts w:asciiTheme="majorHAnsi" w:eastAsia="Arial" w:hAnsiTheme="majorHAnsi" w:cstheme="majorHAnsi"/>
              </w:rPr>
              <w:t>Quinqui</w:t>
            </w:r>
            <w:bookmarkStart w:id="0" w:name="_GoBack"/>
            <w:bookmarkEnd w:id="0"/>
            <w:r w:rsidR="000820D5">
              <w:rPr>
                <w:rFonts w:asciiTheme="majorHAnsi" w:eastAsia="Arial" w:hAnsiTheme="majorHAnsi" w:cstheme="majorHAnsi"/>
              </w:rPr>
              <w:t>es</w:t>
            </w:r>
            <w:r w:rsidR="00F202BB" w:rsidRPr="006C69EE">
              <w:rPr>
                <w:rFonts w:asciiTheme="majorHAnsi" w:eastAsia="Arial" w:hAnsiTheme="majorHAnsi" w:cstheme="majorHAnsi"/>
              </w:rPr>
              <w:t xml:space="preserve"> del Reglamento del Código de la Administración Pública de Yucatán.</w:t>
            </w:r>
          </w:p>
        </w:tc>
      </w:tr>
      <w:tr w:rsidR="00F202BB" w:rsidRPr="006C69EE" w:rsidTr="006C69EE">
        <w:trPr>
          <w:cantSplit/>
          <w:trHeight w:val="295"/>
          <w:jc w:val="center"/>
        </w:trPr>
        <w:tc>
          <w:tcPr>
            <w:tcW w:w="702" w:type="dxa"/>
            <w:vAlign w:val="center"/>
          </w:tcPr>
          <w:p w:rsidR="00F202BB" w:rsidRPr="006C69EE" w:rsidRDefault="007769A9"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XLII</w:t>
            </w:r>
          </w:p>
        </w:tc>
        <w:tc>
          <w:tcPr>
            <w:tcW w:w="2938" w:type="dxa"/>
            <w:vAlign w:val="center"/>
          </w:tcPr>
          <w:p w:rsidR="00F202BB" w:rsidRPr="006C69EE" w:rsidRDefault="007769A9" w:rsidP="00D31E16">
            <w:pPr>
              <w:spacing w:after="0" w:line="240" w:lineRule="auto"/>
              <w:jc w:val="both"/>
              <w:rPr>
                <w:rFonts w:ascii="Calibri Light" w:eastAsia="Times New Roman" w:hAnsi="Calibri Light" w:cs="Calibri Light"/>
                <w:lang w:eastAsia="es-MX"/>
              </w:rPr>
            </w:pPr>
            <w:r w:rsidRPr="006C69EE">
              <w:rPr>
                <w:rFonts w:ascii="Calibri Light" w:eastAsia="Times New Roman" w:hAnsi="Calibri Light" w:cs="Calibri Light"/>
                <w:lang w:eastAsia="es-MX"/>
              </w:rPr>
              <w:t>El listado de jubilados y pensionados y el monto que reciben;</w:t>
            </w:r>
          </w:p>
        </w:tc>
        <w:tc>
          <w:tcPr>
            <w:tcW w:w="1735" w:type="dxa"/>
            <w:vAlign w:val="center"/>
          </w:tcPr>
          <w:p w:rsidR="00F202BB" w:rsidRPr="006C69EE" w:rsidRDefault="00E22F37" w:rsidP="00E22F37">
            <w:pPr>
              <w:spacing w:after="0" w:line="240" w:lineRule="auto"/>
              <w:jc w:val="both"/>
              <w:rPr>
                <w:rFonts w:asciiTheme="majorHAnsi" w:eastAsia="Arial" w:hAnsiTheme="majorHAnsi" w:cstheme="majorHAnsi"/>
              </w:rPr>
            </w:pPr>
            <w:r w:rsidRPr="006C69EE">
              <w:rPr>
                <w:rFonts w:asciiTheme="majorHAnsi" w:eastAsia="Arial" w:hAnsiTheme="majorHAnsi" w:cstheme="majorHAnsi"/>
              </w:rPr>
              <w:t xml:space="preserve">Instituto de Seguridad Social de los Trabajadores del Estado de Yucatán, </w:t>
            </w:r>
            <w:r w:rsidR="007769A9" w:rsidRPr="006C69EE">
              <w:rPr>
                <w:rFonts w:asciiTheme="majorHAnsi" w:eastAsia="Arial" w:hAnsiTheme="majorHAnsi" w:cstheme="majorHAnsi"/>
              </w:rPr>
              <w:t>ISSTEY</w:t>
            </w:r>
          </w:p>
        </w:tc>
        <w:tc>
          <w:tcPr>
            <w:tcW w:w="1444" w:type="dxa"/>
            <w:vAlign w:val="center"/>
          </w:tcPr>
          <w:p w:rsidR="00F202BB" w:rsidRPr="006C69EE" w:rsidRDefault="00E22F37"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Aplicable.</w:t>
            </w:r>
          </w:p>
        </w:tc>
        <w:tc>
          <w:tcPr>
            <w:tcW w:w="3608" w:type="dxa"/>
            <w:vAlign w:val="center"/>
          </w:tcPr>
          <w:p w:rsidR="00F202BB" w:rsidRPr="006C69EE" w:rsidRDefault="002D0C2E" w:rsidP="00D31E16">
            <w:pPr>
              <w:spacing w:after="0" w:line="240" w:lineRule="auto"/>
              <w:jc w:val="both"/>
              <w:rPr>
                <w:rFonts w:asciiTheme="majorHAnsi" w:eastAsia="Arial" w:hAnsiTheme="majorHAnsi" w:cstheme="majorHAnsi"/>
              </w:rPr>
            </w:pPr>
            <w:r w:rsidRPr="006C69EE">
              <w:rPr>
                <w:rFonts w:asciiTheme="majorHAnsi" w:eastAsia="Arial" w:hAnsiTheme="majorHAnsi" w:cstheme="majorHAnsi"/>
              </w:rPr>
              <w:t>Toda vez que de conformidad con lo señalado en el artículo 61 de la Ley de Seguridad Social para los Servidores Públicos del Estado de Yucatán, de sus Municipios y de los Organismos Públicos Coordinados y Descentralizados de Carácter Estatal, es obligación del ISSTEY pagar las pensiones por jubilación y de otra índole que se consignen en dicha Ley.</w:t>
            </w:r>
          </w:p>
        </w:tc>
      </w:tr>
      <w:tr w:rsidR="007769A9" w:rsidRPr="006C69EE" w:rsidTr="006C69EE">
        <w:trPr>
          <w:cantSplit/>
          <w:trHeight w:val="295"/>
          <w:jc w:val="center"/>
        </w:trPr>
        <w:tc>
          <w:tcPr>
            <w:tcW w:w="702" w:type="dxa"/>
            <w:vAlign w:val="center"/>
          </w:tcPr>
          <w:p w:rsidR="007769A9" w:rsidRPr="006C69EE" w:rsidRDefault="007769A9" w:rsidP="007769A9">
            <w:pPr>
              <w:spacing w:after="0" w:line="240" w:lineRule="auto"/>
              <w:jc w:val="both"/>
              <w:rPr>
                <w:rFonts w:asciiTheme="majorHAnsi" w:eastAsia="Arial" w:hAnsiTheme="majorHAnsi" w:cstheme="majorHAnsi"/>
              </w:rPr>
            </w:pPr>
            <w:r w:rsidRPr="006C69EE">
              <w:rPr>
                <w:rFonts w:asciiTheme="majorHAnsi" w:eastAsia="Arial" w:hAnsiTheme="majorHAnsi" w:cstheme="majorHAnsi"/>
              </w:rPr>
              <w:lastRenderedPageBreak/>
              <w:t>XLII</w:t>
            </w:r>
          </w:p>
        </w:tc>
        <w:tc>
          <w:tcPr>
            <w:tcW w:w="2938" w:type="dxa"/>
            <w:vAlign w:val="center"/>
          </w:tcPr>
          <w:p w:rsidR="007769A9" w:rsidRPr="006C69EE" w:rsidRDefault="007769A9" w:rsidP="007769A9">
            <w:pPr>
              <w:spacing w:after="0" w:line="240" w:lineRule="auto"/>
              <w:jc w:val="both"/>
              <w:rPr>
                <w:rFonts w:ascii="Calibri Light" w:eastAsia="Times New Roman" w:hAnsi="Calibri Light" w:cs="Calibri Light"/>
                <w:lang w:eastAsia="es-MX"/>
              </w:rPr>
            </w:pPr>
            <w:r w:rsidRPr="006C69EE">
              <w:rPr>
                <w:rFonts w:ascii="Calibri Light" w:eastAsia="Times New Roman" w:hAnsi="Calibri Light" w:cs="Calibri Light"/>
                <w:lang w:eastAsia="es-MX"/>
              </w:rPr>
              <w:t>El listado de jubilados y pensionados y el monto que reciben;</w:t>
            </w:r>
          </w:p>
        </w:tc>
        <w:tc>
          <w:tcPr>
            <w:tcW w:w="1735" w:type="dxa"/>
            <w:vAlign w:val="center"/>
          </w:tcPr>
          <w:p w:rsidR="007769A9" w:rsidRPr="006C69EE" w:rsidRDefault="00CF437C" w:rsidP="007769A9">
            <w:pPr>
              <w:spacing w:after="0" w:line="240" w:lineRule="auto"/>
              <w:jc w:val="both"/>
              <w:rPr>
                <w:rFonts w:asciiTheme="majorHAnsi" w:eastAsia="Arial" w:hAnsiTheme="majorHAnsi" w:cstheme="majorHAnsi"/>
              </w:rPr>
            </w:pPr>
            <w:r w:rsidRPr="006C69EE">
              <w:rPr>
                <w:rFonts w:asciiTheme="majorHAnsi" w:eastAsia="Arial" w:hAnsiTheme="majorHAnsi" w:cstheme="majorHAnsi"/>
              </w:rPr>
              <w:t>Junta de Agua Potable y Alcantarillado de Yucatán</w:t>
            </w:r>
            <w:r w:rsidR="00E22F37" w:rsidRPr="006C69EE">
              <w:rPr>
                <w:rFonts w:asciiTheme="majorHAnsi" w:eastAsia="Arial" w:hAnsiTheme="majorHAnsi" w:cstheme="majorHAnsi"/>
              </w:rPr>
              <w:t>, JAPAY</w:t>
            </w:r>
          </w:p>
        </w:tc>
        <w:tc>
          <w:tcPr>
            <w:tcW w:w="1444" w:type="dxa"/>
            <w:vAlign w:val="center"/>
          </w:tcPr>
          <w:p w:rsidR="007769A9" w:rsidRPr="006C69EE" w:rsidRDefault="00E22F37" w:rsidP="007769A9">
            <w:pPr>
              <w:spacing w:after="0" w:line="240" w:lineRule="auto"/>
              <w:jc w:val="both"/>
              <w:rPr>
                <w:rFonts w:asciiTheme="majorHAnsi" w:eastAsia="Arial" w:hAnsiTheme="majorHAnsi" w:cstheme="majorHAnsi"/>
              </w:rPr>
            </w:pPr>
            <w:r w:rsidRPr="006C69EE">
              <w:rPr>
                <w:rFonts w:asciiTheme="majorHAnsi" w:eastAsia="Arial" w:hAnsiTheme="majorHAnsi" w:cstheme="majorHAnsi"/>
              </w:rPr>
              <w:t>Aplicable.</w:t>
            </w:r>
          </w:p>
        </w:tc>
        <w:tc>
          <w:tcPr>
            <w:tcW w:w="3608" w:type="dxa"/>
            <w:vAlign w:val="center"/>
          </w:tcPr>
          <w:p w:rsidR="007769A9" w:rsidRPr="006C69EE" w:rsidRDefault="00017B72" w:rsidP="007769A9">
            <w:pPr>
              <w:spacing w:after="0" w:line="240" w:lineRule="auto"/>
              <w:jc w:val="both"/>
              <w:rPr>
                <w:rFonts w:asciiTheme="majorHAnsi" w:eastAsia="Arial" w:hAnsiTheme="majorHAnsi" w:cstheme="majorHAnsi"/>
              </w:rPr>
            </w:pPr>
            <w:r w:rsidRPr="006C69EE">
              <w:rPr>
                <w:rFonts w:ascii="Calibri Light" w:hAnsi="Calibri Light" w:cs="Calibri Light"/>
                <w:color w:val="000000"/>
                <w:shd w:val="clear" w:color="auto" w:fill="FFFFFF"/>
              </w:rPr>
              <w:t>Le es aplicable, t</w:t>
            </w:r>
            <w:r w:rsidR="00123BD4" w:rsidRPr="006C69EE">
              <w:rPr>
                <w:rFonts w:ascii="Calibri Light" w:hAnsi="Calibri Light" w:cs="Calibri Light"/>
                <w:color w:val="000000"/>
                <w:shd w:val="clear" w:color="auto" w:fill="FFFFFF"/>
              </w:rPr>
              <w:t>oda vez que en atención al conveni</w:t>
            </w:r>
            <w:r w:rsidRPr="006C69EE">
              <w:rPr>
                <w:rFonts w:ascii="Calibri Light" w:hAnsi="Calibri Light" w:cs="Calibri Light"/>
                <w:color w:val="000000"/>
                <w:shd w:val="clear" w:color="auto" w:fill="FFFFFF"/>
              </w:rPr>
              <w:t>o de trabajo suscrito entre</w:t>
            </w:r>
            <w:r w:rsidR="00123BD4" w:rsidRPr="006C69EE">
              <w:rPr>
                <w:rFonts w:ascii="Calibri Light" w:hAnsi="Calibri Light" w:cs="Calibri Light"/>
                <w:color w:val="000000"/>
                <w:shd w:val="clear" w:color="auto" w:fill="FFFFFF"/>
              </w:rPr>
              <w:t xml:space="preserve"> Junta de Agua Potable y Alcantarillado de Yucatán y el Sindicato de Trabajadores de los Sistemas de Agua Potable y Alcantarillado, Similares y Conexos de Yucatán, la Junta otorga a todo trabajador sindicalizado, que se encuentra en el supuesto </w:t>
            </w:r>
            <w:r w:rsidRPr="006C69EE">
              <w:rPr>
                <w:rFonts w:ascii="Calibri Light" w:hAnsi="Calibri Light" w:cs="Calibri Light"/>
                <w:color w:val="000000"/>
                <w:shd w:val="clear" w:color="auto" w:fill="FFFFFF"/>
              </w:rPr>
              <w:t>trigésimo segundo</w:t>
            </w:r>
            <w:r w:rsidR="00123BD4" w:rsidRPr="006C69EE">
              <w:rPr>
                <w:rFonts w:ascii="Calibri Light" w:hAnsi="Calibri Light" w:cs="Calibri Light"/>
                <w:color w:val="000000"/>
                <w:shd w:val="clear" w:color="auto" w:fill="FFFFFF"/>
              </w:rPr>
              <w:t xml:space="preserve"> de dicho convenio, un pago porcentual en concepto de jubilación, el cual se refleja en la partida </w:t>
            </w:r>
            <w:r w:rsidRPr="006C69EE">
              <w:rPr>
                <w:rFonts w:ascii="Calibri Light" w:hAnsi="Calibri Light" w:cs="Calibri Light"/>
                <w:color w:val="000000"/>
                <w:shd w:val="clear" w:color="auto" w:fill="FFFFFF"/>
              </w:rPr>
              <w:t>4500</w:t>
            </w:r>
            <w:r w:rsidR="00123BD4" w:rsidRPr="006C69EE">
              <w:rPr>
                <w:rFonts w:ascii="Calibri Light" w:hAnsi="Calibri Light" w:cs="Calibri Light"/>
                <w:color w:val="000000"/>
                <w:shd w:val="clear" w:color="auto" w:fill="FFFFFF"/>
              </w:rPr>
              <w:t xml:space="preserve"> de</w:t>
            </w:r>
            <w:r w:rsidRPr="006C69EE">
              <w:rPr>
                <w:rFonts w:ascii="Calibri Light" w:hAnsi="Calibri Light" w:cs="Calibri Light"/>
                <w:color w:val="000000"/>
                <w:shd w:val="clear" w:color="auto" w:fill="FFFFFF"/>
              </w:rPr>
              <w:t>l</w:t>
            </w:r>
            <w:r w:rsidR="00123BD4" w:rsidRPr="006C69EE">
              <w:rPr>
                <w:rFonts w:ascii="Calibri Light" w:hAnsi="Calibri Light" w:cs="Calibri Light"/>
                <w:color w:val="000000"/>
                <w:shd w:val="clear" w:color="auto" w:fill="FFFFFF"/>
              </w:rPr>
              <w:t xml:space="preserve"> </w:t>
            </w:r>
            <w:r w:rsidRPr="006C69EE">
              <w:rPr>
                <w:rFonts w:ascii="Calibri Light" w:hAnsi="Calibri Light" w:cs="Calibri Light"/>
                <w:color w:val="000000"/>
                <w:shd w:val="clear" w:color="auto" w:fill="FFFFFF"/>
              </w:rPr>
              <w:t>capítulo</w:t>
            </w:r>
            <w:r w:rsidR="00123BD4" w:rsidRPr="006C69EE">
              <w:rPr>
                <w:rFonts w:ascii="Calibri Light" w:hAnsi="Calibri Light" w:cs="Calibri Light"/>
                <w:color w:val="000000"/>
                <w:shd w:val="clear" w:color="auto" w:fill="FFFFFF"/>
              </w:rPr>
              <w:t xml:space="preserve"> 4000.</w:t>
            </w:r>
          </w:p>
        </w:tc>
      </w:tr>
      <w:tr w:rsidR="007769A9" w:rsidRPr="006C69EE" w:rsidTr="006C69EE">
        <w:trPr>
          <w:cantSplit/>
          <w:trHeight w:val="295"/>
          <w:jc w:val="center"/>
        </w:trPr>
        <w:tc>
          <w:tcPr>
            <w:tcW w:w="702" w:type="dxa"/>
            <w:vAlign w:val="center"/>
          </w:tcPr>
          <w:p w:rsidR="007769A9" w:rsidRPr="006C69EE" w:rsidRDefault="007769A9" w:rsidP="007769A9">
            <w:pPr>
              <w:spacing w:after="0" w:line="240" w:lineRule="auto"/>
              <w:jc w:val="both"/>
              <w:rPr>
                <w:rFonts w:asciiTheme="majorHAnsi" w:eastAsia="Arial" w:hAnsiTheme="majorHAnsi" w:cstheme="majorHAnsi"/>
              </w:rPr>
            </w:pPr>
            <w:r w:rsidRPr="006C69EE">
              <w:rPr>
                <w:rFonts w:asciiTheme="majorHAnsi" w:eastAsia="Arial" w:hAnsiTheme="majorHAnsi" w:cstheme="majorHAnsi"/>
              </w:rPr>
              <w:t>XLVII</w:t>
            </w:r>
          </w:p>
        </w:tc>
        <w:tc>
          <w:tcPr>
            <w:tcW w:w="2938" w:type="dxa"/>
            <w:vAlign w:val="center"/>
          </w:tcPr>
          <w:p w:rsidR="007769A9" w:rsidRPr="006C69EE" w:rsidRDefault="007769A9" w:rsidP="007769A9">
            <w:pPr>
              <w:spacing w:after="0" w:line="240" w:lineRule="auto"/>
              <w:jc w:val="both"/>
              <w:rPr>
                <w:rFonts w:asciiTheme="majorHAnsi" w:eastAsia="Arial" w:hAnsiTheme="majorHAnsi" w:cstheme="majorHAnsi"/>
              </w:rPr>
            </w:pPr>
            <w:r w:rsidRPr="006C69EE">
              <w:rPr>
                <w:rFonts w:ascii="Calibri Light" w:eastAsia="Times New Roman" w:hAnsi="Calibri Light" w:cs="Calibri Light"/>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1735" w:type="dxa"/>
            <w:vAlign w:val="center"/>
          </w:tcPr>
          <w:p w:rsidR="007769A9" w:rsidRPr="006C69EE" w:rsidRDefault="007769A9" w:rsidP="007769A9">
            <w:pPr>
              <w:spacing w:after="0" w:line="240" w:lineRule="auto"/>
              <w:jc w:val="both"/>
              <w:rPr>
                <w:rFonts w:asciiTheme="majorHAnsi" w:eastAsia="Arial" w:hAnsiTheme="majorHAnsi" w:cstheme="majorHAnsi"/>
              </w:rPr>
            </w:pPr>
            <w:r w:rsidRPr="006C69EE">
              <w:rPr>
                <w:rFonts w:asciiTheme="majorHAnsi" w:eastAsia="Arial" w:hAnsiTheme="majorHAnsi" w:cstheme="majorHAnsi"/>
              </w:rPr>
              <w:t>Fiscalía General del Estado</w:t>
            </w:r>
          </w:p>
        </w:tc>
        <w:tc>
          <w:tcPr>
            <w:tcW w:w="1444" w:type="dxa"/>
            <w:vAlign w:val="center"/>
          </w:tcPr>
          <w:p w:rsidR="007769A9" w:rsidRPr="006C69EE" w:rsidRDefault="007769A9" w:rsidP="007769A9">
            <w:pPr>
              <w:spacing w:after="0" w:line="240" w:lineRule="auto"/>
              <w:jc w:val="both"/>
              <w:rPr>
                <w:rFonts w:asciiTheme="majorHAnsi" w:eastAsia="Arial" w:hAnsiTheme="majorHAnsi" w:cstheme="majorHAnsi"/>
              </w:rPr>
            </w:pPr>
            <w:r w:rsidRPr="006C69EE">
              <w:rPr>
                <w:rFonts w:asciiTheme="majorHAnsi" w:eastAsia="Arial" w:hAnsiTheme="majorHAnsi" w:cstheme="majorHAnsi"/>
              </w:rPr>
              <w:t>Aplicable.</w:t>
            </w:r>
          </w:p>
        </w:tc>
        <w:tc>
          <w:tcPr>
            <w:tcW w:w="3608" w:type="dxa"/>
            <w:vAlign w:val="center"/>
          </w:tcPr>
          <w:p w:rsidR="007769A9" w:rsidRPr="006C69EE" w:rsidRDefault="002728BE" w:rsidP="007769A9">
            <w:pPr>
              <w:spacing w:after="0" w:line="240" w:lineRule="auto"/>
              <w:jc w:val="both"/>
              <w:rPr>
                <w:rFonts w:asciiTheme="majorHAnsi" w:eastAsia="Arial" w:hAnsiTheme="majorHAnsi" w:cstheme="majorHAnsi"/>
              </w:rPr>
            </w:pPr>
            <w:r w:rsidRPr="006C69EE">
              <w:rPr>
                <w:rFonts w:asciiTheme="majorHAnsi" w:eastAsia="Arial" w:hAnsiTheme="majorHAnsi" w:cstheme="majorHAnsi"/>
              </w:rPr>
              <w:t xml:space="preserve">Toda vez que </w:t>
            </w:r>
            <w:r w:rsidR="00205C38" w:rsidRPr="006C69EE">
              <w:rPr>
                <w:rFonts w:asciiTheme="majorHAnsi" w:eastAsia="Arial" w:hAnsiTheme="majorHAnsi" w:cstheme="majorHAnsi"/>
              </w:rPr>
              <w:t>el artículo 291 del Código Nacional de Procedimientos Penales, faculta a los Procuradores de las entidades federativas, a solicitar al Juez federal de control competente, por cualquier medio, la autorización para practicar la intervención de comunicaciones privadas, expresando el objeto y necesidad de la misma.</w:t>
            </w:r>
          </w:p>
          <w:p w:rsidR="00205C38" w:rsidRPr="006C69EE" w:rsidRDefault="00205C38" w:rsidP="00C55525">
            <w:pPr>
              <w:spacing w:after="0" w:line="240" w:lineRule="auto"/>
              <w:jc w:val="both"/>
              <w:rPr>
                <w:rFonts w:asciiTheme="majorHAnsi" w:eastAsia="Arial" w:hAnsiTheme="majorHAnsi" w:cstheme="majorHAnsi"/>
              </w:rPr>
            </w:pPr>
            <w:r w:rsidRPr="006C69EE">
              <w:rPr>
                <w:rFonts w:asciiTheme="majorHAnsi" w:eastAsia="Arial" w:hAnsiTheme="majorHAnsi" w:cstheme="majorHAnsi"/>
              </w:rPr>
              <w:t xml:space="preserve">Dicho código entró en vigor en el Estado, el </w:t>
            </w:r>
            <w:r w:rsidR="00C55525" w:rsidRPr="006C69EE">
              <w:rPr>
                <w:rFonts w:asciiTheme="majorHAnsi" w:eastAsia="Arial" w:hAnsiTheme="majorHAnsi" w:cstheme="majorHAnsi"/>
              </w:rPr>
              <w:t>22 de septiembre de 2015</w:t>
            </w:r>
            <w:r w:rsidRPr="006C69EE">
              <w:rPr>
                <w:rFonts w:asciiTheme="majorHAnsi" w:eastAsia="Arial" w:hAnsiTheme="majorHAnsi" w:cstheme="majorHAnsi"/>
              </w:rPr>
              <w:t>.</w:t>
            </w:r>
          </w:p>
        </w:tc>
      </w:tr>
    </w:tbl>
    <w:p w:rsidR="006C69EE" w:rsidRDefault="006C69EE" w:rsidP="00D31E16">
      <w:pPr>
        <w:spacing w:after="0" w:line="240" w:lineRule="auto"/>
        <w:jc w:val="both"/>
        <w:rPr>
          <w:rFonts w:asciiTheme="majorHAnsi" w:eastAsia="Arial" w:hAnsiTheme="majorHAnsi" w:cs="Arial"/>
          <w:sz w:val="26"/>
          <w:szCs w:val="26"/>
        </w:rPr>
      </w:pPr>
    </w:p>
    <w:p w:rsidR="006C69EE" w:rsidRDefault="006C69EE">
      <w:pPr>
        <w:spacing w:after="160" w:line="259" w:lineRule="auto"/>
        <w:rPr>
          <w:rFonts w:asciiTheme="majorHAnsi" w:eastAsia="Arial" w:hAnsiTheme="majorHAnsi" w:cs="Arial"/>
          <w:sz w:val="26"/>
          <w:szCs w:val="26"/>
        </w:rPr>
      </w:pPr>
      <w:r>
        <w:rPr>
          <w:rFonts w:asciiTheme="majorHAnsi" w:eastAsia="Arial" w:hAnsiTheme="majorHAnsi" w:cs="Arial"/>
          <w:sz w:val="26"/>
          <w:szCs w:val="26"/>
        </w:rPr>
        <w:br w:type="page"/>
      </w:r>
    </w:p>
    <w:p w:rsidR="00A55E83" w:rsidRDefault="00A55E83" w:rsidP="00D31E16">
      <w:pPr>
        <w:spacing w:after="0" w:line="240" w:lineRule="auto"/>
        <w:jc w:val="both"/>
        <w:rPr>
          <w:rFonts w:asciiTheme="majorHAnsi" w:eastAsia="Arial" w:hAnsiTheme="majorHAnsi" w:cs="Arial"/>
          <w:sz w:val="26"/>
          <w:szCs w:val="26"/>
        </w:rPr>
      </w:pPr>
    </w:p>
    <w:p w:rsidR="008C7186" w:rsidRPr="002414F5" w:rsidRDefault="002414F5" w:rsidP="00D31E16">
      <w:pPr>
        <w:spacing w:after="0" w:line="240" w:lineRule="auto"/>
        <w:jc w:val="both"/>
        <w:rPr>
          <w:rFonts w:asciiTheme="majorHAnsi" w:eastAsia="Arial" w:hAnsiTheme="majorHAnsi" w:cs="Arial"/>
          <w:b/>
          <w:sz w:val="26"/>
          <w:szCs w:val="26"/>
        </w:rPr>
      </w:pPr>
      <w:r w:rsidRPr="002414F5">
        <w:rPr>
          <w:rFonts w:asciiTheme="majorHAnsi" w:eastAsia="Arial" w:hAnsiTheme="majorHAnsi" w:cs="Arial"/>
          <w:b/>
          <w:sz w:val="26"/>
          <w:szCs w:val="26"/>
        </w:rPr>
        <w:t>Del Poder Legislativo</w:t>
      </w:r>
    </w:p>
    <w:p w:rsidR="008C7186" w:rsidRDefault="008C7186" w:rsidP="00D31E16">
      <w:pPr>
        <w:spacing w:after="0" w:line="240" w:lineRule="auto"/>
        <w:jc w:val="both"/>
        <w:rPr>
          <w:rFonts w:asciiTheme="majorHAnsi" w:eastAsia="Arial" w:hAnsiTheme="majorHAnsi" w:cs="Arial"/>
          <w:sz w:val="26"/>
          <w:szCs w:val="26"/>
        </w:rPr>
      </w:pPr>
    </w:p>
    <w:tbl>
      <w:tblPr>
        <w:tblStyle w:val="Tablaconcuadrcula"/>
        <w:tblW w:w="10219" w:type="dxa"/>
        <w:jc w:val="center"/>
        <w:tblLook w:val="04A0" w:firstRow="1" w:lastRow="0" w:firstColumn="1" w:lastColumn="0" w:noHBand="0" w:noVBand="1"/>
      </w:tblPr>
      <w:tblGrid>
        <w:gridCol w:w="769"/>
        <w:gridCol w:w="2859"/>
        <w:gridCol w:w="1689"/>
        <w:gridCol w:w="1482"/>
        <w:gridCol w:w="3420"/>
      </w:tblGrid>
      <w:tr w:rsidR="002414F5" w:rsidRPr="001A257A" w:rsidTr="00E108F4">
        <w:trPr>
          <w:cantSplit/>
          <w:trHeight w:val="619"/>
          <w:tblHeader/>
          <w:jc w:val="center"/>
        </w:trPr>
        <w:tc>
          <w:tcPr>
            <w:tcW w:w="3628" w:type="dxa"/>
            <w:gridSpan w:val="2"/>
            <w:shd w:val="clear" w:color="auto" w:fill="B4C6E7" w:themeFill="accent5" w:themeFillTint="66"/>
            <w:vAlign w:val="center"/>
          </w:tcPr>
          <w:p w:rsidR="002414F5" w:rsidRPr="001A257A" w:rsidRDefault="002414F5" w:rsidP="00E108F4">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Fracción/ Obligación de Transparencia</w:t>
            </w:r>
          </w:p>
        </w:tc>
        <w:tc>
          <w:tcPr>
            <w:tcW w:w="1689" w:type="dxa"/>
            <w:shd w:val="clear" w:color="auto" w:fill="B4C6E7" w:themeFill="accent5" w:themeFillTint="66"/>
            <w:vAlign w:val="center"/>
          </w:tcPr>
          <w:p w:rsidR="002414F5" w:rsidRPr="001A257A" w:rsidRDefault="002414F5" w:rsidP="00E108F4">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Sujeto Obligado</w:t>
            </w:r>
          </w:p>
        </w:tc>
        <w:tc>
          <w:tcPr>
            <w:tcW w:w="1482" w:type="dxa"/>
            <w:shd w:val="clear" w:color="auto" w:fill="B4C6E7" w:themeFill="accent5" w:themeFillTint="66"/>
            <w:vAlign w:val="center"/>
          </w:tcPr>
          <w:p w:rsidR="002414F5" w:rsidRPr="001A257A" w:rsidRDefault="002414F5" w:rsidP="00E108F4">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Aplicable/ No Aplicable</w:t>
            </w:r>
          </w:p>
        </w:tc>
        <w:tc>
          <w:tcPr>
            <w:tcW w:w="3420" w:type="dxa"/>
            <w:shd w:val="clear" w:color="auto" w:fill="B4C6E7" w:themeFill="accent5" w:themeFillTint="66"/>
            <w:vAlign w:val="center"/>
          </w:tcPr>
          <w:p w:rsidR="002414F5" w:rsidRPr="001A257A" w:rsidRDefault="002414F5" w:rsidP="00E108F4">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Fundamento Legal</w:t>
            </w:r>
          </w:p>
        </w:tc>
      </w:tr>
      <w:tr w:rsidR="00E108F4" w:rsidRPr="001A257A" w:rsidTr="00E108F4">
        <w:trPr>
          <w:cantSplit/>
          <w:trHeight w:val="3158"/>
          <w:jc w:val="center"/>
        </w:trPr>
        <w:tc>
          <w:tcPr>
            <w:tcW w:w="769" w:type="dxa"/>
            <w:vAlign w:val="center"/>
          </w:tcPr>
          <w:p w:rsidR="002414F5" w:rsidRPr="001A257A" w:rsidRDefault="002414F5" w:rsidP="00E108F4">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XXXVI</w:t>
            </w:r>
          </w:p>
        </w:tc>
        <w:tc>
          <w:tcPr>
            <w:tcW w:w="2859" w:type="dxa"/>
            <w:vAlign w:val="center"/>
          </w:tcPr>
          <w:p w:rsidR="002414F5" w:rsidRPr="001A257A" w:rsidRDefault="00E108F4" w:rsidP="00E108F4">
            <w:pPr>
              <w:spacing w:after="0" w:line="240" w:lineRule="auto"/>
              <w:jc w:val="both"/>
              <w:rPr>
                <w:rFonts w:asciiTheme="majorHAnsi" w:eastAsia="Arial" w:hAnsiTheme="majorHAnsi" w:cstheme="majorHAnsi"/>
                <w:sz w:val="24"/>
                <w:szCs w:val="24"/>
              </w:rPr>
            </w:pPr>
            <w:r w:rsidRPr="00EE7A3B">
              <w:rPr>
                <w:rFonts w:ascii="Calibri Light" w:eastAsia="Times New Roman" w:hAnsi="Calibri Light" w:cs="Calibri Light"/>
                <w:sz w:val="24"/>
                <w:szCs w:val="24"/>
                <w:lang w:eastAsia="es-MX"/>
              </w:rPr>
              <w:t>Las resoluciones y laudos que se emitan en procesos o procedimientos seguidos en forma de juicio;</w:t>
            </w:r>
          </w:p>
        </w:tc>
        <w:tc>
          <w:tcPr>
            <w:tcW w:w="1689" w:type="dxa"/>
            <w:vAlign w:val="center"/>
          </w:tcPr>
          <w:p w:rsidR="002414F5" w:rsidRPr="001A257A" w:rsidRDefault="00E108F4" w:rsidP="00E108F4">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Congreso del Estado de Yucatán</w:t>
            </w:r>
          </w:p>
        </w:tc>
        <w:tc>
          <w:tcPr>
            <w:tcW w:w="1482" w:type="dxa"/>
            <w:vAlign w:val="center"/>
          </w:tcPr>
          <w:p w:rsidR="002414F5" w:rsidRPr="001A257A" w:rsidRDefault="00E108F4" w:rsidP="00E108F4">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Aplicable.</w:t>
            </w:r>
          </w:p>
        </w:tc>
        <w:tc>
          <w:tcPr>
            <w:tcW w:w="3420" w:type="dxa"/>
            <w:vAlign w:val="center"/>
          </w:tcPr>
          <w:p w:rsidR="002414F5" w:rsidRPr="001A257A" w:rsidRDefault="00121BEC" w:rsidP="00E108F4">
            <w:pPr>
              <w:spacing w:after="0" w:line="240" w:lineRule="auto"/>
              <w:jc w:val="both"/>
              <w:rPr>
                <w:rFonts w:asciiTheme="majorHAnsi" w:eastAsia="Arial" w:hAnsiTheme="majorHAnsi" w:cstheme="majorHAnsi"/>
                <w:sz w:val="24"/>
                <w:szCs w:val="24"/>
              </w:rPr>
            </w:pPr>
            <w:r>
              <w:rPr>
                <w:rFonts w:ascii="Calibri Light" w:hAnsi="Calibri Light" w:cs="Calibri Light"/>
                <w:sz w:val="24"/>
                <w:szCs w:val="24"/>
                <w:lang w:eastAsia="es-MX"/>
              </w:rPr>
              <w:t xml:space="preserve">Le es aplicable, no obstante lo anterior, esta información será reportada </w:t>
            </w:r>
            <w:r w:rsidR="00F70B92">
              <w:rPr>
                <w:rFonts w:ascii="Calibri Light" w:hAnsi="Calibri Light" w:cs="Calibri Light"/>
                <w:sz w:val="24"/>
                <w:szCs w:val="24"/>
                <w:lang w:eastAsia="es-MX"/>
              </w:rPr>
              <w:t xml:space="preserve">únicamente </w:t>
            </w:r>
            <w:r>
              <w:rPr>
                <w:rFonts w:ascii="Calibri Light" w:hAnsi="Calibri Light" w:cs="Calibri Light"/>
                <w:sz w:val="24"/>
                <w:szCs w:val="24"/>
                <w:lang w:eastAsia="es-MX"/>
              </w:rPr>
              <w:t xml:space="preserve">en las obligaciones de transparencia específicas señaladas en el artículo 72 fracción </w:t>
            </w:r>
            <w:r w:rsidR="00F70B92">
              <w:rPr>
                <w:rFonts w:ascii="Calibri Light" w:hAnsi="Calibri Light" w:cs="Calibri Light"/>
                <w:sz w:val="24"/>
                <w:szCs w:val="24"/>
                <w:lang w:eastAsia="es-MX"/>
              </w:rPr>
              <w:t>X</w:t>
            </w:r>
            <w:r>
              <w:rPr>
                <w:rFonts w:ascii="Calibri Light" w:hAnsi="Calibri Light" w:cs="Calibri Light"/>
                <w:sz w:val="24"/>
                <w:szCs w:val="24"/>
                <w:lang w:eastAsia="es-MX"/>
              </w:rPr>
              <w:t xml:space="preserve"> de la Ley general de transparencia.</w:t>
            </w:r>
          </w:p>
        </w:tc>
      </w:tr>
      <w:tr w:rsidR="002414F5" w:rsidRPr="001A257A" w:rsidTr="00E108F4">
        <w:trPr>
          <w:cantSplit/>
          <w:trHeight w:val="3158"/>
          <w:jc w:val="center"/>
        </w:trPr>
        <w:tc>
          <w:tcPr>
            <w:tcW w:w="769" w:type="dxa"/>
            <w:vAlign w:val="center"/>
          </w:tcPr>
          <w:p w:rsidR="002414F5" w:rsidRPr="001A257A" w:rsidRDefault="002414F5" w:rsidP="00E108F4">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XL</w:t>
            </w:r>
          </w:p>
        </w:tc>
        <w:tc>
          <w:tcPr>
            <w:tcW w:w="2859" w:type="dxa"/>
            <w:vAlign w:val="center"/>
          </w:tcPr>
          <w:p w:rsidR="002414F5" w:rsidRPr="001A257A" w:rsidRDefault="00E108F4" w:rsidP="00E108F4">
            <w:pPr>
              <w:spacing w:after="0" w:line="240" w:lineRule="auto"/>
              <w:jc w:val="both"/>
              <w:rPr>
                <w:rFonts w:asciiTheme="majorHAnsi" w:eastAsia="Arial" w:hAnsiTheme="majorHAnsi" w:cstheme="majorHAnsi"/>
                <w:sz w:val="24"/>
                <w:szCs w:val="24"/>
              </w:rPr>
            </w:pPr>
            <w:r w:rsidRPr="007E77DE">
              <w:rPr>
                <w:rFonts w:ascii="Calibri Light" w:eastAsia="Times New Roman" w:hAnsi="Calibri Light" w:cs="Calibri Light"/>
                <w:sz w:val="24"/>
                <w:szCs w:val="24"/>
                <w:lang w:eastAsia="es-MX"/>
              </w:rPr>
              <w:t>Todas las evaluaciones y encuestas que hagan los sujetos obligados a programas financiados con recursos públicos;</w:t>
            </w:r>
          </w:p>
        </w:tc>
        <w:tc>
          <w:tcPr>
            <w:tcW w:w="1689" w:type="dxa"/>
            <w:vAlign w:val="center"/>
          </w:tcPr>
          <w:p w:rsidR="002414F5" w:rsidRPr="001A257A" w:rsidRDefault="00E108F4" w:rsidP="00E108F4">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Congreso del Estado de Yucatán</w:t>
            </w:r>
          </w:p>
        </w:tc>
        <w:tc>
          <w:tcPr>
            <w:tcW w:w="1482" w:type="dxa"/>
            <w:vAlign w:val="center"/>
          </w:tcPr>
          <w:p w:rsidR="002414F5" w:rsidRPr="001A257A" w:rsidRDefault="00E108F4" w:rsidP="00E108F4">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3420" w:type="dxa"/>
            <w:vAlign w:val="center"/>
          </w:tcPr>
          <w:p w:rsidR="002414F5" w:rsidRPr="00F70B92" w:rsidRDefault="00F70B92" w:rsidP="00E108F4">
            <w:pPr>
              <w:spacing w:after="0" w:line="240" w:lineRule="auto"/>
              <w:jc w:val="both"/>
              <w:rPr>
                <w:rFonts w:ascii="Calibri Light" w:eastAsia="Times New Roman" w:hAnsi="Calibri Light" w:cs="Calibri Light"/>
                <w:sz w:val="24"/>
                <w:szCs w:val="24"/>
                <w:lang w:eastAsia="es-MX"/>
              </w:rPr>
            </w:pPr>
            <w:r w:rsidRPr="00F70B92">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2414F5" w:rsidRPr="001A257A" w:rsidTr="00E108F4">
        <w:trPr>
          <w:cantSplit/>
          <w:trHeight w:val="3158"/>
          <w:jc w:val="center"/>
        </w:trPr>
        <w:tc>
          <w:tcPr>
            <w:tcW w:w="769" w:type="dxa"/>
            <w:vAlign w:val="center"/>
          </w:tcPr>
          <w:p w:rsidR="002414F5" w:rsidRPr="001A257A" w:rsidRDefault="002414F5" w:rsidP="00E108F4">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lastRenderedPageBreak/>
              <w:t>XLVI</w:t>
            </w:r>
          </w:p>
        </w:tc>
        <w:tc>
          <w:tcPr>
            <w:tcW w:w="2859" w:type="dxa"/>
            <w:vAlign w:val="center"/>
          </w:tcPr>
          <w:p w:rsidR="002414F5" w:rsidRPr="001A257A" w:rsidRDefault="00E108F4" w:rsidP="00E108F4">
            <w:pPr>
              <w:spacing w:after="0" w:line="240" w:lineRule="auto"/>
              <w:jc w:val="both"/>
              <w:rPr>
                <w:rFonts w:asciiTheme="majorHAnsi" w:eastAsia="Arial" w:hAnsiTheme="majorHAnsi" w:cstheme="majorHAnsi"/>
                <w:sz w:val="24"/>
                <w:szCs w:val="24"/>
              </w:rPr>
            </w:pPr>
            <w:r w:rsidRPr="00EE7A3B">
              <w:rPr>
                <w:rFonts w:ascii="Calibri Light" w:eastAsia="Times New Roman" w:hAnsi="Calibri Light" w:cs="Calibri Light"/>
                <w:sz w:val="24"/>
                <w:szCs w:val="24"/>
                <w:lang w:eastAsia="es-MX"/>
              </w:rPr>
              <w:t>Las actas de sesiones ordinarias y extraordinarias, así como las opiniones y recomendaciones que emitan, en su caso, los consejos consultivos (Artículo 47 de la LG);</w:t>
            </w:r>
          </w:p>
        </w:tc>
        <w:tc>
          <w:tcPr>
            <w:tcW w:w="1689" w:type="dxa"/>
            <w:vAlign w:val="center"/>
          </w:tcPr>
          <w:p w:rsidR="002414F5" w:rsidRPr="001A257A" w:rsidRDefault="00E108F4" w:rsidP="00E108F4">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Congreso del Estado de Yucatán</w:t>
            </w:r>
          </w:p>
        </w:tc>
        <w:tc>
          <w:tcPr>
            <w:tcW w:w="1482" w:type="dxa"/>
            <w:vAlign w:val="center"/>
          </w:tcPr>
          <w:p w:rsidR="002414F5" w:rsidRPr="001A257A" w:rsidRDefault="00E108F4" w:rsidP="00E108F4">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3420" w:type="dxa"/>
            <w:vAlign w:val="center"/>
          </w:tcPr>
          <w:p w:rsidR="002414F5" w:rsidRPr="001A257A" w:rsidRDefault="00F70B92" w:rsidP="00E108F4">
            <w:pPr>
              <w:spacing w:after="0" w:line="240" w:lineRule="auto"/>
              <w:jc w:val="both"/>
              <w:rPr>
                <w:rFonts w:asciiTheme="majorHAnsi" w:eastAsia="Arial" w:hAnsiTheme="majorHAnsi" w:cstheme="majorHAnsi"/>
                <w:sz w:val="24"/>
                <w:szCs w:val="24"/>
              </w:rPr>
            </w:pPr>
            <w:r>
              <w:rPr>
                <w:rFonts w:ascii="Calibri Light" w:hAnsi="Calibri Light" w:cs="Calibri Light"/>
                <w:sz w:val="24"/>
                <w:szCs w:val="24"/>
              </w:rPr>
              <w:t>No le es aplicable, toda vez que de conformidad con lo establecido en la Ley de Gobierno del Poder Legislativo del Estado de Yucatán, la generación de la información a la que se refiere esta fracción, no se encuentra dentro de su ámbito de facultades, competencias y atribuciones.</w:t>
            </w:r>
          </w:p>
        </w:tc>
      </w:tr>
    </w:tbl>
    <w:p w:rsidR="002414F5" w:rsidRDefault="002414F5" w:rsidP="00D31E16">
      <w:pPr>
        <w:spacing w:after="0" w:line="240" w:lineRule="auto"/>
        <w:jc w:val="both"/>
        <w:rPr>
          <w:rFonts w:asciiTheme="majorHAnsi" w:eastAsia="Arial" w:hAnsiTheme="majorHAnsi" w:cs="Arial"/>
          <w:sz w:val="26"/>
          <w:szCs w:val="26"/>
        </w:rPr>
      </w:pPr>
    </w:p>
    <w:p w:rsidR="00DE6BF4" w:rsidRPr="00DE6BF4" w:rsidRDefault="00DE6BF4" w:rsidP="00D31E16">
      <w:pPr>
        <w:spacing w:after="0" w:line="240" w:lineRule="auto"/>
        <w:jc w:val="both"/>
        <w:rPr>
          <w:rFonts w:asciiTheme="majorHAnsi" w:eastAsia="Arial" w:hAnsiTheme="majorHAnsi" w:cs="Arial"/>
          <w:b/>
          <w:sz w:val="26"/>
          <w:szCs w:val="26"/>
        </w:rPr>
      </w:pPr>
      <w:r w:rsidRPr="00DE6BF4">
        <w:rPr>
          <w:rFonts w:asciiTheme="majorHAnsi" w:eastAsia="Arial" w:hAnsiTheme="majorHAnsi" w:cs="Arial"/>
          <w:b/>
          <w:sz w:val="26"/>
          <w:szCs w:val="26"/>
        </w:rPr>
        <w:t>De los Organismos Autónomos</w:t>
      </w:r>
    </w:p>
    <w:p w:rsidR="00DE6BF4" w:rsidRDefault="00DE6BF4" w:rsidP="00D31E16">
      <w:pPr>
        <w:spacing w:after="0" w:line="240" w:lineRule="auto"/>
        <w:jc w:val="both"/>
        <w:rPr>
          <w:rFonts w:asciiTheme="majorHAnsi" w:eastAsia="Arial" w:hAnsiTheme="majorHAnsi" w:cs="Arial"/>
          <w:sz w:val="26"/>
          <w:szCs w:val="26"/>
        </w:rPr>
      </w:pPr>
    </w:p>
    <w:tbl>
      <w:tblPr>
        <w:tblStyle w:val="Tablaconcuadrcula"/>
        <w:tblW w:w="10219" w:type="dxa"/>
        <w:jc w:val="center"/>
        <w:tblLook w:val="04A0" w:firstRow="1" w:lastRow="0" w:firstColumn="1" w:lastColumn="0" w:noHBand="0" w:noVBand="1"/>
      </w:tblPr>
      <w:tblGrid>
        <w:gridCol w:w="629"/>
        <w:gridCol w:w="2485"/>
        <w:gridCol w:w="2210"/>
        <w:gridCol w:w="1481"/>
        <w:gridCol w:w="3414"/>
      </w:tblGrid>
      <w:tr w:rsidR="00DE6BF4" w:rsidRPr="001A257A" w:rsidTr="00687B4B">
        <w:trPr>
          <w:cantSplit/>
          <w:trHeight w:val="619"/>
          <w:tblHeader/>
          <w:jc w:val="center"/>
        </w:trPr>
        <w:tc>
          <w:tcPr>
            <w:tcW w:w="3114" w:type="dxa"/>
            <w:gridSpan w:val="2"/>
            <w:shd w:val="clear" w:color="auto" w:fill="B4C6E7" w:themeFill="accent5" w:themeFillTint="66"/>
            <w:vAlign w:val="center"/>
          </w:tcPr>
          <w:p w:rsidR="00DE6BF4" w:rsidRPr="001A257A" w:rsidRDefault="00DE6BF4" w:rsidP="00F71DAB">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Fracción/ Obligación de Transparencia</w:t>
            </w:r>
          </w:p>
        </w:tc>
        <w:tc>
          <w:tcPr>
            <w:tcW w:w="2210" w:type="dxa"/>
            <w:shd w:val="clear" w:color="auto" w:fill="B4C6E7" w:themeFill="accent5" w:themeFillTint="66"/>
            <w:vAlign w:val="center"/>
          </w:tcPr>
          <w:p w:rsidR="00DE6BF4" w:rsidRPr="001A257A" w:rsidRDefault="00DE6BF4" w:rsidP="00F71DAB">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Sujeto Obligado</w:t>
            </w:r>
          </w:p>
        </w:tc>
        <w:tc>
          <w:tcPr>
            <w:tcW w:w="1481" w:type="dxa"/>
            <w:shd w:val="clear" w:color="auto" w:fill="B4C6E7" w:themeFill="accent5" w:themeFillTint="66"/>
            <w:vAlign w:val="center"/>
          </w:tcPr>
          <w:p w:rsidR="00DE6BF4" w:rsidRPr="001A257A" w:rsidRDefault="00DE6BF4" w:rsidP="00F71DAB">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Aplicable/ No Aplicable</w:t>
            </w:r>
          </w:p>
        </w:tc>
        <w:tc>
          <w:tcPr>
            <w:tcW w:w="3414" w:type="dxa"/>
            <w:shd w:val="clear" w:color="auto" w:fill="B4C6E7" w:themeFill="accent5" w:themeFillTint="66"/>
            <w:vAlign w:val="center"/>
          </w:tcPr>
          <w:p w:rsidR="00DE6BF4" w:rsidRPr="001A257A" w:rsidRDefault="00DE6BF4" w:rsidP="00F71DAB">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Fundamento Legal</w:t>
            </w:r>
          </w:p>
        </w:tc>
      </w:tr>
      <w:tr w:rsidR="00687B4B" w:rsidRPr="001A257A" w:rsidTr="00687B4B">
        <w:trPr>
          <w:cantSplit/>
          <w:trHeight w:val="1067"/>
          <w:jc w:val="center"/>
        </w:trPr>
        <w:tc>
          <w:tcPr>
            <w:tcW w:w="629" w:type="dxa"/>
            <w:vAlign w:val="center"/>
          </w:tcPr>
          <w:p w:rsidR="00687B4B" w:rsidRPr="001A257A" w:rsidRDefault="00687B4B" w:rsidP="00AE0156">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XL</w:t>
            </w:r>
          </w:p>
        </w:tc>
        <w:tc>
          <w:tcPr>
            <w:tcW w:w="2485" w:type="dxa"/>
            <w:vAlign w:val="center"/>
          </w:tcPr>
          <w:p w:rsidR="00687B4B" w:rsidRPr="001A257A" w:rsidRDefault="00687B4B" w:rsidP="00AE0156">
            <w:pPr>
              <w:spacing w:after="0" w:line="240" w:lineRule="auto"/>
              <w:jc w:val="both"/>
              <w:rPr>
                <w:rFonts w:asciiTheme="majorHAnsi" w:eastAsia="Arial" w:hAnsiTheme="majorHAnsi" w:cstheme="majorHAnsi"/>
                <w:sz w:val="24"/>
                <w:szCs w:val="24"/>
              </w:rPr>
            </w:pPr>
            <w:r w:rsidRPr="007E77DE">
              <w:rPr>
                <w:rFonts w:ascii="Calibri Light" w:eastAsia="Times New Roman" w:hAnsi="Calibri Light" w:cs="Calibri Light"/>
                <w:sz w:val="24"/>
                <w:szCs w:val="24"/>
                <w:lang w:eastAsia="es-MX"/>
              </w:rPr>
              <w:t>Todas las evaluaciones y encuestas que hagan los sujetos obligados a programas financiados con recursos públicos;</w:t>
            </w:r>
          </w:p>
        </w:tc>
        <w:tc>
          <w:tcPr>
            <w:tcW w:w="2210" w:type="dxa"/>
            <w:vAlign w:val="center"/>
          </w:tcPr>
          <w:p w:rsidR="00687B4B" w:rsidRPr="001A257A" w:rsidRDefault="00687B4B" w:rsidP="00AE0156">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Comisión de Derechos Humanos del Estado de Yucatán, CODHEY.</w:t>
            </w:r>
          </w:p>
        </w:tc>
        <w:tc>
          <w:tcPr>
            <w:tcW w:w="1481" w:type="dxa"/>
            <w:vAlign w:val="center"/>
          </w:tcPr>
          <w:p w:rsidR="00687B4B" w:rsidRPr="001A257A" w:rsidRDefault="00687B4B" w:rsidP="00AE0156">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3414" w:type="dxa"/>
            <w:vMerge w:val="restart"/>
            <w:vAlign w:val="center"/>
          </w:tcPr>
          <w:p w:rsidR="00687B4B" w:rsidRPr="00F70B92" w:rsidRDefault="00687B4B" w:rsidP="00AE0156">
            <w:pPr>
              <w:spacing w:after="0" w:line="240" w:lineRule="auto"/>
              <w:jc w:val="both"/>
              <w:rPr>
                <w:rFonts w:ascii="Calibri Light" w:eastAsia="Times New Roman" w:hAnsi="Calibri Light" w:cs="Calibri Light"/>
                <w:sz w:val="24"/>
                <w:szCs w:val="24"/>
                <w:lang w:eastAsia="es-MX"/>
              </w:rPr>
            </w:pPr>
            <w:r w:rsidRPr="00F70B92">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687B4B" w:rsidRPr="001A257A" w:rsidTr="00687B4B">
        <w:trPr>
          <w:cantSplit/>
          <w:trHeight w:val="1992"/>
          <w:jc w:val="center"/>
        </w:trPr>
        <w:tc>
          <w:tcPr>
            <w:tcW w:w="629" w:type="dxa"/>
            <w:vAlign w:val="center"/>
          </w:tcPr>
          <w:p w:rsidR="00687B4B" w:rsidRPr="001A257A"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XL</w:t>
            </w:r>
          </w:p>
        </w:tc>
        <w:tc>
          <w:tcPr>
            <w:tcW w:w="2485" w:type="dxa"/>
            <w:vAlign w:val="center"/>
          </w:tcPr>
          <w:p w:rsidR="00687B4B" w:rsidRPr="001A257A" w:rsidRDefault="00687B4B" w:rsidP="00687B4B">
            <w:pPr>
              <w:spacing w:after="0" w:line="240" w:lineRule="auto"/>
              <w:jc w:val="both"/>
              <w:rPr>
                <w:rFonts w:asciiTheme="majorHAnsi" w:eastAsia="Arial" w:hAnsiTheme="majorHAnsi" w:cstheme="majorHAnsi"/>
                <w:sz w:val="24"/>
                <w:szCs w:val="24"/>
              </w:rPr>
            </w:pPr>
            <w:r w:rsidRPr="007E77DE">
              <w:rPr>
                <w:rFonts w:ascii="Calibri Light" w:eastAsia="Times New Roman" w:hAnsi="Calibri Light" w:cs="Calibri Light"/>
                <w:sz w:val="24"/>
                <w:szCs w:val="24"/>
                <w:lang w:eastAsia="es-MX"/>
              </w:rPr>
              <w:t>Todas las evaluaciones y encuestas que hagan los sujetos obligados a programas financiados con recursos públicos;</w:t>
            </w:r>
          </w:p>
        </w:tc>
        <w:tc>
          <w:tcPr>
            <w:tcW w:w="2210" w:type="dxa"/>
            <w:vAlign w:val="center"/>
          </w:tcPr>
          <w:p w:rsidR="00687B4B"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Instituto Estatal de Transparencia, Acceso a la Información Pública y Protección de Datos Personales, INAIP.</w:t>
            </w:r>
          </w:p>
        </w:tc>
        <w:tc>
          <w:tcPr>
            <w:tcW w:w="1481" w:type="dxa"/>
            <w:vAlign w:val="center"/>
          </w:tcPr>
          <w:p w:rsidR="00687B4B"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3414" w:type="dxa"/>
            <w:vMerge/>
            <w:vAlign w:val="center"/>
          </w:tcPr>
          <w:p w:rsidR="00687B4B" w:rsidRPr="00F70B92" w:rsidRDefault="00687B4B" w:rsidP="00687B4B">
            <w:pPr>
              <w:spacing w:after="0" w:line="240" w:lineRule="auto"/>
              <w:jc w:val="both"/>
              <w:rPr>
                <w:rFonts w:ascii="Calibri Light" w:eastAsia="Times New Roman" w:hAnsi="Calibri Light" w:cs="Calibri Light"/>
                <w:sz w:val="24"/>
                <w:szCs w:val="24"/>
                <w:lang w:eastAsia="es-MX"/>
              </w:rPr>
            </w:pPr>
          </w:p>
        </w:tc>
      </w:tr>
      <w:tr w:rsidR="00687B4B" w:rsidRPr="001A257A" w:rsidTr="00687B4B">
        <w:trPr>
          <w:cantSplit/>
          <w:trHeight w:val="1230"/>
          <w:jc w:val="center"/>
        </w:trPr>
        <w:tc>
          <w:tcPr>
            <w:tcW w:w="629" w:type="dxa"/>
            <w:vAlign w:val="center"/>
          </w:tcPr>
          <w:p w:rsidR="00687B4B" w:rsidRPr="001A257A"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XL</w:t>
            </w:r>
          </w:p>
        </w:tc>
        <w:tc>
          <w:tcPr>
            <w:tcW w:w="2485" w:type="dxa"/>
            <w:vAlign w:val="center"/>
          </w:tcPr>
          <w:p w:rsidR="00687B4B" w:rsidRPr="001A257A" w:rsidRDefault="00687B4B" w:rsidP="00687B4B">
            <w:pPr>
              <w:spacing w:after="0" w:line="240" w:lineRule="auto"/>
              <w:jc w:val="both"/>
              <w:rPr>
                <w:rFonts w:asciiTheme="majorHAnsi" w:eastAsia="Arial" w:hAnsiTheme="majorHAnsi" w:cstheme="majorHAnsi"/>
                <w:sz w:val="24"/>
                <w:szCs w:val="24"/>
              </w:rPr>
            </w:pPr>
            <w:r w:rsidRPr="007E77DE">
              <w:rPr>
                <w:rFonts w:ascii="Calibri Light" w:eastAsia="Times New Roman" w:hAnsi="Calibri Light" w:cs="Calibri Light"/>
                <w:sz w:val="24"/>
                <w:szCs w:val="24"/>
                <w:lang w:eastAsia="es-MX"/>
              </w:rPr>
              <w:t>Todas las evaluaciones y encuestas que hagan los sujetos obligados a programas financiados con recursos públicos;</w:t>
            </w:r>
          </w:p>
        </w:tc>
        <w:tc>
          <w:tcPr>
            <w:tcW w:w="2210" w:type="dxa"/>
            <w:vAlign w:val="center"/>
          </w:tcPr>
          <w:p w:rsidR="00687B4B"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Instituto Electoral y de Participación Ciudadana de Yucatán, IEPAC.</w:t>
            </w:r>
          </w:p>
        </w:tc>
        <w:tc>
          <w:tcPr>
            <w:tcW w:w="1481" w:type="dxa"/>
            <w:vAlign w:val="center"/>
          </w:tcPr>
          <w:p w:rsidR="00687B4B"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3414" w:type="dxa"/>
            <w:vMerge/>
            <w:vAlign w:val="center"/>
          </w:tcPr>
          <w:p w:rsidR="00687B4B" w:rsidRPr="00F70B92" w:rsidRDefault="00687B4B" w:rsidP="00687B4B">
            <w:pPr>
              <w:spacing w:after="0" w:line="240" w:lineRule="auto"/>
              <w:jc w:val="both"/>
              <w:rPr>
                <w:rFonts w:ascii="Calibri Light" w:eastAsia="Times New Roman" w:hAnsi="Calibri Light" w:cs="Calibri Light"/>
                <w:sz w:val="24"/>
                <w:szCs w:val="24"/>
                <w:lang w:eastAsia="es-MX"/>
              </w:rPr>
            </w:pPr>
          </w:p>
        </w:tc>
      </w:tr>
      <w:tr w:rsidR="00687B4B" w:rsidRPr="001A257A" w:rsidTr="00687B4B">
        <w:trPr>
          <w:cantSplit/>
          <w:trHeight w:val="1230"/>
          <w:jc w:val="center"/>
        </w:trPr>
        <w:tc>
          <w:tcPr>
            <w:tcW w:w="629" w:type="dxa"/>
            <w:vAlign w:val="center"/>
          </w:tcPr>
          <w:p w:rsidR="00687B4B" w:rsidRPr="001A257A"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XL</w:t>
            </w:r>
          </w:p>
        </w:tc>
        <w:tc>
          <w:tcPr>
            <w:tcW w:w="2485" w:type="dxa"/>
            <w:vAlign w:val="center"/>
          </w:tcPr>
          <w:p w:rsidR="00687B4B" w:rsidRPr="001A257A" w:rsidRDefault="00687B4B" w:rsidP="00687B4B">
            <w:pPr>
              <w:spacing w:after="0" w:line="240" w:lineRule="auto"/>
              <w:jc w:val="both"/>
              <w:rPr>
                <w:rFonts w:asciiTheme="majorHAnsi" w:eastAsia="Arial" w:hAnsiTheme="majorHAnsi" w:cstheme="majorHAnsi"/>
                <w:sz w:val="24"/>
                <w:szCs w:val="24"/>
              </w:rPr>
            </w:pPr>
            <w:r w:rsidRPr="007E77DE">
              <w:rPr>
                <w:rFonts w:ascii="Calibri Light" w:eastAsia="Times New Roman" w:hAnsi="Calibri Light" w:cs="Calibri Light"/>
                <w:sz w:val="24"/>
                <w:szCs w:val="24"/>
                <w:lang w:eastAsia="es-MX"/>
              </w:rPr>
              <w:t>Todas las evaluaciones y encuestas que hagan los sujetos obligados a programas financiados con recursos públicos;</w:t>
            </w:r>
          </w:p>
        </w:tc>
        <w:tc>
          <w:tcPr>
            <w:tcW w:w="2210" w:type="dxa"/>
            <w:vAlign w:val="center"/>
          </w:tcPr>
          <w:p w:rsidR="00687B4B"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Tribunal Electoral del Estado de Yucatán, TEEY.</w:t>
            </w:r>
          </w:p>
        </w:tc>
        <w:tc>
          <w:tcPr>
            <w:tcW w:w="1481" w:type="dxa"/>
            <w:vAlign w:val="center"/>
          </w:tcPr>
          <w:p w:rsidR="00687B4B"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3414" w:type="dxa"/>
            <w:vMerge/>
            <w:vAlign w:val="center"/>
          </w:tcPr>
          <w:p w:rsidR="00687B4B" w:rsidRPr="00F70B92" w:rsidRDefault="00687B4B" w:rsidP="00687B4B">
            <w:pPr>
              <w:spacing w:after="0" w:line="240" w:lineRule="auto"/>
              <w:jc w:val="both"/>
              <w:rPr>
                <w:rFonts w:ascii="Calibri Light" w:eastAsia="Times New Roman" w:hAnsi="Calibri Light" w:cs="Calibri Light"/>
                <w:sz w:val="24"/>
                <w:szCs w:val="24"/>
                <w:lang w:eastAsia="es-MX"/>
              </w:rPr>
            </w:pPr>
          </w:p>
        </w:tc>
      </w:tr>
      <w:tr w:rsidR="00687B4B" w:rsidRPr="001A257A" w:rsidTr="00687B4B">
        <w:trPr>
          <w:cantSplit/>
          <w:trHeight w:val="1230"/>
          <w:jc w:val="center"/>
        </w:trPr>
        <w:tc>
          <w:tcPr>
            <w:tcW w:w="629" w:type="dxa"/>
            <w:vAlign w:val="center"/>
          </w:tcPr>
          <w:p w:rsidR="00687B4B"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lastRenderedPageBreak/>
              <w:t>XLVI</w:t>
            </w:r>
          </w:p>
        </w:tc>
        <w:tc>
          <w:tcPr>
            <w:tcW w:w="2485" w:type="dxa"/>
            <w:vAlign w:val="center"/>
          </w:tcPr>
          <w:p w:rsidR="00687B4B" w:rsidRPr="007E77DE" w:rsidRDefault="00687B4B" w:rsidP="00687B4B">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Las actas de sesiones ordinarias y extraordinarias, así como las opiniones y recomendaciones que emitan, en su caso, los consejos consultivos (Artículo 47 de la LG);</w:t>
            </w:r>
          </w:p>
        </w:tc>
        <w:tc>
          <w:tcPr>
            <w:tcW w:w="2210" w:type="dxa"/>
            <w:vAlign w:val="center"/>
          </w:tcPr>
          <w:p w:rsidR="00687B4B"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Tribunal Electoral del Estado de Yucatán, TEEY.</w:t>
            </w:r>
          </w:p>
        </w:tc>
        <w:tc>
          <w:tcPr>
            <w:tcW w:w="1481" w:type="dxa"/>
            <w:vAlign w:val="center"/>
          </w:tcPr>
          <w:p w:rsidR="00687B4B" w:rsidRDefault="00687B4B" w:rsidP="00687B4B">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3414" w:type="dxa"/>
            <w:vAlign w:val="center"/>
          </w:tcPr>
          <w:p w:rsidR="00687B4B" w:rsidRPr="00F70B92" w:rsidRDefault="00687B4B" w:rsidP="00687B4B">
            <w:pPr>
              <w:spacing w:after="0" w:line="240" w:lineRule="auto"/>
              <w:jc w:val="both"/>
              <w:rPr>
                <w:rFonts w:ascii="Calibri Light" w:eastAsia="Times New Roman" w:hAnsi="Calibri Light" w:cs="Calibri Light"/>
                <w:sz w:val="24"/>
                <w:szCs w:val="24"/>
                <w:lang w:eastAsia="es-MX"/>
              </w:rPr>
            </w:pPr>
            <w:r>
              <w:rPr>
                <w:rFonts w:ascii="Calibri Light" w:hAnsi="Calibri Light" w:cs="Calibri Light"/>
                <w:sz w:val="24"/>
                <w:szCs w:val="24"/>
              </w:rPr>
              <w:t>No le es aplicable, toda vez que de conformidad con lo establecido en los artículos 349, 352</w:t>
            </w:r>
            <w:r w:rsidR="00BF4274">
              <w:rPr>
                <w:rFonts w:ascii="Calibri Light" w:hAnsi="Calibri Light" w:cs="Calibri Light"/>
                <w:sz w:val="24"/>
                <w:szCs w:val="24"/>
              </w:rPr>
              <w:t xml:space="preserve"> y</w:t>
            </w:r>
            <w:r>
              <w:rPr>
                <w:rFonts w:ascii="Calibri Light" w:hAnsi="Calibri Light" w:cs="Calibri Light"/>
                <w:sz w:val="24"/>
                <w:szCs w:val="24"/>
              </w:rPr>
              <w:t xml:space="preserve"> 356 de la Ley de Instituciones y Procedimientos Electorales del Estado de Yucatán, la generación de la información a la que se refiere esta fracción, no se encuentra dentro de su ámbito de facultades, competencias y atribuciones.</w:t>
            </w:r>
          </w:p>
        </w:tc>
      </w:tr>
    </w:tbl>
    <w:p w:rsidR="00DE6BF4" w:rsidRDefault="00DE6BF4" w:rsidP="00D31E16">
      <w:pPr>
        <w:spacing w:after="0" w:line="240" w:lineRule="auto"/>
        <w:jc w:val="both"/>
        <w:rPr>
          <w:rFonts w:asciiTheme="majorHAnsi" w:eastAsia="Arial" w:hAnsiTheme="majorHAnsi" w:cs="Arial"/>
          <w:sz w:val="26"/>
          <w:szCs w:val="26"/>
        </w:rPr>
      </w:pPr>
    </w:p>
    <w:p w:rsidR="001D75E1" w:rsidRPr="00BF4274" w:rsidRDefault="00BF4274" w:rsidP="00D31E16">
      <w:pPr>
        <w:spacing w:after="0" w:line="240" w:lineRule="auto"/>
        <w:jc w:val="both"/>
        <w:rPr>
          <w:rFonts w:asciiTheme="majorHAnsi" w:eastAsia="Arial" w:hAnsiTheme="majorHAnsi" w:cs="Arial"/>
          <w:b/>
          <w:sz w:val="26"/>
          <w:szCs w:val="26"/>
        </w:rPr>
      </w:pPr>
      <w:r w:rsidRPr="00BF4274">
        <w:rPr>
          <w:rFonts w:asciiTheme="majorHAnsi" w:eastAsia="Arial" w:hAnsiTheme="majorHAnsi" w:cs="Arial"/>
          <w:b/>
          <w:sz w:val="26"/>
          <w:szCs w:val="26"/>
        </w:rPr>
        <w:t>De los Ayuntamientos</w:t>
      </w:r>
    </w:p>
    <w:p w:rsidR="00BF4274" w:rsidRDefault="00BF4274" w:rsidP="00D31E16">
      <w:pPr>
        <w:spacing w:after="0" w:line="240" w:lineRule="auto"/>
        <w:jc w:val="both"/>
        <w:rPr>
          <w:rFonts w:asciiTheme="majorHAnsi" w:eastAsia="Arial" w:hAnsiTheme="majorHAnsi" w:cs="Arial"/>
          <w:sz w:val="26"/>
          <w:szCs w:val="26"/>
        </w:rPr>
      </w:pPr>
    </w:p>
    <w:tbl>
      <w:tblPr>
        <w:tblStyle w:val="Tablaconcuadrcula"/>
        <w:tblW w:w="10219" w:type="dxa"/>
        <w:jc w:val="center"/>
        <w:tblLook w:val="04A0" w:firstRow="1" w:lastRow="0" w:firstColumn="1" w:lastColumn="0" w:noHBand="0" w:noVBand="1"/>
      </w:tblPr>
      <w:tblGrid>
        <w:gridCol w:w="629"/>
        <w:gridCol w:w="2485"/>
        <w:gridCol w:w="2210"/>
        <w:gridCol w:w="1481"/>
        <w:gridCol w:w="3414"/>
      </w:tblGrid>
      <w:tr w:rsidR="00BF4274" w:rsidRPr="001A257A" w:rsidTr="00F71DAB">
        <w:trPr>
          <w:cantSplit/>
          <w:trHeight w:val="619"/>
          <w:tblHeader/>
          <w:jc w:val="center"/>
        </w:trPr>
        <w:tc>
          <w:tcPr>
            <w:tcW w:w="3114" w:type="dxa"/>
            <w:gridSpan w:val="2"/>
            <w:shd w:val="clear" w:color="auto" w:fill="B4C6E7" w:themeFill="accent5" w:themeFillTint="66"/>
            <w:vAlign w:val="center"/>
          </w:tcPr>
          <w:p w:rsidR="00BF4274" w:rsidRPr="001A257A" w:rsidRDefault="00BF4274" w:rsidP="00F71DAB">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Fracción/ Obligación de Transparencia</w:t>
            </w:r>
          </w:p>
        </w:tc>
        <w:tc>
          <w:tcPr>
            <w:tcW w:w="2210" w:type="dxa"/>
            <w:shd w:val="clear" w:color="auto" w:fill="B4C6E7" w:themeFill="accent5" w:themeFillTint="66"/>
            <w:vAlign w:val="center"/>
          </w:tcPr>
          <w:p w:rsidR="00BF4274" w:rsidRPr="001A257A" w:rsidRDefault="00BF4274" w:rsidP="00F71DAB">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Sujeto Obligado</w:t>
            </w:r>
          </w:p>
        </w:tc>
        <w:tc>
          <w:tcPr>
            <w:tcW w:w="1481" w:type="dxa"/>
            <w:shd w:val="clear" w:color="auto" w:fill="B4C6E7" w:themeFill="accent5" w:themeFillTint="66"/>
            <w:vAlign w:val="center"/>
          </w:tcPr>
          <w:p w:rsidR="00BF4274" w:rsidRPr="001A257A" w:rsidRDefault="00BF4274" w:rsidP="00F71DAB">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Aplicable/ No Aplicable</w:t>
            </w:r>
          </w:p>
        </w:tc>
        <w:tc>
          <w:tcPr>
            <w:tcW w:w="3414" w:type="dxa"/>
            <w:shd w:val="clear" w:color="auto" w:fill="B4C6E7" w:themeFill="accent5" w:themeFillTint="66"/>
            <w:vAlign w:val="center"/>
          </w:tcPr>
          <w:p w:rsidR="00BF4274" w:rsidRPr="001A257A" w:rsidRDefault="00BF4274" w:rsidP="00F71DAB">
            <w:pPr>
              <w:spacing w:after="0" w:line="240" w:lineRule="auto"/>
              <w:jc w:val="center"/>
              <w:rPr>
                <w:rFonts w:asciiTheme="majorHAnsi" w:eastAsia="Arial" w:hAnsiTheme="majorHAnsi" w:cstheme="majorHAnsi"/>
                <w:b/>
                <w:sz w:val="24"/>
                <w:szCs w:val="24"/>
              </w:rPr>
            </w:pPr>
            <w:r w:rsidRPr="001A257A">
              <w:rPr>
                <w:rFonts w:asciiTheme="majorHAnsi" w:eastAsia="Arial" w:hAnsiTheme="majorHAnsi" w:cstheme="majorHAnsi"/>
                <w:b/>
                <w:sz w:val="24"/>
                <w:szCs w:val="24"/>
              </w:rPr>
              <w:t>Fundamento Legal</w:t>
            </w:r>
          </w:p>
        </w:tc>
      </w:tr>
      <w:tr w:rsidR="00EF7AEA" w:rsidRPr="001A257A" w:rsidTr="00F71DAB">
        <w:trPr>
          <w:cantSplit/>
          <w:trHeight w:val="1067"/>
          <w:jc w:val="center"/>
        </w:trPr>
        <w:tc>
          <w:tcPr>
            <w:tcW w:w="629" w:type="dxa"/>
            <w:vAlign w:val="center"/>
          </w:tcPr>
          <w:p w:rsidR="00EF7AEA" w:rsidRDefault="00EF7AEA" w:rsidP="00EF7AE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XLII</w:t>
            </w:r>
          </w:p>
        </w:tc>
        <w:tc>
          <w:tcPr>
            <w:tcW w:w="2485" w:type="dxa"/>
            <w:vAlign w:val="center"/>
          </w:tcPr>
          <w:p w:rsidR="00EF7AEA" w:rsidRPr="003A01CC" w:rsidRDefault="00EF7AEA" w:rsidP="00EF7AEA">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listado de jubilados y pensionados y el monto que reciben;</w:t>
            </w:r>
          </w:p>
        </w:tc>
        <w:tc>
          <w:tcPr>
            <w:tcW w:w="2210" w:type="dxa"/>
            <w:vAlign w:val="center"/>
          </w:tcPr>
          <w:p w:rsidR="00EF7AEA" w:rsidRDefault="00EF7AEA" w:rsidP="00EF7AE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Ayuntamiento de Mérida</w:t>
            </w:r>
          </w:p>
        </w:tc>
        <w:tc>
          <w:tcPr>
            <w:tcW w:w="1481" w:type="dxa"/>
            <w:vAlign w:val="center"/>
          </w:tcPr>
          <w:p w:rsidR="00EF7AEA" w:rsidRDefault="00EF7AEA" w:rsidP="00EF7AE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Aplicable.</w:t>
            </w:r>
          </w:p>
        </w:tc>
        <w:tc>
          <w:tcPr>
            <w:tcW w:w="3414" w:type="dxa"/>
            <w:vAlign w:val="center"/>
          </w:tcPr>
          <w:p w:rsidR="00EF7AEA" w:rsidRPr="00F70B92" w:rsidRDefault="00067355" w:rsidP="00EF7AEA">
            <w:pPr>
              <w:spacing w:after="0" w:line="240" w:lineRule="auto"/>
              <w:jc w:val="both"/>
              <w:rPr>
                <w:rFonts w:ascii="Calibri Light" w:eastAsia="Times New Roman" w:hAnsi="Calibri Light" w:cs="Calibri Light"/>
                <w:sz w:val="24"/>
                <w:szCs w:val="24"/>
                <w:lang w:eastAsia="es-MX"/>
              </w:rPr>
            </w:pPr>
            <w:r>
              <w:rPr>
                <w:rFonts w:ascii="Calibri Light" w:eastAsia="Times New Roman" w:hAnsi="Calibri Light" w:cs="Calibri Light"/>
                <w:sz w:val="24"/>
                <w:szCs w:val="24"/>
                <w:lang w:eastAsia="es-MX"/>
              </w:rPr>
              <w:t>Toda vez que el Ayuntamiento de Mérida, instituyó e</w:t>
            </w:r>
            <w:r w:rsidRPr="00067355">
              <w:rPr>
                <w:rFonts w:ascii="Calibri Light" w:eastAsia="Times New Roman" w:hAnsi="Calibri Light" w:cs="Calibri Light"/>
                <w:sz w:val="24"/>
                <w:szCs w:val="24"/>
                <w:lang w:eastAsia="es-MX"/>
              </w:rPr>
              <w:t>l Sistema Individual para el Retiro y Jubilación Municipal (SIRJUM),</w:t>
            </w:r>
            <w:r w:rsidR="00C87558">
              <w:rPr>
                <w:rFonts w:ascii="Calibri Light" w:eastAsia="Times New Roman" w:hAnsi="Calibri Light" w:cs="Calibri Light"/>
                <w:sz w:val="24"/>
                <w:szCs w:val="24"/>
                <w:lang w:eastAsia="es-MX"/>
              </w:rPr>
              <w:t xml:space="preserve"> el</w:t>
            </w:r>
            <w:r w:rsidRPr="00067355">
              <w:rPr>
                <w:rFonts w:ascii="Calibri Light" w:eastAsia="Times New Roman" w:hAnsi="Calibri Light" w:cs="Calibri Light"/>
                <w:sz w:val="24"/>
                <w:szCs w:val="24"/>
                <w:lang w:eastAsia="es-MX"/>
              </w:rPr>
              <w:t xml:space="preserve"> </w:t>
            </w:r>
            <w:r w:rsidR="00C87558">
              <w:rPr>
                <w:rFonts w:ascii="Calibri Light" w:eastAsia="Times New Roman" w:hAnsi="Calibri Light" w:cs="Calibri Light"/>
                <w:sz w:val="24"/>
                <w:szCs w:val="24"/>
                <w:lang w:eastAsia="es-MX"/>
              </w:rPr>
              <w:t xml:space="preserve">cual </w:t>
            </w:r>
            <w:r w:rsidRPr="00067355">
              <w:rPr>
                <w:rFonts w:ascii="Calibri Light" w:eastAsia="Times New Roman" w:hAnsi="Calibri Light" w:cs="Calibri Light"/>
                <w:sz w:val="24"/>
                <w:szCs w:val="24"/>
                <w:lang w:eastAsia="es-MX"/>
              </w:rPr>
              <w:t>cuenta con los recursos económicos para financiar las obligaciones laborales que el Ayuntamiento tiene con sus trabajadores ante la eventualidad de: Retiro, Jubilación, Incapacidad y Muerte</w:t>
            </w:r>
            <w:r w:rsidR="00C87558">
              <w:rPr>
                <w:rFonts w:ascii="Calibri Light" w:eastAsia="Times New Roman" w:hAnsi="Calibri Light" w:cs="Calibri Light"/>
                <w:sz w:val="24"/>
                <w:szCs w:val="24"/>
                <w:lang w:eastAsia="es-MX"/>
              </w:rPr>
              <w:t>.</w:t>
            </w:r>
          </w:p>
        </w:tc>
      </w:tr>
    </w:tbl>
    <w:p w:rsidR="00BF4274" w:rsidRDefault="00BF4274" w:rsidP="00D31E16">
      <w:pPr>
        <w:spacing w:after="0" w:line="240" w:lineRule="auto"/>
        <w:jc w:val="both"/>
        <w:rPr>
          <w:rFonts w:asciiTheme="majorHAnsi" w:eastAsia="Arial" w:hAnsiTheme="majorHAnsi" w:cs="Arial"/>
          <w:sz w:val="26"/>
          <w:szCs w:val="26"/>
        </w:rPr>
      </w:pPr>
    </w:p>
    <w:p w:rsidR="00C10F91" w:rsidRPr="00D31FF7" w:rsidRDefault="00C10F91"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sz w:val="26"/>
          <w:szCs w:val="26"/>
        </w:rPr>
        <w:t>En tal razón, se acuerda:</w:t>
      </w:r>
    </w:p>
    <w:p w:rsidR="00C10F91" w:rsidRPr="00D31FF7" w:rsidRDefault="00C10F91" w:rsidP="003209F0">
      <w:pPr>
        <w:spacing w:after="0" w:line="240" w:lineRule="auto"/>
        <w:jc w:val="both"/>
        <w:rPr>
          <w:rFonts w:asciiTheme="majorHAnsi" w:eastAsia="Arial" w:hAnsiTheme="majorHAnsi" w:cs="Arial"/>
          <w:sz w:val="26"/>
          <w:szCs w:val="26"/>
        </w:rPr>
      </w:pPr>
    </w:p>
    <w:p w:rsidR="00C10F91" w:rsidRPr="00D31FF7" w:rsidRDefault="00C10F91"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PRIMERO.- </w:t>
      </w:r>
      <w:r w:rsidR="00C87558">
        <w:rPr>
          <w:rFonts w:asciiTheme="majorHAnsi" w:eastAsia="Arial" w:hAnsiTheme="majorHAnsi" w:cs="Arial"/>
          <w:sz w:val="26"/>
          <w:szCs w:val="26"/>
        </w:rPr>
        <w:t>Se aprueba la</w:t>
      </w:r>
      <w:r w:rsidR="00093D91" w:rsidRPr="00D31FF7">
        <w:rPr>
          <w:rFonts w:asciiTheme="majorHAnsi" w:eastAsia="Arial" w:hAnsiTheme="majorHAnsi" w:cs="Arial"/>
          <w:sz w:val="26"/>
          <w:szCs w:val="26"/>
        </w:rPr>
        <w:t xml:space="preserve"> </w:t>
      </w:r>
      <w:r w:rsidR="00C87558">
        <w:rPr>
          <w:rFonts w:asciiTheme="majorHAnsi" w:eastAsia="Arial" w:hAnsiTheme="majorHAnsi" w:cs="Arial"/>
          <w:sz w:val="26"/>
          <w:szCs w:val="26"/>
        </w:rPr>
        <w:t xml:space="preserve">modificación de las </w:t>
      </w:r>
      <w:r w:rsidR="00093D91" w:rsidRPr="00D31FF7">
        <w:rPr>
          <w:rFonts w:asciiTheme="majorHAnsi" w:eastAsia="Arial" w:hAnsiTheme="majorHAnsi" w:cs="Arial"/>
          <w:sz w:val="26"/>
          <w:szCs w:val="26"/>
        </w:rPr>
        <w:t xml:space="preserve">tablas de aplicabilidad de las obligaciones de transparencia </w:t>
      </w:r>
      <w:r w:rsidR="00C87558">
        <w:rPr>
          <w:rFonts w:asciiTheme="majorHAnsi" w:eastAsia="Arial" w:hAnsiTheme="majorHAnsi" w:cs="Arial"/>
          <w:sz w:val="26"/>
          <w:szCs w:val="26"/>
        </w:rPr>
        <w:t>comunes</w:t>
      </w:r>
      <w:r w:rsidR="00093D91" w:rsidRPr="00D31FF7">
        <w:rPr>
          <w:rFonts w:asciiTheme="majorHAnsi" w:eastAsia="Arial" w:hAnsiTheme="majorHAnsi" w:cs="Arial"/>
          <w:sz w:val="26"/>
          <w:szCs w:val="26"/>
        </w:rPr>
        <w:t xml:space="preserve"> de los sujetos obligados, de conformidad con </w:t>
      </w:r>
      <w:r w:rsidR="00C87558">
        <w:rPr>
          <w:rFonts w:asciiTheme="majorHAnsi" w:eastAsia="Arial" w:hAnsiTheme="majorHAnsi" w:cs="Arial"/>
          <w:sz w:val="26"/>
          <w:szCs w:val="26"/>
        </w:rPr>
        <w:t>lo señalado en el</w:t>
      </w:r>
      <w:r w:rsidR="00093D91" w:rsidRPr="00D31FF7">
        <w:rPr>
          <w:rFonts w:asciiTheme="majorHAnsi" w:eastAsia="Arial" w:hAnsiTheme="majorHAnsi" w:cs="Arial"/>
          <w:sz w:val="26"/>
          <w:szCs w:val="26"/>
        </w:rPr>
        <w:t xml:space="preserve"> considerando </w:t>
      </w:r>
      <w:r w:rsidR="00C87558">
        <w:rPr>
          <w:rFonts w:asciiTheme="majorHAnsi" w:eastAsia="Arial" w:hAnsiTheme="majorHAnsi" w:cs="Arial"/>
          <w:sz w:val="26"/>
          <w:szCs w:val="26"/>
        </w:rPr>
        <w:t>cuarto</w:t>
      </w:r>
      <w:r w:rsidR="00093D91" w:rsidRPr="00D31FF7">
        <w:rPr>
          <w:rFonts w:asciiTheme="majorHAnsi" w:eastAsia="Arial" w:hAnsiTheme="majorHAnsi" w:cs="Arial"/>
          <w:sz w:val="26"/>
          <w:szCs w:val="26"/>
        </w:rPr>
        <w:t>.</w:t>
      </w:r>
    </w:p>
    <w:p w:rsidR="00093D91" w:rsidRPr="00D31FF7" w:rsidRDefault="00093D91" w:rsidP="003209F0">
      <w:pPr>
        <w:spacing w:after="0" w:line="240" w:lineRule="auto"/>
        <w:jc w:val="both"/>
        <w:rPr>
          <w:rFonts w:asciiTheme="majorHAnsi" w:eastAsia="Arial" w:hAnsiTheme="majorHAnsi" w:cs="Arial"/>
          <w:sz w:val="26"/>
          <w:szCs w:val="26"/>
        </w:rPr>
      </w:pPr>
    </w:p>
    <w:p w:rsidR="00093D91" w:rsidRPr="00D31FF7" w:rsidRDefault="00930275" w:rsidP="00093D91">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lastRenderedPageBreak/>
        <w:t>SEGUNDO</w:t>
      </w:r>
      <w:r w:rsidR="0050662C" w:rsidRPr="00D31FF7">
        <w:rPr>
          <w:rFonts w:asciiTheme="majorHAnsi" w:eastAsia="Arial" w:hAnsiTheme="majorHAnsi" w:cs="Arial"/>
          <w:b/>
          <w:sz w:val="26"/>
          <w:szCs w:val="26"/>
        </w:rPr>
        <w:t xml:space="preserve">.- </w:t>
      </w:r>
      <w:r w:rsidR="00093D91" w:rsidRPr="00D31FF7">
        <w:rPr>
          <w:rFonts w:asciiTheme="majorHAnsi" w:eastAsia="Arial" w:hAnsiTheme="majorHAnsi" w:cs="Arial"/>
          <w:sz w:val="26"/>
          <w:szCs w:val="26"/>
        </w:rPr>
        <w:t xml:space="preserve">Se ordena a los sujetos obligados </w:t>
      </w:r>
      <w:r w:rsidR="00C87558">
        <w:rPr>
          <w:rFonts w:asciiTheme="majorHAnsi" w:eastAsia="Arial" w:hAnsiTheme="majorHAnsi" w:cs="Arial"/>
          <w:sz w:val="26"/>
          <w:szCs w:val="26"/>
        </w:rPr>
        <w:t>referidos</w:t>
      </w:r>
      <w:r w:rsidR="00093D91" w:rsidRPr="00D31FF7">
        <w:rPr>
          <w:rFonts w:asciiTheme="majorHAnsi" w:eastAsia="Arial" w:hAnsiTheme="majorHAnsi" w:cs="Arial"/>
          <w:sz w:val="26"/>
          <w:szCs w:val="26"/>
        </w:rPr>
        <w:t xml:space="preserve">, a modificar sus tablas de aplicabilidad </w:t>
      </w:r>
      <w:r w:rsidR="0004201C" w:rsidRPr="00D31FF7">
        <w:rPr>
          <w:rFonts w:asciiTheme="majorHAnsi" w:eastAsia="Arial" w:hAnsiTheme="majorHAnsi" w:cs="Arial"/>
          <w:sz w:val="26"/>
          <w:szCs w:val="26"/>
        </w:rPr>
        <w:t xml:space="preserve">de las obligaciones de transparencia </w:t>
      </w:r>
      <w:r w:rsidR="00C87558">
        <w:rPr>
          <w:rFonts w:asciiTheme="majorHAnsi" w:eastAsia="Arial" w:hAnsiTheme="majorHAnsi" w:cs="Arial"/>
          <w:sz w:val="26"/>
          <w:szCs w:val="26"/>
        </w:rPr>
        <w:t>comunes</w:t>
      </w:r>
      <w:r w:rsidR="0004201C" w:rsidRPr="00D31FF7">
        <w:rPr>
          <w:rFonts w:asciiTheme="majorHAnsi" w:eastAsia="Arial" w:hAnsiTheme="majorHAnsi" w:cs="Arial"/>
          <w:sz w:val="26"/>
          <w:szCs w:val="26"/>
        </w:rPr>
        <w:t xml:space="preserve">, </w:t>
      </w:r>
      <w:r w:rsidR="00093D91" w:rsidRPr="00D31FF7">
        <w:rPr>
          <w:rFonts w:asciiTheme="majorHAnsi" w:eastAsia="Arial" w:hAnsiTheme="majorHAnsi" w:cs="Arial"/>
          <w:sz w:val="26"/>
          <w:szCs w:val="26"/>
        </w:rPr>
        <w:t xml:space="preserve">de conformidad con lo señalado en el considerando </w:t>
      </w:r>
      <w:r w:rsidR="00C87558">
        <w:rPr>
          <w:rFonts w:asciiTheme="majorHAnsi" w:eastAsia="Arial" w:hAnsiTheme="majorHAnsi" w:cs="Arial"/>
          <w:sz w:val="26"/>
          <w:szCs w:val="26"/>
        </w:rPr>
        <w:t>cuarto</w:t>
      </w:r>
      <w:r w:rsidR="00093D91" w:rsidRPr="00D31FF7">
        <w:rPr>
          <w:rFonts w:asciiTheme="majorHAnsi" w:eastAsia="Arial" w:hAnsiTheme="majorHAnsi" w:cs="Arial"/>
          <w:sz w:val="26"/>
          <w:szCs w:val="26"/>
        </w:rPr>
        <w:t>.</w:t>
      </w:r>
    </w:p>
    <w:p w:rsidR="0050662C" w:rsidRPr="00D31FF7" w:rsidRDefault="0050662C" w:rsidP="003209F0">
      <w:pPr>
        <w:spacing w:after="0" w:line="240" w:lineRule="auto"/>
        <w:jc w:val="both"/>
        <w:rPr>
          <w:rFonts w:asciiTheme="majorHAnsi" w:hAnsiTheme="majorHAnsi"/>
          <w:sz w:val="26"/>
          <w:szCs w:val="26"/>
        </w:rPr>
      </w:pPr>
    </w:p>
    <w:p w:rsidR="00545E0A" w:rsidRPr="00D31FF7" w:rsidRDefault="00930275"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TERCERO</w:t>
      </w:r>
      <w:r w:rsidR="0050662C" w:rsidRPr="00D31FF7">
        <w:rPr>
          <w:rFonts w:asciiTheme="majorHAnsi" w:eastAsia="Arial" w:hAnsiTheme="majorHAnsi" w:cs="Arial"/>
          <w:b/>
          <w:sz w:val="26"/>
          <w:szCs w:val="26"/>
        </w:rPr>
        <w:t xml:space="preserve">.- </w:t>
      </w:r>
      <w:r w:rsidR="00093D91" w:rsidRPr="00D31FF7">
        <w:rPr>
          <w:rFonts w:asciiTheme="majorHAnsi" w:eastAsia="Arial" w:hAnsiTheme="majorHAnsi" w:cs="Arial"/>
          <w:sz w:val="26"/>
          <w:szCs w:val="26"/>
        </w:rPr>
        <w:t xml:space="preserve">Se ordena a la Secretaría Ejecutiva del Instituto Estatal de Transparencia, Acceso a la Información Pública y Protección de Datos Personales, para que en un plazo máximo de 10 días hábiles, contados a partir del día siguiente de la aprobación del presente, notifique a los sujetos obligados </w:t>
      </w:r>
      <w:r w:rsidR="00C87558">
        <w:rPr>
          <w:rFonts w:asciiTheme="majorHAnsi" w:eastAsia="Arial" w:hAnsiTheme="majorHAnsi" w:cs="Arial"/>
          <w:sz w:val="26"/>
          <w:szCs w:val="26"/>
        </w:rPr>
        <w:t>referidos en el considerando cuarto</w:t>
      </w:r>
      <w:r w:rsidR="00093D91" w:rsidRPr="00D31FF7">
        <w:rPr>
          <w:rFonts w:asciiTheme="majorHAnsi" w:eastAsia="Arial" w:hAnsiTheme="majorHAnsi" w:cs="Arial"/>
          <w:sz w:val="26"/>
          <w:szCs w:val="26"/>
        </w:rPr>
        <w:t>, el acuerdo que hoy nos ocupa</w:t>
      </w:r>
      <w:r w:rsidR="00093D91" w:rsidRPr="00D31FF7">
        <w:rPr>
          <w:rFonts w:asciiTheme="majorHAnsi" w:hAnsiTheme="majorHAnsi"/>
          <w:sz w:val="26"/>
          <w:szCs w:val="26"/>
        </w:rPr>
        <w:t>.</w:t>
      </w:r>
    </w:p>
    <w:p w:rsidR="0085476E" w:rsidRPr="00D31FF7" w:rsidRDefault="0085476E" w:rsidP="003209F0">
      <w:pPr>
        <w:spacing w:after="0" w:line="240" w:lineRule="auto"/>
        <w:jc w:val="both"/>
        <w:rPr>
          <w:rFonts w:asciiTheme="majorHAnsi" w:eastAsia="Arial" w:hAnsiTheme="majorHAnsi" w:cs="Arial"/>
          <w:sz w:val="26"/>
          <w:szCs w:val="26"/>
        </w:rPr>
      </w:pPr>
    </w:p>
    <w:p w:rsidR="0085476E" w:rsidRPr="00D31FF7" w:rsidRDefault="00930275"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CUARTO</w:t>
      </w:r>
      <w:r w:rsidR="0085476E" w:rsidRPr="00D31FF7">
        <w:rPr>
          <w:rFonts w:asciiTheme="majorHAnsi" w:eastAsia="Arial" w:hAnsiTheme="majorHAnsi" w:cs="Arial"/>
          <w:b/>
          <w:sz w:val="26"/>
          <w:szCs w:val="26"/>
        </w:rPr>
        <w:t xml:space="preserve">.- </w:t>
      </w:r>
      <w:r w:rsidR="00093D91" w:rsidRPr="00D31FF7">
        <w:rPr>
          <w:rFonts w:asciiTheme="majorHAnsi" w:eastAsia="Arial" w:hAnsiTheme="majorHAnsi" w:cs="Arial"/>
          <w:sz w:val="26"/>
          <w:szCs w:val="26"/>
        </w:rPr>
        <w:t>Publíquese en el sitio de internet de este órgano garante.</w:t>
      </w:r>
    </w:p>
    <w:p w:rsidR="00093D91" w:rsidRPr="00D31FF7" w:rsidRDefault="00093D91" w:rsidP="003209F0">
      <w:pPr>
        <w:spacing w:after="0" w:line="240" w:lineRule="auto"/>
        <w:jc w:val="both"/>
        <w:rPr>
          <w:rFonts w:asciiTheme="majorHAnsi" w:eastAsia="Arial" w:hAnsiTheme="majorHAnsi" w:cs="Arial"/>
          <w:sz w:val="26"/>
          <w:szCs w:val="26"/>
        </w:rPr>
      </w:pPr>
    </w:p>
    <w:p w:rsidR="00093D91" w:rsidRPr="00D31FF7" w:rsidRDefault="00093D91" w:rsidP="00093D91">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QUINTO.- </w:t>
      </w:r>
      <w:r w:rsidRPr="00D31FF7">
        <w:rPr>
          <w:rFonts w:asciiTheme="majorHAnsi" w:eastAsia="Arial" w:hAnsiTheme="majorHAnsi" w:cs="Arial"/>
          <w:sz w:val="26"/>
          <w:szCs w:val="26"/>
        </w:rPr>
        <w:t>Cúmplase.</w:t>
      </w:r>
    </w:p>
    <w:tbl>
      <w:tblPr>
        <w:tblW w:w="9113" w:type="dxa"/>
        <w:tblLook w:val="04A0" w:firstRow="1" w:lastRow="0" w:firstColumn="1" w:lastColumn="0" w:noHBand="0" w:noVBand="1"/>
      </w:tblPr>
      <w:tblGrid>
        <w:gridCol w:w="4556"/>
        <w:gridCol w:w="4557"/>
      </w:tblGrid>
      <w:tr w:rsidR="0044045B" w:rsidRPr="00D31FF7" w:rsidTr="00F45E78">
        <w:trPr>
          <w:trHeight w:val="1946"/>
        </w:trPr>
        <w:tc>
          <w:tcPr>
            <w:tcW w:w="9113" w:type="dxa"/>
            <w:gridSpan w:val="2"/>
            <w:shd w:val="clear" w:color="auto" w:fill="auto"/>
          </w:tcPr>
          <w:p w:rsidR="0044045B" w:rsidRPr="00D31FF7" w:rsidRDefault="0044045B" w:rsidP="003209F0">
            <w:pPr>
              <w:spacing w:after="0" w:line="240" w:lineRule="auto"/>
              <w:rPr>
                <w:rFonts w:asciiTheme="majorHAnsi" w:hAnsiTheme="majorHAnsi" w:cs="Arial"/>
                <w:b/>
                <w:sz w:val="26"/>
                <w:szCs w:val="26"/>
              </w:rPr>
            </w:pPr>
          </w:p>
          <w:p w:rsidR="0044045B" w:rsidRPr="00D31FF7" w:rsidRDefault="0044045B" w:rsidP="003209F0">
            <w:pPr>
              <w:spacing w:after="0" w:line="240" w:lineRule="auto"/>
              <w:jc w:val="center"/>
              <w:rPr>
                <w:rFonts w:asciiTheme="majorHAnsi" w:hAnsiTheme="majorHAnsi" w:cs="Arial"/>
                <w:b/>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r w:rsidRPr="00D31FF7">
              <w:rPr>
                <w:rFonts w:asciiTheme="majorHAnsi" w:hAnsiTheme="majorHAnsi" w:cs="Arial"/>
                <w:b/>
                <w:bCs/>
                <w:sz w:val="26"/>
                <w:szCs w:val="26"/>
              </w:rPr>
              <w:t>LICDA. SUSANA AGUILAR COVARRUBIAS</w:t>
            </w:r>
          </w:p>
          <w:p w:rsidR="0044045B" w:rsidRPr="00D31FF7" w:rsidRDefault="0044045B" w:rsidP="003209F0">
            <w:pPr>
              <w:spacing w:after="0" w:line="240" w:lineRule="auto"/>
              <w:jc w:val="center"/>
              <w:rPr>
                <w:rFonts w:asciiTheme="majorHAnsi" w:hAnsiTheme="majorHAnsi" w:cs="Arial"/>
                <w:b/>
                <w:sz w:val="26"/>
                <w:szCs w:val="26"/>
              </w:rPr>
            </w:pPr>
            <w:r w:rsidRPr="00D31FF7">
              <w:rPr>
                <w:rFonts w:asciiTheme="majorHAnsi" w:hAnsiTheme="majorHAnsi" w:cs="Arial"/>
                <w:b/>
                <w:sz w:val="26"/>
                <w:szCs w:val="26"/>
              </w:rPr>
              <w:t>COMISIONADA PRESIDENTA</w:t>
            </w:r>
          </w:p>
        </w:tc>
      </w:tr>
      <w:tr w:rsidR="0044045B" w:rsidRPr="00D31FF7" w:rsidTr="00093D91">
        <w:trPr>
          <w:trHeight w:val="2268"/>
        </w:trPr>
        <w:tc>
          <w:tcPr>
            <w:tcW w:w="4556" w:type="dxa"/>
            <w:shd w:val="clear" w:color="auto" w:fill="auto"/>
          </w:tcPr>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AD126B" w:rsidRPr="00D31FF7" w:rsidRDefault="00AD126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rPr>
                <w:rFonts w:asciiTheme="majorHAnsi" w:hAnsiTheme="majorHAnsi" w:cs="Arial"/>
                <w:b/>
                <w:bCs/>
                <w:sz w:val="26"/>
                <w:szCs w:val="26"/>
              </w:rPr>
            </w:pPr>
            <w:r w:rsidRPr="00D31FF7">
              <w:rPr>
                <w:rFonts w:asciiTheme="majorHAnsi" w:hAnsiTheme="majorHAnsi" w:cs="Arial"/>
                <w:b/>
                <w:bCs/>
                <w:sz w:val="26"/>
                <w:szCs w:val="26"/>
              </w:rPr>
              <w:t>LICDA. MARÍA EUGENIA SANSORES RUZ</w:t>
            </w:r>
          </w:p>
          <w:p w:rsidR="0044045B" w:rsidRPr="00D31FF7" w:rsidRDefault="0044045B" w:rsidP="003209F0">
            <w:pPr>
              <w:spacing w:after="0" w:line="240" w:lineRule="auto"/>
              <w:jc w:val="center"/>
              <w:rPr>
                <w:rFonts w:asciiTheme="majorHAnsi" w:hAnsiTheme="majorHAnsi" w:cs="Arial"/>
                <w:b/>
                <w:sz w:val="26"/>
                <w:szCs w:val="26"/>
              </w:rPr>
            </w:pPr>
            <w:r w:rsidRPr="00D31FF7">
              <w:rPr>
                <w:rFonts w:asciiTheme="majorHAnsi" w:hAnsiTheme="majorHAnsi" w:cs="Arial"/>
                <w:b/>
                <w:bCs/>
                <w:sz w:val="26"/>
                <w:szCs w:val="26"/>
              </w:rPr>
              <w:t>COMISIONADA</w:t>
            </w:r>
          </w:p>
        </w:tc>
        <w:tc>
          <w:tcPr>
            <w:tcW w:w="4557" w:type="dxa"/>
            <w:shd w:val="clear" w:color="auto" w:fill="auto"/>
          </w:tcPr>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AD126B" w:rsidRPr="00D31FF7" w:rsidRDefault="00AD126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sz w:val="26"/>
                <w:szCs w:val="26"/>
              </w:rPr>
            </w:pPr>
            <w:r w:rsidRPr="00D31FF7">
              <w:rPr>
                <w:rFonts w:asciiTheme="majorHAnsi" w:hAnsiTheme="majorHAnsi" w:cs="Arial"/>
                <w:b/>
                <w:sz w:val="26"/>
                <w:szCs w:val="26"/>
              </w:rPr>
              <w:t>LIC. ALDRIN MARTÍN BRICEÑO CONRADO</w:t>
            </w:r>
          </w:p>
          <w:p w:rsidR="0044045B" w:rsidRPr="00D31FF7" w:rsidRDefault="0044045B" w:rsidP="003209F0">
            <w:pPr>
              <w:spacing w:after="0" w:line="240" w:lineRule="auto"/>
              <w:jc w:val="center"/>
              <w:rPr>
                <w:rFonts w:asciiTheme="majorHAnsi" w:hAnsiTheme="majorHAnsi" w:cs="Arial"/>
                <w:b/>
                <w:sz w:val="26"/>
                <w:szCs w:val="26"/>
              </w:rPr>
            </w:pPr>
            <w:r w:rsidRPr="00D31FF7">
              <w:rPr>
                <w:rFonts w:asciiTheme="majorHAnsi" w:hAnsiTheme="majorHAnsi" w:cs="Arial"/>
                <w:b/>
                <w:bCs/>
                <w:sz w:val="26"/>
                <w:szCs w:val="26"/>
              </w:rPr>
              <w:t>COMISIONADO</w:t>
            </w:r>
          </w:p>
        </w:tc>
      </w:tr>
    </w:tbl>
    <w:p w:rsidR="008A416E" w:rsidRPr="00D31FF7" w:rsidRDefault="008A416E" w:rsidP="00930275">
      <w:pPr>
        <w:spacing w:after="0" w:line="240" w:lineRule="auto"/>
        <w:rPr>
          <w:rFonts w:asciiTheme="majorHAnsi" w:hAnsiTheme="majorHAnsi"/>
          <w:b/>
          <w:sz w:val="26"/>
          <w:szCs w:val="26"/>
        </w:rPr>
      </w:pPr>
    </w:p>
    <w:sectPr w:rsidR="008A416E" w:rsidRPr="00D31FF7" w:rsidSect="00930275">
      <w:headerReference w:type="default" r:id="rId8"/>
      <w:footerReference w:type="default" r:id="rId9"/>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584" w:rsidRDefault="00E86584">
      <w:pPr>
        <w:spacing w:after="0" w:line="240" w:lineRule="auto"/>
      </w:pPr>
      <w:r>
        <w:separator/>
      </w:r>
    </w:p>
  </w:endnote>
  <w:endnote w:type="continuationSeparator" w:id="0">
    <w:p w:rsidR="00E86584" w:rsidRDefault="00E8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023280"/>
      <w:docPartObj>
        <w:docPartGallery w:val="Page Numbers (Bottom of Page)"/>
        <w:docPartUnique/>
      </w:docPartObj>
    </w:sdtPr>
    <w:sdtEndPr/>
    <w:sdtContent>
      <w:p w:rsidR="00E108F4" w:rsidRDefault="00E108F4">
        <w:pPr>
          <w:pStyle w:val="Piedepgina"/>
          <w:jc w:val="right"/>
        </w:pPr>
        <w:r>
          <w:fldChar w:fldCharType="begin"/>
        </w:r>
        <w:r>
          <w:instrText xml:space="preserve"> PAGE   \* MERGEFORMAT </w:instrText>
        </w:r>
        <w:r>
          <w:fldChar w:fldCharType="separate"/>
        </w:r>
        <w:r w:rsidR="000820D5">
          <w:rPr>
            <w:noProof/>
          </w:rPr>
          <w:t>5</w:t>
        </w:r>
        <w:r>
          <w:rPr>
            <w:noProof/>
          </w:rPr>
          <w:fldChar w:fldCharType="end"/>
        </w:r>
      </w:p>
    </w:sdtContent>
  </w:sdt>
  <w:p w:rsidR="00E108F4" w:rsidRDefault="00E108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584" w:rsidRDefault="00E86584">
      <w:pPr>
        <w:spacing w:after="0" w:line="240" w:lineRule="auto"/>
      </w:pPr>
      <w:r>
        <w:separator/>
      </w:r>
    </w:p>
  </w:footnote>
  <w:footnote w:type="continuationSeparator" w:id="0">
    <w:p w:rsidR="00E86584" w:rsidRDefault="00E8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8F4" w:rsidRDefault="00E108F4">
    <w:pPr>
      <w:pStyle w:val="Encabezado"/>
    </w:pPr>
    <w:r>
      <w:rPr>
        <w:noProof/>
        <w:lang w:eastAsia="es-MX"/>
      </w:rPr>
      <w:drawing>
        <wp:inline distT="0" distB="0" distL="0" distR="0">
          <wp:extent cx="5612130" cy="944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E108F4" w:rsidRDefault="00E108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5"/>
  </w:num>
  <w:num w:numId="5">
    <w:abstractNumId w:val="0"/>
  </w:num>
  <w:num w:numId="6">
    <w:abstractNumId w:val="13"/>
  </w:num>
  <w:num w:numId="7">
    <w:abstractNumId w:val="6"/>
  </w:num>
  <w:num w:numId="8">
    <w:abstractNumId w:val="4"/>
  </w:num>
  <w:num w:numId="9">
    <w:abstractNumId w:val="1"/>
  </w:num>
  <w:num w:numId="10">
    <w:abstractNumId w:val="5"/>
  </w:num>
  <w:num w:numId="11">
    <w:abstractNumId w:val="10"/>
  </w:num>
  <w:num w:numId="12">
    <w:abstractNumId w:val="2"/>
  </w:num>
  <w:num w:numId="13">
    <w:abstractNumId w:val="3"/>
  </w:num>
  <w:num w:numId="14">
    <w:abstractNumId w:val="8"/>
  </w:num>
  <w:num w:numId="15">
    <w:abstractNumId w:val="9"/>
  </w:num>
  <w:num w:numId="16">
    <w:abstractNumId w:val="7"/>
  </w:num>
  <w:num w:numId="17">
    <w:abstractNumId w:val="17"/>
  </w:num>
  <w:num w:numId="18">
    <w:abstractNumId w:val="16"/>
  </w:num>
  <w:num w:numId="19">
    <w:abstractNumId w:val="21"/>
  </w:num>
  <w:num w:numId="20">
    <w:abstractNumId w:val="20"/>
  </w:num>
  <w:num w:numId="21">
    <w:abstractNumId w:val="12"/>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77"/>
    <w:rsid w:val="000009B1"/>
    <w:rsid w:val="00004EDF"/>
    <w:rsid w:val="000071D7"/>
    <w:rsid w:val="00017B72"/>
    <w:rsid w:val="00017BA6"/>
    <w:rsid w:val="00020AD8"/>
    <w:rsid w:val="0002140A"/>
    <w:rsid w:val="000215CF"/>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E1D"/>
    <w:rsid w:val="00085008"/>
    <w:rsid w:val="000919AC"/>
    <w:rsid w:val="000925B9"/>
    <w:rsid w:val="000925BF"/>
    <w:rsid w:val="0009262C"/>
    <w:rsid w:val="00092C59"/>
    <w:rsid w:val="00092FC7"/>
    <w:rsid w:val="00093D91"/>
    <w:rsid w:val="000962B8"/>
    <w:rsid w:val="000977A4"/>
    <w:rsid w:val="000A1022"/>
    <w:rsid w:val="000A1C54"/>
    <w:rsid w:val="000A32F2"/>
    <w:rsid w:val="000B13A0"/>
    <w:rsid w:val="000B250F"/>
    <w:rsid w:val="000B290E"/>
    <w:rsid w:val="000B2C6B"/>
    <w:rsid w:val="000B6899"/>
    <w:rsid w:val="000B69C8"/>
    <w:rsid w:val="000C04E5"/>
    <w:rsid w:val="000D1CA5"/>
    <w:rsid w:val="000D1D47"/>
    <w:rsid w:val="000D3188"/>
    <w:rsid w:val="000E1784"/>
    <w:rsid w:val="000E456D"/>
    <w:rsid w:val="000E467C"/>
    <w:rsid w:val="000E6D6D"/>
    <w:rsid w:val="000E7B9F"/>
    <w:rsid w:val="000F0C05"/>
    <w:rsid w:val="000F4D33"/>
    <w:rsid w:val="00103D9E"/>
    <w:rsid w:val="0010693C"/>
    <w:rsid w:val="00107390"/>
    <w:rsid w:val="001109EE"/>
    <w:rsid w:val="00114868"/>
    <w:rsid w:val="001158E2"/>
    <w:rsid w:val="001160AC"/>
    <w:rsid w:val="00116E3B"/>
    <w:rsid w:val="0011797E"/>
    <w:rsid w:val="00121A35"/>
    <w:rsid w:val="00121BEC"/>
    <w:rsid w:val="00123BD4"/>
    <w:rsid w:val="00126C25"/>
    <w:rsid w:val="0013214A"/>
    <w:rsid w:val="001433DD"/>
    <w:rsid w:val="00144A0F"/>
    <w:rsid w:val="00146FC7"/>
    <w:rsid w:val="0015074F"/>
    <w:rsid w:val="00150B8D"/>
    <w:rsid w:val="00152A49"/>
    <w:rsid w:val="0015307D"/>
    <w:rsid w:val="001556BA"/>
    <w:rsid w:val="00157959"/>
    <w:rsid w:val="0016053B"/>
    <w:rsid w:val="00161514"/>
    <w:rsid w:val="00163E09"/>
    <w:rsid w:val="001744A7"/>
    <w:rsid w:val="00176082"/>
    <w:rsid w:val="001809D9"/>
    <w:rsid w:val="00181101"/>
    <w:rsid w:val="00192E51"/>
    <w:rsid w:val="0019630A"/>
    <w:rsid w:val="001971EB"/>
    <w:rsid w:val="001A0F52"/>
    <w:rsid w:val="001A257A"/>
    <w:rsid w:val="001A3D76"/>
    <w:rsid w:val="001A5928"/>
    <w:rsid w:val="001A6B69"/>
    <w:rsid w:val="001B2453"/>
    <w:rsid w:val="001B378D"/>
    <w:rsid w:val="001B5885"/>
    <w:rsid w:val="001B68B0"/>
    <w:rsid w:val="001B6F56"/>
    <w:rsid w:val="001C0596"/>
    <w:rsid w:val="001C6ACA"/>
    <w:rsid w:val="001C78FF"/>
    <w:rsid w:val="001C7C21"/>
    <w:rsid w:val="001D03B8"/>
    <w:rsid w:val="001D15AC"/>
    <w:rsid w:val="001D1C90"/>
    <w:rsid w:val="001D2BBE"/>
    <w:rsid w:val="001D39D3"/>
    <w:rsid w:val="001D4329"/>
    <w:rsid w:val="001D7085"/>
    <w:rsid w:val="001D75E1"/>
    <w:rsid w:val="001E13D3"/>
    <w:rsid w:val="001E4551"/>
    <w:rsid w:val="001E49FE"/>
    <w:rsid w:val="001E7478"/>
    <w:rsid w:val="001F06C3"/>
    <w:rsid w:val="001F2821"/>
    <w:rsid w:val="001F33B6"/>
    <w:rsid w:val="001F4541"/>
    <w:rsid w:val="00202AE1"/>
    <w:rsid w:val="0020546F"/>
    <w:rsid w:val="00205C38"/>
    <w:rsid w:val="00214F0A"/>
    <w:rsid w:val="00215EFA"/>
    <w:rsid w:val="00216830"/>
    <w:rsid w:val="002259C5"/>
    <w:rsid w:val="002320DA"/>
    <w:rsid w:val="002347F1"/>
    <w:rsid w:val="00234D8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47A4"/>
    <w:rsid w:val="0028747C"/>
    <w:rsid w:val="002918D2"/>
    <w:rsid w:val="00296FB5"/>
    <w:rsid w:val="002A0AC3"/>
    <w:rsid w:val="002A16A1"/>
    <w:rsid w:val="002A2785"/>
    <w:rsid w:val="002A74C9"/>
    <w:rsid w:val="002B2251"/>
    <w:rsid w:val="002B4AAB"/>
    <w:rsid w:val="002B5977"/>
    <w:rsid w:val="002B6C6E"/>
    <w:rsid w:val="002B704F"/>
    <w:rsid w:val="002B73D4"/>
    <w:rsid w:val="002C4F4E"/>
    <w:rsid w:val="002C5689"/>
    <w:rsid w:val="002D0BD5"/>
    <w:rsid w:val="002D0C2E"/>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A4A"/>
    <w:rsid w:val="0033618C"/>
    <w:rsid w:val="00340D7B"/>
    <w:rsid w:val="003516E9"/>
    <w:rsid w:val="00351DD9"/>
    <w:rsid w:val="0035215C"/>
    <w:rsid w:val="00354281"/>
    <w:rsid w:val="00367B19"/>
    <w:rsid w:val="003714F8"/>
    <w:rsid w:val="003730AC"/>
    <w:rsid w:val="00373F25"/>
    <w:rsid w:val="003816E8"/>
    <w:rsid w:val="00390694"/>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2D76"/>
    <w:rsid w:val="0044045B"/>
    <w:rsid w:val="004516DC"/>
    <w:rsid w:val="004527E5"/>
    <w:rsid w:val="0045325F"/>
    <w:rsid w:val="00454513"/>
    <w:rsid w:val="0046034C"/>
    <w:rsid w:val="004607DB"/>
    <w:rsid w:val="004634F1"/>
    <w:rsid w:val="00466359"/>
    <w:rsid w:val="00466C12"/>
    <w:rsid w:val="00467FEB"/>
    <w:rsid w:val="004704D3"/>
    <w:rsid w:val="00474CE3"/>
    <w:rsid w:val="004755A1"/>
    <w:rsid w:val="00480FE1"/>
    <w:rsid w:val="00482ABC"/>
    <w:rsid w:val="004838F7"/>
    <w:rsid w:val="00487907"/>
    <w:rsid w:val="00490AE1"/>
    <w:rsid w:val="004930C3"/>
    <w:rsid w:val="004952DE"/>
    <w:rsid w:val="004A00AB"/>
    <w:rsid w:val="004A0293"/>
    <w:rsid w:val="004A1E30"/>
    <w:rsid w:val="004A40A8"/>
    <w:rsid w:val="004A493A"/>
    <w:rsid w:val="004B2313"/>
    <w:rsid w:val="004B5713"/>
    <w:rsid w:val="004B5F8E"/>
    <w:rsid w:val="004B709E"/>
    <w:rsid w:val="004C4C5D"/>
    <w:rsid w:val="004D012A"/>
    <w:rsid w:val="004D1FE1"/>
    <w:rsid w:val="004D287E"/>
    <w:rsid w:val="004D2BA3"/>
    <w:rsid w:val="004E09E9"/>
    <w:rsid w:val="004E1AB3"/>
    <w:rsid w:val="004E79E1"/>
    <w:rsid w:val="004F4FE2"/>
    <w:rsid w:val="004F59ED"/>
    <w:rsid w:val="004F6C82"/>
    <w:rsid w:val="004F75B6"/>
    <w:rsid w:val="005060B8"/>
    <w:rsid w:val="0050662C"/>
    <w:rsid w:val="00507203"/>
    <w:rsid w:val="005073CE"/>
    <w:rsid w:val="00510DA9"/>
    <w:rsid w:val="00526642"/>
    <w:rsid w:val="00530A72"/>
    <w:rsid w:val="0053148D"/>
    <w:rsid w:val="00534718"/>
    <w:rsid w:val="005453F5"/>
    <w:rsid w:val="00545E0A"/>
    <w:rsid w:val="00546A08"/>
    <w:rsid w:val="00551F8B"/>
    <w:rsid w:val="00556E42"/>
    <w:rsid w:val="005604F7"/>
    <w:rsid w:val="005611FC"/>
    <w:rsid w:val="00561738"/>
    <w:rsid w:val="00561D42"/>
    <w:rsid w:val="0056677F"/>
    <w:rsid w:val="005700C1"/>
    <w:rsid w:val="00570CCA"/>
    <w:rsid w:val="005730BC"/>
    <w:rsid w:val="00574205"/>
    <w:rsid w:val="00580068"/>
    <w:rsid w:val="00580E0D"/>
    <w:rsid w:val="005821FD"/>
    <w:rsid w:val="00582AA2"/>
    <w:rsid w:val="00585098"/>
    <w:rsid w:val="00591107"/>
    <w:rsid w:val="005913A6"/>
    <w:rsid w:val="0059597A"/>
    <w:rsid w:val="00595FAB"/>
    <w:rsid w:val="005A01B3"/>
    <w:rsid w:val="005A364E"/>
    <w:rsid w:val="005A3DF8"/>
    <w:rsid w:val="005A684A"/>
    <w:rsid w:val="005A7222"/>
    <w:rsid w:val="005B6A86"/>
    <w:rsid w:val="005B7F55"/>
    <w:rsid w:val="005C41D3"/>
    <w:rsid w:val="005C5DD8"/>
    <w:rsid w:val="005D28AB"/>
    <w:rsid w:val="005D3932"/>
    <w:rsid w:val="005D42B8"/>
    <w:rsid w:val="005E18A4"/>
    <w:rsid w:val="005E19D8"/>
    <w:rsid w:val="005E34C6"/>
    <w:rsid w:val="005F0D74"/>
    <w:rsid w:val="005F2B71"/>
    <w:rsid w:val="005F2FB9"/>
    <w:rsid w:val="005F3418"/>
    <w:rsid w:val="00601076"/>
    <w:rsid w:val="006029DC"/>
    <w:rsid w:val="00604B18"/>
    <w:rsid w:val="00606985"/>
    <w:rsid w:val="00607338"/>
    <w:rsid w:val="006136C0"/>
    <w:rsid w:val="00614800"/>
    <w:rsid w:val="00614B14"/>
    <w:rsid w:val="006159DD"/>
    <w:rsid w:val="00620069"/>
    <w:rsid w:val="00621EB7"/>
    <w:rsid w:val="0062501A"/>
    <w:rsid w:val="00625199"/>
    <w:rsid w:val="006263B3"/>
    <w:rsid w:val="00627058"/>
    <w:rsid w:val="006311FC"/>
    <w:rsid w:val="00635ED9"/>
    <w:rsid w:val="006455A2"/>
    <w:rsid w:val="00647639"/>
    <w:rsid w:val="006476EF"/>
    <w:rsid w:val="00657BBD"/>
    <w:rsid w:val="00660632"/>
    <w:rsid w:val="00670F83"/>
    <w:rsid w:val="00671C05"/>
    <w:rsid w:val="00673CCF"/>
    <w:rsid w:val="006772C5"/>
    <w:rsid w:val="00677D06"/>
    <w:rsid w:val="006806C4"/>
    <w:rsid w:val="0068252D"/>
    <w:rsid w:val="006848E0"/>
    <w:rsid w:val="00687B4B"/>
    <w:rsid w:val="0069163F"/>
    <w:rsid w:val="00691B34"/>
    <w:rsid w:val="006967AC"/>
    <w:rsid w:val="006A1DB5"/>
    <w:rsid w:val="006A20CD"/>
    <w:rsid w:val="006A30CF"/>
    <w:rsid w:val="006A45B7"/>
    <w:rsid w:val="006A7BDA"/>
    <w:rsid w:val="006B2575"/>
    <w:rsid w:val="006B46F2"/>
    <w:rsid w:val="006B48DD"/>
    <w:rsid w:val="006C04EE"/>
    <w:rsid w:val="006C0633"/>
    <w:rsid w:val="006C3719"/>
    <w:rsid w:val="006C4DCC"/>
    <w:rsid w:val="006C5CC3"/>
    <w:rsid w:val="006C5E73"/>
    <w:rsid w:val="006C69EE"/>
    <w:rsid w:val="006D20CC"/>
    <w:rsid w:val="006D290B"/>
    <w:rsid w:val="006E279F"/>
    <w:rsid w:val="006E5411"/>
    <w:rsid w:val="006E7E8D"/>
    <w:rsid w:val="006F0546"/>
    <w:rsid w:val="006F221C"/>
    <w:rsid w:val="006F2C34"/>
    <w:rsid w:val="006F3ACC"/>
    <w:rsid w:val="00701099"/>
    <w:rsid w:val="00702913"/>
    <w:rsid w:val="0070501E"/>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62917"/>
    <w:rsid w:val="00771C09"/>
    <w:rsid w:val="00771E39"/>
    <w:rsid w:val="007769A9"/>
    <w:rsid w:val="0077790E"/>
    <w:rsid w:val="0078249F"/>
    <w:rsid w:val="00783ADD"/>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4425"/>
    <w:rsid w:val="007F5208"/>
    <w:rsid w:val="007F6B68"/>
    <w:rsid w:val="007F6D13"/>
    <w:rsid w:val="0080055D"/>
    <w:rsid w:val="00801827"/>
    <w:rsid w:val="008041E6"/>
    <w:rsid w:val="00807346"/>
    <w:rsid w:val="008106CF"/>
    <w:rsid w:val="00810F7A"/>
    <w:rsid w:val="008164F0"/>
    <w:rsid w:val="00824569"/>
    <w:rsid w:val="00826E6D"/>
    <w:rsid w:val="00833E35"/>
    <w:rsid w:val="008360B6"/>
    <w:rsid w:val="00836E3C"/>
    <w:rsid w:val="008434A1"/>
    <w:rsid w:val="00844F15"/>
    <w:rsid w:val="00845CD4"/>
    <w:rsid w:val="00847D11"/>
    <w:rsid w:val="0085000A"/>
    <w:rsid w:val="00851856"/>
    <w:rsid w:val="00853B09"/>
    <w:rsid w:val="0085476E"/>
    <w:rsid w:val="00854A65"/>
    <w:rsid w:val="00862C7F"/>
    <w:rsid w:val="00866BBD"/>
    <w:rsid w:val="00867C7B"/>
    <w:rsid w:val="008705C5"/>
    <w:rsid w:val="00870623"/>
    <w:rsid w:val="00872F92"/>
    <w:rsid w:val="00875E38"/>
    <w:rsid w:val="008809AA"/>
    <w:rsid w:val="00881E2E"/>
    <w:rsid w:val="008859EB"/>
    <w:rsid w:val="00890936"/>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E16E5"/>
    <w:rsid w:val="008F2467"/>
    <w:rsid w:val="008F2872"/>
    <w:rsid w:val="008F4299"/>
    <w:rsid w:val="008F493B"/>
    <w:rsid w:val="008F5EEE"/>
    <w:rsid w:val="00902388"/>
    <w:rsid w:val="00905181"/>
    <w:rsid w:val="00905A05"/>
    <w:rsid w:val="0091009B"/>
    <w:rsid w:val="009128C7"/>
    <w:rsid w:val="009160F1"/>
    <w:rsid w:val="00921F09"/>
    <w:rsid w:val="0092213D"/>
    <w:rsid w:val="009252CA"/>
    <w:rsid w:val="009275CE"/>
    <w:rsid w:val="00930275"/>
    <w:rsid w:val="009311F7"/>
    <w:rsid w:val="00931A05"/>
    <w:rsid w:val="00934A0F"/>
    <w:rsid w:val="00937F61"/>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5C25"/>
    <w:rsid w:val="009C7ECC"/>
    <w:rsid w:val="009D3474"/>
    <w:rsid w:val="009D5EB5"/>
    <w:rsid w:val="009D6EBF"/>
    <w:rsid w:val="009E1728"/>
    <w:rsid w:val="009F16AA"/>
    <w:rsid w:val="009F1E55"/>
    <w:rsid w:val="009F518E"/>
    <w:rsid w:val="009F650A"/>
    <w:rsid w:val="00A034CF"/>
    <w:rsid w:val="00A04C06"/>
    <w:rsid w:val="00A1491D"/>
    <w:rsid w:val="00A16D01"/>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7FF8"/>
    <w:rsid w:val="00AA0764"/>
    <w:rsid w:val="00AA502E"/>
    <w:rsid w:val="00AB0565"/>
    <w:rsid w:val="00AB46AF"/>
    <w:rsid w:val="00AC4F49"/>
    <w:rsid w:val="00AC62EE"/>
    <w:rsid w:val="00AC6D42"/>
    <w:rsid w:val="00AC7E7A"/>
    <w:rsid w:val="00AD126B"/>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D95"/>
    <w:rsid w:val="00B002A4"/>
    <w:rsid w:val="00B01658"/>
    <w:rsid w:val="00B0635A"/>
    <w:rsid w:val="00B06490"/>
    <w:rsid w:val="00B1430B"/>
    <w:rsid w:val="00B223F6"/>
    <w:rsid w:val="00B2369A"/>
    <w:rsid w:val="00B2425C"/>
    <w:rsid w:val="00B2591D"/>
    <w:rsid w:val="00B2708E"/>
    <w:rsid w:val="00B3204D"/>
    <w:rsid w:val="00B3227A"/>
    <w:rsid w:val="00B33254"/>
    <w:rsid w:val="00B344C0"/>
    <w:rsid w:val="00B37EE9"/>
    <w:rsid w:val="00B4073D"/>
    <w:rsid w:val="00B40820"/>
    <w:rsid w:val="00B42CA5"/>
    <w:rsid w:val="00B431B0"/>
    <w:rsid w:val="00B46B78"/>
    <w:rsid w:val="00B5141E"/>
    <w:rsid w:val="00B523F3"/>
    <w:rsid w:val="00B5250D"/>
    <w:rsid w:val="00B54AE7"/>
    <w:rsid w:val="00B56B19"/>
    <w:rsid w:val="00B60444"/>
    <w:rsid w:val="00B6555F"/>
    <w:rsid w:val="00B667B0"/>
    <w:rsid w:val="00B66B74"/>
    <w:rsid w:val="00B70140"/>
    <w:rsid w:val="00B80A72"/>
    <w:rsid w:val="00B83845"/>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5A74"/>
    <w:rsid w:val="00BC046D"/>
    <w:rsid w:val="00BC696D"/>
    <w:rsid w:val="00BD006E"/>
    <w:rsid w:val="00BD1C35"/>
    <w:rsid w:val="00BD63B2"/>
    <w:rsid w:val="00BD787B"/>
    <w:rsid w:val="00BE45E0"/>
    <w:rsid w:val="00BE5DD4"/>
    <w:rsid w:val="00BF2768"/>
    <w:rsid w:val="00BF2C09"/>
    <w:rsid w:val="00BF4274"/>
    <w:rsid w:val="00BF44CD"/>
    <w:rsid w:val="00BF5B57"/>
    <w:rsid w:val="00C01F2A"/>
    <w:rsid w:val="00C021F3"/>
    <w:rsid w:val="00C042D9"/>
    <w:rsid w:val="00C05ED5"/>
    <w:rsid w:val="00C10F91"/>
    <w:rsid w:val="00C13D1C"/>
    <w:rsid w:val="00C20F21"/>
    <w:rsid w:val="00C23BAE"/>
    <w:rsid w:val="00C278C5"/>
    <w:rsid w:val="00C27C05"/>
    <w:rsid w:val="00C30344"/>
    <w:rsid w:val="00C31F39"/>
    <w:rsid w:val="00C36E52"/>
    <w:rsid w:val="00C40DCC"/>
    <w:rsid w:val="00C43492"/>
    <w:rsid w:val="00C44869"/>
    <w:rsid w:val="00C51C63"/>
    <w:rsid w:val="00C52138"/>
    <w:rsid w:val="00C534C4"/>
    <w:rsid w:val="00C55525"/>
    <w:rsid w:val="00C60219"/>
    <w:rsid w:val="00C6057E"/>
    <w:rsid w:val="00C6362C"/>
    <w:rsid w:val="00C64AC2"/>
    <w:rsid w:val="00C64B1C"/>
    <w:rsid w:val="00C6621E"/>
    <w:rsid w:val="00C66BB5"/>
    <w:rsid w:val="00C67365"/>
    <w:rsid w:val="00C67E47"/>
    <w:rsid w:val="00C72CE5"/>
    <w:rsid w:val="00C74906"/>
    <w:rsid w:val="00C83A34"/>
    <w:rsid w:val="00C83FC1"/>
    <w:rsid w:val="00C841F4"/>
    <w:rsid w:val="00C84F03"/>
    <w:rsid w:val="00C87558"/>
    <w:rsid w:val="00C90720"/>
    <w:rsid w:val="00C96377"/>
    <w:rsid w:val="00C97021"/>
    <w:rsid w:val="00CA6BA6"/>
    <w:rsid w:val="00CA6D0F"/>
    <w:rsid w:val="00CB6B36"/>
    <w:rsid w:val="00CC193E"/>
    <w:rsid w:val="00CC2452"/>
    <w:rsid w:val="00CC380D"/>
    <w:rsid w:val="00CC5C3D"/>
    <w:rsid w:val="00CD2C73"/>
    <w:rsid w:val="00CD3508"/>
    <w:rsid w:val="00CD6D25"/>
    <w:rsid w:val="00CE01B8"/>
    <w:rsid w:val="00CF437C"/>
    <w:rsid w:val="00CF5992"/>
    <w:rsid w:val="00CF786B"/>
    <w:rsid w:val="00D12955"/>
    <w:rsid w:val="00D1463B"/>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7026E"/>
    <w:rsid w:val="00D70332"/>
    <w:rsid w:val="00D71729"/>
    <w:rsid w:val="00D7253B"/>
    <w:rsid w:val="00D73A05"/>
    <w:rsid w:val="00D74ACA"/>
    <w:rsid w:val="00D7586C"/>
    <w:rsid w:val="00D76707"/>
    <w:rsid w:val="00D8010F"/>
    <w:rsid w:val="00D804B0"/>
    <w:rsid w:val="00D813A4"/>
    <w:rsid w:val="00D85455"/>
    <w:rsid w:val="00D90379"/>
    <w:rsid w:val="00D91D51"/>
    <w:rsid w:val="00D9444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7F7E"/>
    <w:rsid w:val="00E108F4"/>
    <w:rsid w:val="00E122FC"/>
    <w:rsid w:val="00E1259A"/>
    <w:rsid w:val="00E13DAF"/>
    <w:rsid w:val="00E172E1"/>
    <w:rsid w:val="00E22F37"/>
    <w:rsid w:val="00E374EF"/>
    <w:rsid w:val="00E42CB8"/>
    <w:rsid w:val="00E450F3"/>
    <w:rsid w:val="00E45DF0"/>
    <w:rsid w:val="00E47ECC"/>
    <w:rsid w:val="00E47F23"/>
    <w:rsid w:val="00E50092"/>
    <w:rsid w:val="00E525BA"/>
    <w:rsid w:val="00E6016D"/>
    <w:rsid w:val="00E6086D"/>
    <w:rsid w:val="00E618FF"/>
    <w:rsid w:val="00E6237B"/>
    <w:rsid w:val="00E67522"/>
    <w:rsid w:val="00E72261"/>
    <w:rsid w:val="00E75F17"/>
    <w:rsid w:val="00E762D8"/>
    <w:rsid w:val="00E826E8"/>
    <w:rsid w:val="00E83981"/>
    <w:rsid w:val="00E83BCA"/>
    <w:rsid w:val="00E86584"/>
    <w:rsid w:val="00E87EF2"/>
    <w:rsid w:val="00E96F9E"/>
    <w:rsid w:val="00E9762C"/>
    <w:rsid w:val="00EA574B"/>
    <w:rsid w:val="00EB3198"/>
    <w:rsid w:val="00EB36F2"/>
    <w:rsid w:val="00EB7C65"/>
    <w:rsid w:val="00EC29A9"/>
    <w:rsid w:val="00EC4C0B"/>
    <w:rsid w:val="00ED26B2"/>
    <w:rsid w:val="00ED2C7A"/>
    <w:rsid w:val="00ED398D"/>
    <w:rsid w:val="00ED64A1"/>
    <w:rsid w:val="00ED7F39"/>
    <w:rsid w:val="00EE0550"/>
    <w:rsid w:val="00EF6259"/>
    <w:rsid w:val="00EF73A3"/>
    <w:rsid w:val="00EF7AEA"/>
    <w:rsid w:val="00F044C8"/>
    <w:rsid w:val="00F04F4B"/>
    <w:rsid w:val="00F054DA"/>
    <w:rsid w:val="00F06549"/>
    <w:rsid w:val="00F107FE"/>
    <w:rsid w:val="00F10EE6"/>
    <w:rsid w:val="00F202BB"/>
    <w:rsid w:val="00F224D8"/>
    <w:rsid w:val="00F239DD"/>
    <w:rsid w:val="00F24BCE"/>
    <w:rsid w:val="00F25B69"/>
    <w:rsid w:val="00F337CE"/>
    <w:rsid w:val="00F35CF4"/>
    <w:rsid w:val="00F3652C"/>
    <w:rsid w:val="00F36C64"/>
    <w:rsid w:val="00F405BD"/>
    <w:rsid w:val="00F4138E"/>
    <w:rsid w:val="00F42317"/>
    <w:rsid w:val="00F437C9"/>
    <w:rsid w:val="00F44026"/>
    <w:rsid w:val="00F45E78"/>
    <w:rsid w:val="00F5442D"/>
    <w:rsid w:val="00F609C8"/>
    <w:rsid w:val="00F63A0D"/>
    <w:rsid w:val="00F70B92"/>
    <w:rsid w:val="00F71174"/>
    <w:rsid w:val="00F729F5"/>
    <w:rsid w:val="00F729FE"/>
    <w:rsid w:val="00F83B17"/>
    <w:rsid w:val="00F8649F"/>
    <w:rsid w:val="00F86FA7"/>
    <w:rsid w:val="00F91AA5"/>
    <w:rsid w:val="00F92F30"/>
    <w:rsid w:val="00F94218"/>
    <w:rsid w:val="00FA0B01"/>
    <w:rsid w:val="00FA0D53"/>
    <w:rsid w:val="00FA1B9A"/>
    <w:rsid w:val="00FA36C7"/>
    <w:rsid w:val="00FA76CF"/>
    <w:rsid w:val="00FB114E"/>
    <w:rsid w:val="00FB1B66"/>
    <w:rsid w:val="00FB2DB0"/>
    <w:rsid w:val="00FB3D7D"/>
    <w:rsid w:val="00FB5474"/>
    <w:rsid w:val="00FC1AF0"/>
    <w:rsid w:val="00FC29A3"/>
    <w:rsid w:val="00FC474E"/>
    <w:rsid w:val="00FC4880"/>
    <w:rsid w:val="00FC7186"/>
    <w:rsid w:val="00FD66DA"/>
    <w:rsid w:val="00FE0B4C"/>
    <w:rsid w:val="00FE1A82"/>
    <w:rsid w:val="00FE30EF"/>
    <w:rsid w:val="00FE51DB"/>
    <w:rsid w:val="00FF2381"/>
    <w:rsid w:val="00FF2A0C"/>
    <w:rsid w:val="00FF6122"/>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9D2FE"/>
  <w15:docId w15:val="{A537271B-BA11-4968-9002-143EA126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styleId="Tabladecuadrcula1clara-nfasis5">
    <w:name w:val="Grid Table 1 Light Accent 5"/>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FF5D2-3000-4F8A-998F-D18D5044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2541</Words>
  <Characters>13979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Planeación</cp:lastModifiedBy>
  <cp:revision>4</cp:revision>
  <cp:lastPrinted>2017-08-17T18:05:00Z</cp:lastPrinted>
  <dcterms:created xsi:type="dcterms:W3CDTF">2017-08-16T19:09:00Z</dcterms:created>
  <dcterms:modified xsi:type="dcterms:W3CDTF">2017-08-23T20:50:00Z</dcterms:modified>
</cp:coreProperties>
</file>