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36DB" w14:textId="77777777" w:rsidR="00A01A03" w:rsidRDefault="00A01A03">
      <w:pPr>
        <w:widowControl w:val="0"/>
        <w:pBdr>
          <w:top w:val="nil"/>
          <w:left w:val="nil"/>
          <w:bottom w:val="nil"/>
          <w:right w:val="nil"/>
          <w:between w:val="nil"/>
        </w:pBdr>
        <w:spacing w:after="0" w:line="276" w:lineRule="auto"/>
      </w:pPr>
    </w:p>
    <w:p w14:paraId="7DE47108" w14:textId="77777777" w:rsidR="00A01A03" w:rsidRDefault="00000000">
      <w:pPr>
        <w:spacing w:after="0" w:line="240" w:lineRule="auto"/>
        <w:jc w:val="both"/>
        <w:rPr>
          <w:b/>
        </w:rPr>
      </w:pPr>
      <w:r>
        <w:rPr>
          <w:b/>
        </w:rPr>
        <w:t>ACUERDO POR EL QUE SE MODIFICA LA TABLA DE APLICABILIDAD DE LAS OBLIGACIONES DE TRANSPARENCIA ESPECÍFICAS DEL PARTIDO MORENA.</w:t>
      </w:r>
    </w:p>
    <w:p w14:paraId="3FD13B50" w14:textId="77777777" w:rsidR="00A01A03" w:rsidRDefault="00A01A03">
      <w:pPr>
        <w:spacing w:after="0" w:line="240" w:lineRule="auto"/>
        <w:jc w:val="center"/>
        <w:rPr>
          <w:b/>
        </w:rPr>
      </w:pPr>
    </w:p>
    <w:p w14:paraId="58DD4C32" w14:textId="31E3A4B9" w:rsidR="00A01A03" w:rsidRDefault="00000000">
      <w:pPr>
        <w:spacing w:after="0" w:line="240" w:lineRule="auto"/>
        <w:jc w:val="both"/>
        <w:rPr>
          <w:b/>
        </w:rPr>
      </w:pPr>
      <w:r>
        <w:t xml:space="preserve">En la ciudad de Mérida, Yucatán, a los </w:t>
      </w:r>
      <w:r w:rsidR="007E7BC1">
        <w:t>quince</w:t>
      </w:r>
      <w:r>
        <w:t xml:space="preserve"> días del mes de </w:t>
      </w:r>
      <w:r w:rsidR="007E7BC1">
        <w:t>mayo</w:t>
      </w:r>
      <w:r>
        <w:t xml:space="preserve"> de 2025, la y los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CC0F5BA" w14:textId="77777777" w:rsidR="00A01A03" w:rsidRDefault="00A01A03">
      <w:pPr>
        <w:spacing w:after="0" w:line="240" w:lineRule="auto"/>
        <w:jc w:val="center"/>
        <w:rPr>
          <w:b/>
        </w:rPr>
      </w:pPr>
    </w:p>
    <w:p w14:paraId="519FB90F" w14:textId="77777777" w:rsidR="00A01A03" w:rsidRDefault="00000000">
      <w:pPr>
        <w:spacing w:after="0" w:line="240" w:lineRule="auto"/>
        <w:jc w:val="center"/>
        <w:rPr>
          <w:b/>
        </w:rPr>
      </w:pPr>
      <w:r>
        <w:rPr>
          <w:b/>
        </w:rPr>
        <w:t>ANTECEDENTES</w:t>
      </w:r>
    </w:p>
    <w:p w14:paraId="778B6224" w14:textId="77777777" w:rsidR="00A01A03" w:rsidRDefault="00A01A03">
      <w:pPr>
        <w:spacing w:after="0" w:line="240" w:lineRule="auto"/>
        <w:jc w:val="center"/>
        <w:rPr>
          <w:b/>
        </w:rPr>
      </w:pPr>
    </w:p>
    <w:p w14:paraId="6A0F78A6" w14:textId="5B8872AF" w:rsidR="00A01A03" w:rsidRDefault="00E0161D">
      <w:pPr>
        <w:spacing w:after="0" w:line="240" w:lineRule="auto"/>
        <w:jc w:val="both"/>
      </w:pPr>
      <w:r>
        <w:rPr>
          <w:b/>
        </w:rPr>
        <w:t xml:space="preserve">PRIMERO.- </w:t>
      </w:r>
      <w:r>
        <w:t>Mediante oficio MORENA/</w:t>
      </w:r>
      <w:proofErr w:type="spellStart"/>
      <w:r>
        <w:t>UTY</w:t>
      </w:r>
      <w:proofErr w:type="spellEnd"/>
      <w:r>
        <w:t>/0041/24, de fecha veinticinco de octubre de dos mil veinticuatro, remitido por la Titular de la Unidad de Transparencia del Partido Morena en Yucatán, con motivo de la resolución dictada el día diez de octubre de dos mil veinticuatro en el presente procedimiento, se hizo del conocimiento de este Organismo Autónomo que al Partido Morena en Yucatán, no le competente la publicación de la información concerniente al padrón de afiliados de dicho Partido, prevista en la fracción I del artículo 76 de la Ley General, ya que de conformidad con lo establecido en el Estatuto de Morena, el Comité Ejecutivo Nacional de Morena, a través de la Secretaría de Organización es la instancia responsable de las tareas de afiliación, credencialización, actualización y resguardo del Padrón Nacional de Protagonistas del Cambio Verdadero (padrón de afiliados o militantes).</w:t>
      </w:r>
    </w:p>
    <w:p w14:paraId="6E9459C9" w14:textId="77777777" w:rsidR="00A01A03" w:rsidRDefault="00A01A03">
      <w:pPr>
        <w:spacing w:after="0" w:line="240" w:lineRule="auto"/>
        <w:jc w:val="both"/>
      </w:pPr>
    </w:p>
    <w:p w14:paraId="4C4559EC" w14:textId="505B4234" w:rsidR="00A01A03" w:rsidRDefault="00E0161D">
      <w:pPr>
        <w:spacing w:after="0" w:line="240" w:lineRule="auto"/>
        <w:jc w:val="both"/>
      </w:pPr>
      <w:r>
        <w:rPr>
          <w:b/>
        </w:rPr>
        <w:t>SEGUNDO.-</w:t>
      </w:r>
      <w:r>
        <w:t xml:space="preserve"> En consideración al punto que antecede, mediante acuerdo del Pleno de fecha diez de enero de 2025, dictado en autos del Procedimiento de Denuncia por Incumplimiento a las obligaciones de Transparencia interpuesto en contra del Partido MORENA, radicado con el número de expediente 105/2024, se ordenó modificar la tabla de aplicabilidad de las obligaciones de transparencia específicas del Partido Morena en Yucatán, en razón que a dicho Partido no le resulta aplicable la publicación de la información relativa al padrón de afiliados o militantes de los partidos políticos, que contendrá exclusivamente: apellidos, nombre o nombres, fecha de afiliación y entidad de residencia, prevista en la fracción I del artículo 76 de la Ley General de Transparencia y Acceso a la Información Pública.</w:t>
      </w:r>
    </w:p>
    <w:p w14:paraId="1B978DC6" w14:textId="77777777" w:rsidR="00A01A03" w:rsidRDefault="00A01A03">
      <w:pPr>
        <w:spacing w:after="0" w:line="240" w:lineRule="auto"/>
        <w:jc w:val="both"/>
      </w:pPr>
    </w:p>
    <w:p w14:paraId="2026B302" w14:textId="139417AB" w:rsidR="00A01A03" w:rsidRDefault="00E0161D">
      <w:pPr>
        <w:spacing w:after="0" w:line="240" w:lineRule="auto"/>
        <w:jc w:val="both"/>
      </w:pPr>
      <w:bookmarkStart w:id="0" w:name="_heading=h.mokp1l6ltrv9" w:colFirst="0" w:colLast="0"/>
      <w:bookmarkEnd w:id="0"/>
      <w:r w:rsidRPr="00AB15E2">
        <w:rPr>
          <w:b/>
        </w:rPr>
        <w:t>TERCERO.-</w:t>
      </w:r>
      <w:r w:rsidRPr="00AB15E2">
        <w:t xml:space="preserve"> En fecha 20 de marzo del año 2025, se publicó en el Diario Oficial de la Federación el 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14:paraId="07AE118C" w14:textId="77777777" w:rsidR="00A01A03" w:rsidRDefault="00A01A03">
      <w:pPr>
        <w:spacing w:after="0" w:line="240" w:lineRule="auto"/>
        <w:jc w:val="both"/>
      </w:pPr>
    </w:p>
    <w:p w14:paraId="3BE3D5B7" w14:textId="77777777" w:rsidR="00A01A03" w:rsidRDefault="00000000">
      <w:pPr>
        <w:spacing w:after="0" w:line="240" w:lineRule="auto"/>
        <w:jc w:val="center"/>
        <w:rPr>
          <w:b/>
        </w:rPr>
      </w:pPr>
      <w:r>
        <w:rPr>
          <w:b/>
        </w:rPr>
        <w:t>CONSIDERANDOS</w:t>
      </w:r>
    </w:p>
    <w:p w14:paraId="2E8AAD9D" w14:textId="77777777" w:rsidR="00A01A03" w:rsidRDefault="00A01A03">
      <w:pPr>
        <w:spacing w:after="0" w:line="240" w:lineRule="auto"/>
        <w:jc w:val="both"/>
        <w:rPr>
          <w:b/>
        </w:rPr>
      </w:pPr>
    </w:p>
    <w:p w14:paraId="19333B9A" w14:textId="77777777" w:rsidR="00A01A03" w:rsidRDefault="00000000">
      <w:pPr>
        <w:spacing w:after="0" w:line="240" w:lineRule="auto"/>
        <w:jc w:val="both"/>
      </w:pPr>
      <w:r>
        <w:rPr>
          <w:b/>
        </w:rPr>
        <w:t xml:space="preserve">PRIMERO.- </w:t>
      </w:r>
      <w:r>
        <w:t xml:space="preserve">El Instituto Estatal de Transparencia, Acceso a la Información Pública y Protección de Datos Personales es un organismo público autónomo, especializado, independiente, imparcial y </w:t>
      </w:r>
      <w:r>
        <w:lastRenderedPageBreak/>
        <w:t xml:space="preserve">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t>6o</w:t>
      </w:r>
      <w:proofErr w:type="spellEnd"/>
      <w:r>
        <w:t>. de la Constitución Política de los Estados Unidos Mexicanos, así como lo dispuesto en la Constitución Política del Estado de Yucatán, la Ley estatal de la materia y demás disposiciones normativas aplicables.</w:t>
      </w:r>
    </w:p>
    <w:p w14:paraId="5D823512" w14:textId="77777777" w:rsidR="00A01A03" w:rsidRDefault="00A01A03">
      <w:pPr>
        <w:spacing w:after="0" w:line="240" w:lineRule="auto"/>
        <w:jc w:val="both"/>
        <w:rPr>
          <w:b/>
        </w:rPr>
      </w:pPr>
    </w:p>
    <w:p w14:paraId="673AE13B" w14:textId="77777777" w:rsidR="00A01A03" w:rsidRDefault="00000000">
      <w:pPr>
        <w:spacing w:after="0" w:line="240" w:lineRule="auto"/>
        <w:jc w:val="both"/>
      </w:pPr>
      <w:r>
        <w:rPr>
          <w:b/>
        </w:rPr>
        <w:t>SEGUNDO.</w:t>
      </w:r>
      <w:r>
        <w:t>- De conformidad con lo señalado en el numeral noveno de los Lineamientos Técnicos Generales, en su fracción III, los sujetos obligados publicarán la Tabla de aplicabilidad de las Obligaciones de Transparencia comunes y específicas que les corresponda individualmente, la cual previamente debió ser elaborada por el Organismo garante respectivo. Las tablas de aplicabilidad deberán contener aquellas obligaciones de transparencia que no le son aplicables a los sujetos obligados, así como las razones y motivos</w:t>
      </w:r>
    </w:p>
    <w:p w14:paraId="58DF91A3" w14:textId="77777777" w:rsidR="00A01A03" w:rsidRDefault="00000000">
      <w:pPr>
        <w:spacing w:after="0" w:line="240" w:lineRule="auto"/>
        <w:jc w:val="both"/>
      </w:pPr>
      <w:r>
        <w:t>.</w:t>
      </w:r>
    </w:p>
    <w:p w14:paraId="07B90C3B" w14:textId="76083213" w:rsidR="00A01A03" w:rsidRPr="00AB15E2" w:rsidRDefault="00000000">
      <w:pPr>
        <w:spacing w:after="0" w:line="240" w:lineRule="auto"/>
        <w:jc w:val="both"/>
        <w:rPr>
          <w:rFonts w:asciiTheme="minorHAnsi" w:hAnsiTheme="minorHAnsi" w:cstheme="minorHAnsi"/>
        </w:rPr>
      </w:pPr>
      <w:bookmarkStart w:id="1" w:name="_heading=h.4f3vzi3j14fn" w:colFirst="0" w:colLast="0"/>
      <w:bookmarkEnd w:id="1"/>
      <w:r>
        <w:rPr>
          <w:b/>
        </w:rPr>
        <w:t xml:space="preserve">TERCERO.- </w:t>
      </w:r>
      <w:r>
        <w:t xml:space="preserve">En cumplimiento a lo ordenado en el acuerdo del Pleno de fecha diez de enero de 2025, dictado en autos del </w:t>
      </w:r>
      <w:r w:rsidR="00A31DA0">
        <w:t>p</w:t>
      </w:r>
      <w:r>
        <w:t xml:space="preserve">rocedimiento de </w:t>
      </w:r>
      <w:r w:rsidR="00A31DA0">
        <w:t>d</w:t>
      </w:r>
      <w:r>
        <w:t xml:space="preserve">enuncia por Incumplimiento a las obligaciones de </w:t>
      </w:r>
      <w:r w:rsidR="00A31DA0">
        <w:t>t</w:t>
      </w:r>
      <w:r>
        <w:t xml:space="preserve">ransparencia interpuesto en contra del Partido MORENA, radicado con el número de expediente 105/2024, citado en el ANTECEDENTE </w:t>
      </w:r>
      <w:r w:rsidR="00E0161D">
        <w:t>SEGUNDO</w:t>
      </w:r>
      <w:r>
        <w:t>, así como de lo señalado en el oficio número MORENA/</w:t>
      </w:r>
      <w:proofErr w:type="spellStart"/>
      <w:r>
        <w:t>UTY</w:t>
      </w:r>
      <w:proofErr w:type="spellEnd"/>
      <w:r>
        <w:t>/0041/24, de fecha veinticinco de octubre de dos mil veinticuatro, signado por la Titular de la Unidad de Transparencia del Partido Morena en Yucatán</w:t>
      </w:r>
      <w:r w:rsidRPr="00AB15E2">
        <w:rPr>
          <w:rFonts w:asciiTheme="minorHAnsi" w:hAnsiTheme="minorHAnsi" w:cstheme="minorHAnsi"/>
        </w:rPr>
        <w:t xml:space="preserve">, se modifica la tabla de aplicabilidad del Partido Morena, por lo que se determina la NO aplicabilidad de la obligación de transparencia específica relativa al padrón de afiliados o militantes de los partidos políticos, que contendrá, exclusivamente: apellidos, nombre o nombres, fecha de afiliación y entidad de residencia establecida en la fracción I del artículo 75 de la Ley General de Transparencia y Acceso a la Información Pública, vigente, antes fracción I del artículo 76 de la abrogada Ley General, siendo que esta fracción se encontrará en la Plataforma Nacional de Transparencia en el apartado,  fracción I del artículo 76 de la Ley General de Transparencia y Acceso a la Información Pública hasta en tanto no se configuren los cambios </w:t>
      </w:r>
      <w:r w:rsidR="00682F22" w:rsidRPr="00AB15E2">
        <w:rPr>
          <w:rFonts w:asciiTheme="minorHAnsi" w:hAnsiTheme="minorHAnsi" w:cstheme="minorHAnsi"/>
        </w:rPr>
        <w:t xml:space="preserve">en el módulo </w:t>
      </w:r>
      <w:proofErr w:type="spellStart"/>
      <w:r w:rsidR="00682F22" w:rsidRPr="00AB15E2">
        <w:rPr>
          <w:rFonts w:asciiTheme="minorHAnsi" w:hAnsiTheme="minorHAnsi" w:cstheme="minorHAnsi"/>
        </w:rPr>
        <w:t>SIPOT</w:t>
      </w:r>
      <w:proofErr w:type="spellEnd"/>
      <w:r w:rsidR="00682F22" w:rsidRPr="00AB15E2">
        <w:rPr>
          <w:rFonts w:asciiTheme="minorHAnsi" w:hAnsiTheme="minorHAnsi" w:cstheme="minorHAnsi"/>
        </w:rPr>
        <w:t xml:space="preserve"> de</w:t>
      </w:r>
      <w:r w:rsidRPr="00AB15E2">
        <w:rPr>
          <w:rFonts w:asciiTheme="minorHAnsi" w:hAnsiTheme="minorHAnsi" w:cstheme="minorHAnsi"/>
        </w:rPr>
        <w:t xml:space="preserve"> la PNT, con base a lo anterior se realiza la siguiente modificación:</w:t>
      </w:r>
    </w:p>
    <w:p w14:paraId="6116F2AC" w14:textId="77777777" w:rsidR="00A01A03" w:rsidRDefault="00A01A03">
      <w:pPr>
        <w:spacing w:after="0" w:line="240" w:lineRule="auto"/>
        <w:jc w:val="both"/>
        <w:rPr>
          <w:b/>
        </w:rPr>
      </w:pPr>
    </w:p>
    <w:tbl>
      <w:tblPr>
        <w:tblStyle w:val="a"/>
        <w:tblW w:w="8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030"/>
        <w:gridCol w:w="1449"/>
        <w:gridCol w:w="4726"/>
      </w:tblGrid>
      <w:tr w:rsidR="00A01A03" w14:paraId="5532A6ED" w14:textId="77777777">
        <w:trPr>
          <w:trHeight w:val="58"/>
          <w:tblHeader/>
          <w:jc w:val="center"/>
        </w:trPr>
        <w:tc>
          <w:tcPr>
            <w:tcW w:w="2750" w:type="dxa"/>
            <w:gridSpan w:val="2"/>
            <w:shd w:val="clear" w:color="auto" w:fill="BDD7EE"/>
            <w:vAlign w:val="center"/>
          </w:tcPr>
          <w:p w14:paraId="48689603" w14:textId="77777777" w:rsidR="00A01A03" w:rsidRDefault="00000000">
            <w:pPr>
              <w:jc w:val="center"/>
              <w:rPr>
                <w:b/>
              </w:rPr>
            </w:pPr>
            <w:r>
              <w:rPr>
                <w:b/>
              </w:rPr>
              <w:t>Fracción/ Obligación de Transparencia</w:t>
            </w:r>
          </w:p>
        </w:tc>
        <w:tc>
          <w:tcPr>
            <w:tcW w:w="1449" w:type="dxa"/>
            <w:shd w:val="clear" w:color="auto" w:fill="BDD7EE"/>
            <w:vAlign w:val="center"/>
          </w:tcPr>
          <w:p w14:paraId="6F4FCFA6" w14:textId="77777777" w:rsidR="00A01A03" w:rsidRDefault="00000000">
            <w:pPr>
              <w:jc w:val="center"/>
              <w:rPr>
                <w:b/>
              </w:rPr>
            </w:pPr>
            <w:r>
              <w:rPr>
                <w:b/>
              </w:rPr>
              <w:t>Aplicable/ No Aplicable</w:t>
            </w:r>
          </w:p>
        </w:tc>
        <w:tc>
          <w:tcPr>
            <w:tcW w:w="4726" w:type="dxa"/>
            <w:shd w:val="clear" w:color="auto" w:fill="BDD7EE"/>
            <w:vAlign w:val="center"/>
          </w:tcPr>
          <w:p w14:paraId="63DDF5FC" w14:textId="77777777" w:rsidR="00A01A03" w:rsidRDefault="00000000">
            <w:pPr>
              <w:jc w:val="center"/>
              <w:rPr>
                <w:b/>
              </w:rPr>
            </w:pPr>
            <w:r>
              <w:rPr>
                <w:b/>
              </w:rPr>
              <w:t>Motivación y fundamento Legal</w:t>
            </w:r>
          </w:p>
        </w:tc>
      </w:tr>
      <w:tr w:rsidR="00A01A03" w14:paraId="1B218186" w14:textId="77777777">
        <w:trPr>
          <w:trHeight w:val="490"/>
          <w:jc w:val="center"/>
        </w:trPr>
        <w:tc>
          <w:tcPr>
            <w:tcW w:w="720" w:type="dxa"/>
            <w:vAlign w:val="center"/>
          </w:tcPr>
          <w:p w14:paraId="133ABEE6" w14:textId="77777777" w:rsidR="00A01A03" w:rsidRDefault="00000000">
            <w:pPr>
              <w:jc w:val="both"/>
            </w:pPr>
            <w:r>
              <w:t>I</w:t>
            </w:r>
          </w:p>
        </w:tc>
        <w:tc>
          <w:tcPr>
            <w:tcW w:w="2030" w:type="dxa"/>
            <w:vAlign w:val="center"/>
          </w:tcPr>
          <w:p w14:paraId="4FBA2724" w14:textId="77777777" w:rsidR="00A01A03" w:rsidRDefault="00000000">
            <w:pPr>
              <w:jc w:val="both"/>
            </w:pPr>
            <w:bookmarkStart w:id="2" w:name="_heading=h.tm85vv3uv1um" w:colFirst="0" w:colLast="0"/>
            <w:bookmarkEnd w:id="2"/>
            <w:r>
              <w:t>El padrón de afiliados o militantes de los partidos políticos, que contendrá, exclusivamente:</w:t>
            </w:r>
          </w:p>
          <w:p w14:paraId="337C62A6" w14:textId="77777777" w:rsidR="00A01A03" w:rsidRDefault="00000000">
            <w:pPr>
              <w:jc w:val="both"/>
            </w:pPr>
            <w:r>
              <w:t>apellidos, nombre o nombres, fecha de afiliación y entidad de residencia.</w:t>
            </w:r>
          </w:p>
        </w:tc>
        <w:tc>
          <w:tcPr>
            <w:tcW w:w="1449" w:type="dxa"/>
            <w:vAlign w:val="center"/>
          </w:tcPr>
          <w:p w14:paraId="45E15A96" w14:textId="77777777" w:rsidR="00A01A03" w:rsidRDefault="00000000">
            <w:pPr>
              <w:jc w:val="both"/>
            </w:pPr>
            <w:r>
              <w:t>No aplicable</w:t>
            </w:r>
          </w:p>
        </w:tc>
        <w:tc>
          <w:tcPr>
            <w:tcW w:w="4726" w:type="dxa"/>
            <w:vAlign w:val="center"/>
          </w:tcPr>
          <w:p w14:paraId="715D15FD" w14:textId="77777777" w:rsidR="00A01A03" w:rsidRDefault="00000000">
            <w:pPr>
              <w:jc w:val="both"/>
            </w:pPr>
            <w:r>
              <w:rPr>
                <w:b/>
              </w:rPr>
              <w:t>No le es aplicable</w:t>
            </w:r>
            <w:r>
              <w:t>, toda vez que, no se encuentra dentro de su ámbito de competencias, facultades o funciones; ya que de conformidad con el Estatuto de Morena en sus artículos 4, 4 Bis y 38, el Comité Ejecutivo Nacional del Partido Morena, a través del Secretario(a) de Organización, es el responsable de organizar, depurar, resguardar y autentificar el padrón de afiliados o militantes del dicho Partido, también conocido como Padrón Nacional de Protagonistas del Cambio Verdadero.</w:t>
            </w:r>
          </w:p>
        </w:tc>
      </w:tr>
    </w:tbl>
    <w:p w14:paraId="6F72B9D5" w14:textId="77777777" w:rsidR="00A01A03" w:rsidRDefault="00A01A03">
      <w:pPr>
        <w:spacing w:after="0" w:line="240" w:lineRule="auto"/>
        <w:jc w:val="both"/>
      </w:pPr>
    </w:p>
    <w:p w14:paraId="1F501D83" w14:textId="77777777" w:rsidR="00A01A03" w:rsidRDefault="00000000">
      <w:pPr>
        <w:spacing w:after="0" w:line="240" w:lineRule="auto"/>
        <w:jc w:val="both"/>
      </w:pPr>
      <w:r>
        <w:t>Por lo anteriormente expuesto y fundado, el Pleno del Instituto Estatal de Transparencia, Acceso a la Información Pública y Protección de Datos Personales, emite el siguiente:</w:t>
      </w:r>
    </w:p>
    <w:p w14:paraId="5F88EB40" w14:textId="77777777" w:rsidR="00A01A03" w:rsidRDefault="00A01A03">
      <w:pPr>
        <w:spacing w:after="0" w:line="240" w:lineRule="auto"/>
        <w:jc w:val="center"/>
        <w:rPr>
          <w:b/>
        </w:rPr>
      </w:pPr>
    </w:p>
    <w:p w14:paraId="22B5ED17" w14:textId="77777777" w:rsidR="00A01A03" w:rsidRDefault="00000000">
      <w:pPr>
        <w:spacing w:after="0" w:line="240" w:lineRule="auto"/>
        <w:jc w:val="center"/>
        <w:rPr>
          <w:b/>
        </w:rPr>
      </w:pPr>
      <w:r>
        <w:rPr>
          <w:b/>
        </w:rPr>
        <w:t>ACUERDO</w:t>
      </w:r>
    </w:p>
    <w:p w14:paraId="385541FB" w14:textId="77777777" w:rsidR="00A01A03" w:rsidRDefault="00A01A03">
      <w:pPr>
        <w:spacing w:after="0" w:line="240" w:lineRule="auto"/>
        <w:jc w:val="center"/>
      </w:pPr>
    </w:p>
    <w:p w14:paraId="39D0FD9F" w14:textId="55E1AB2A" w:rsidR="00A01A03" w:rsidRDefault="00000000">
      <w:pPr>
        <w:spacing w:after="0" w:line="240" w:lineRule="auto"/>
        <w:ind w:right="57"/>
        <w:jc w:val="both"/>
      </w:pPr>
      <w:bookmarkStart w:id="3" w:name="_heading=h.ka68jj6no0hp" w:colFirst="0" w:colLast="0"/>
      <w:bookmarkEnd w:id="3"/>
      <w:r>
        <w:rPr>
          <w:b/>
        </w:rPr>
        <w:t xml:space="preserve">PRIMERO.- </w:t>
      </w:r>
      <w:r>
        <w:t xml:space="preserve">Se autoriza por </w:t>
      </w:r>
      <w:bookmarkStart w:id="4" w:name="_Hlk198031233"/>
      <w:r w:rsidR="00E0235F" w:rsidRPr="007E7BC1">
        <w:rPr>
          <w:rFonts w:ascii="Tofino Regular" w:eastAsia="Tofino Regular" w:hAnsi="Tofino Regular" w:cs="Tofino Regular"/>
          <w:sz w:val="20"/>
          <w:szCs w:val="20"/>
          <w:shd w:val="clear" w:color="auto" w:fill="FFFFFF" w:themeFill="background1"/>
        </w:rPr>
        <w:t>unanimidad</w:t>
      </w:r>
      <w:bookmarkEnd w:id="4"/>
      <w:r w:rsidR="007E7BC1" w:rsidRPr="007E7BC1">
        <w:rPr>
          <w:rFonts w:ascii="Tofino Regular" w:eastAsia="Tofino Regular" w:hAnsi="Tofino Regular" w:cs="Tofino Regular"/>
          <w:sz w:val="20"/>
          <w:szCs w:val="20"/>
          <w:shd w:val="clear" w:color="auto" w:fill="FFFFFF" w:themeFill="background1"/>
        </w:rPr>
        <w:t xml:space="preserve"> </w:t>
      </w:r>
      <w:r>
        <w:t xml:space="preserve">de votos del Pleno, la modificación de la tabla de aplicabilidad de las obligaciones de transparencia específicas del Partido Morena en Yucatán, en razón que a dicho Partido no le resulta aplicable la publicación de la información relativa al padrón de afiliados o militantes de los partidos políticos, que contendrá exclusivamente: apellidos, nombre o nombres, fecha de afiliación y entidad de </w:t>
      </w:r>
      <w:r w:rsidRPr="00AB15E2">
        <w:t>residencia, prevista en la fracción I del artículo 75 de la Ley General de Transparencia y Acceso a la Información Pública</w:t>
      </w:r>
      <w:r w:rsidR="000F5200" w:rsidRPr="00AB15E2">
        <w:t>,</w:t>
      </w:r>
      <w:r w:rsidR="00A31DA0" w:rsidRPr="00AB15E2">
        <w:t xml:space="preserve"> vigente</w:t>
      </w:r>
      <w:r w:rsidRPr="00AB15E2">
        <w:t>, antes fracción I del artículo 76 de la abrogada Ley General de Transparencia y Acceso a la Información Pública, en los términos antes expuestos.</w:t>
      </w:r>
    </w:p>
    <w:p w14:paraId="219E8286" w14:textId="77777777" w:rsidR="00A01A03" w:rsidRDefault="00A01A03">
      <w:pPr>
        <w:spacing w:after="0" w:line="240" w:lineRule="auto"/>
        <w:jc w:val="both"/>
      </w:pPr>
    </w:p>
    <w:p w14:paraId="59020646" w14:textId="4636C13B" w:rsidR="00A01A03" w:rsidRDefault="00000000">
      <w:pPr>
        <w:spacing w:after="0" w:line="240" w:lineRule="auto"/>
        <w:jc w:val="both"/>
      </w:pPr>
      <w:r>
        <w:rPr>
          <w:b/>
        </w:rPr>
        <w:t xml:space="preserve">SEGUNDO.- </w:t>
      </w:r>
      <w:r>
        <w:t xml:space="preserve">Se ordena por </w:t>
      </w:r>
      <w:r w:rsidR="00E0235F" w:rsidRPr="007E7BC1">
        <w:rPr>
          <w:rFonts w:ascii="Tofino Regular" w:eastAsia="Tofino Regular" w:hAnsi="Tofino Regular" w:cs="Tofino Regular"/>
          <w:sz w:val="20"/>
          <w:szCs w:val="20"/>
          <w:shd w:val="clear" w:color="auto" w:fill="FFFFFF" w:themeFill="background1"/>
        </w:rPr>
        <w:t>unanimidad</w:t>
      </w:r>
      <w:r w:rsidRPr="007E7BC1">
        <w:t xml:space="preserve"> </w:t>
      </w:r>
      <w:r>
        <w:t>de votos del Pleno, al Partido MORENA, modificar su tabla de aplicabilidad de las obligaciones de transparencia específicas de conformidad con lo señalado en el considerando TERCERO.</w:t>
      </w:r>
    </w:p>
    <w:p w14:paraId="3DB7A317" w14:textId="77777777" w:rsidR="00A01A03" w:rsidRDefault="00A01A03">
      <w:pPr>
        <w:spacing w:after="0" w:line="240" w:lineRule="auto"/>
        <w:jc w:val="both"/>
        <w:rPr>
          <w:b/>
        </w:rPr>
      </w:pPr>
    </w:p>
    <w:p w14:paraId="48F88644" w14:textId="77777777" w:rsidR="00A01A03" w:rsidRDefault="00000000">
      <w:pPr>
        <w:spacing w:after="0" w:line="240" w:lineRule="auto"/>
        <w:jc w:val="both"/>
      </w:pPr>
      <w:r>
        <w:rPr>
          <w:b/>
        </w:rPr>
        <w:t xml:space="preserve">TERCERO.- </w:t>
      </w:r>
      <w:r>
        <w:t>Se instruye a la Dirección de Asuntos Jurídicos y Plenarios, para que notifique al Partido Morena, a través de su Unidad de Transparencia, el acuerdo que hoy nos ocupa.</w:t>
      </w:r>
    </w:p>
    <w:p w14:paraId="0143C18A" w14:textId="77777777" w:rsidR="00A01A03" w:rsidRDefault="00A01A03">
      <w:pPr>
        <w:spacing w:after="0" w:line="240" w:lineRule="auto"/>
        <w:jc w:val="both"/>
        <w:rPr>
          <w:b/>
        </w:rPr>
      </w:pPr>
    </w:p>
    <w:p w14:paraId="1F646EA7" w14:textId="77777777" w:rsidR="00A01A03" w:rsidRDefault="00000000">
      <w:pPr>
        <w:spacing w:after="0" w:line="240" w:lineRule="auto"/>
        <w:jc w:val="both"/>
      </w:pPr>
      <w:r>
        <w:rPr>
          <w:b/>
        </w:rPr>
        <w:t xml:space="preserve">CUARTO.-  </w:t>
      </w:r>
      <w:r>
        <w:t>Se instruye a la Dirección de Asuntos Jurídicos y Plenarios</w:t>
      </w:r>
      <w:r>
        <w:rPr>
          <w:b/>
        </w:rPr>
        <w:t xml:space="preserve"> </w:t>
      </w:r>
      <w:r>
        <w:t>para que notifique a la Dirección de Medios de Impugnación, Obligaciones de Transparencia y Datos Personales del Instituto Estatal de Transparencia, Acceso a la Información Pública y Protección de Datos Personales, lo aquí acordado.</w:t>
      </w:r>
    </w:p>
    <w:p w14:paraId="6AF5B3E4" w14:textId="77777777" w:rsidR="00A01A03" w:rsidRDefault="00A01A03">
      <w:pPr>
        <w:spacing w:after="0" w:line="240" w:lineRule="auto"/>
        <w:jc w:val="both"/>
      </w:pPr>
    </w:p>
    <w:p w14:paraId="6F031225" w14:textId="77777777" w:rsidR="00A01A03" w:rsidRDefault="00000000">
      <w:pPr>
        <w:spacing w:after="0" w:line="240" w:lineRule="auto"/>
        <w:jc w:val="both"/>
      </w:pPr>
      <w:r>
        <w:rPr>
          <w:b/>
        </w:rPr>
        <w:t xml:space="preserve">QUINTO.- </w:t>
      </w:r>
      <w: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63DC15A4" w14:textId="77777777" w:rsidR="00A01A03" w:rsidRDefault="00A01A03">
      <w:pPr>
        <w:spacing w:after="0" w:line="240" w:lineRule="auto"/>
        <w:jc w:val="both"/>
      </w:pPr>
    </w:p>
    <w:p w14:paraId="0D372CB1" w14:textId="77777777" w:rsidR="00A01A03" w:rsidRDefault="00A01A03">
      <w:pPr>
        <w:spacing w:after="0" w:line="240" w:lineRule="auto"/>
        <w:jc w:val="both"/>
      </w:pPr>
    </w:p>
    <w:p w14:paraId="18BA3C4C" w14:textId="77777777" w:rsidR="00A01A03" w:rsidRDefault="00A01A03">
      <w:pPr>
        <w:spacing w:after="0" w:line="240" w:lineRule="auto"/>
        <w:jc w:val="both"/>
      </w:pPr>
    </w:p>
    <w:p w14:paraId="3BA7F9B7" w14:textId="77777777" w:rsidR="00A01A03" w:rsidRDefault="00A01A03">
      <w:pPr>
        <w:spacing w:after="0" w:line="240" w:lineRule="auto"/>
        <w:jc w:val="center"/>
      </w:pPr>
    </w:p>
    <w:tbl>
      <w:tblPr>
        <w:tblStyle w:val="a0"/>
        <w:tblW w:w="10041" w:type="dxa"/>
        <w:tblInd w:w="-593" w:type="dxa"/>
        <w:tblLayout w:type="fixed"/>
        <w:tblLook w:val="0400" w:firstRow="0" w:lastRow="0" w:firstColumn="0" w:lastColumn="0" w:noHBand="0" w:noVBand="1"/>
      </w:tblPr>
      <w:tblGrid>
        <w:gridCol w:w="5020"/>
        <w:gridCol w:w="5021"/>
      </w:tblGrid>
      <w:tr w:rsidR="00A01A03" w14:paraId="41067844" w14:textId="77777777">
        <w:trPr>
          <w:trHeight w:val="859"/>
        </w:trPr>
        <w:tc>
          <w:tcPr>
            <w:tcW w:w="10041" w:type="dxa"/>
            <w:gridSpan w:val="2"/>
          </w:tcPr>
          <w:p w14:paraId="3623AD9C" w14:textId="77777777" w:rsidR="00A01A03" w:rsidRDefault="00000000">
            <w:pPr>
              <w:pBdr>
                <w:top w:val="nil"/>
                <w:left w:val="nil"/>
                <w:bottom w:val="nil"/>
                <w:right w:val="nil"/>
                <w:between w:val="nil"/>
              </w:pBdr>
              <w:spacing w:after="0" w:line="240" w:lineRule="auto"/>
              <w:jc w:val="center"/>
              <w:rPr>
                <w:b/>
                <w:color w:val="000000"/>
              </w:rPr>
            </w:pPr>
            <w:r>
              <w:rPr>
                <w:b/>
                <w:color w:val="000000"/>
              </w:rPr>
              <w:t>MTRA. MARÍA GILDA SEGOVIA CHAB</w:t>
            </w:r>
          </w:p>
          <w:p w14:paraId="11C80221" w14:textId="77777777" w:rsidR="00A01A03" w:rsidRDefault="00000000">
            <w:pPr>
              <w:pBdr>
                <w:top w:val="nil"/>
                <w:left w:val="nil"/>
                <w:bottom w:val="nil"/>
                <w:right w:val="nil"/>
                <w:between w:val="nil"/>
              </w:pBdr>
              <w:spacing w:after="0" w:line="240" w:lineRule="auto"/>
              <w:jc w:val="center"/>
              <w:rPr>
                <w:b/>
                <w:color w:val="000000"/>
              </w:rPr>
            </w:pPr>
            <w:r>
              <w:rPr>
                <w:b/>
                <w:color w:val="000000"/>
              </w:rPr>
              <w:t>COMISIONADA PRESIDENTA</w:t>
            </w:r>
          </w:p>
        </w:tc>
      </w:tr>
      <w:tr w:rsidR="00A01A03" w14:paraId="6F7449B8" w14:textId="77777777">
        <w:trPr>
          <w:trHeight w:val="859"/>
        </w:trPr>
        <w:tc>
          <w:tcPr>
            <w:tcW w:w="5020" w:type="dxa"/>
          </w:tcPr>
          <w:p w14:paraId="30409F19" w14:textId="77777777" w:rsidR="00A01A03" w:rsidRDefault="00A01A03">
            <w:pPr>
              <w:pBdr>
                <w:top w:val="nil"/>
                <w:left w:val="nil"/>
                <w:bottom w:val="nil"/>
                <w:right w:val="nil"/>
                <w:between w:val="nil"/>
              </w:pBdr>
              <w:spacing w:after="0" w:line="240" w:lineRule="auto"/>
              <w:jc w:val="center"/>
              <w:rPr>
                <w:b/>
                <w:color w:val="000000"/>
              </w:rPr>
            </w:pPr>
          </w:p>
          <w:p w14:paraId="3A24461E" w14:textId="77777777" w:rsidR="00A01A03" w:rsidRDefault="00A01A03">
            <w:pPr>
              <w:pBdr>
                <w:top w:val="nil"/>
                <w:left w:val="nil"/>
                <w:bottom w:val="nil"/>
                <w:right w:val="nil"/>
                <w:between w:val="nil"/>
              </w:pBdr>
              <w:spacing w:after="0" w:line="240" w:lineRule="auto"/>
              <w:jc w:val="center"/>
              <w:rPr>
                <w:b/>
                <w:color w:val="000000"/>
              </w:rPr>
            </w:pPr>
          </w:p>
          <w:p w14:paraId="1CA2C40B" w14:textId="77777777" w:rsidR="00A01A03" w:rsidRDefault="00A01A03">
            <w:pPr>
              <w:pBdr>
                <w:top w:val="nil"/>
                <w:left w:val="nil"/>
                <w:bottom w:val="nil"/>
                <w:right w:val="nil"/>
                <w:between w:val="nil"/>
              </w:pBdr>
              <w:spacing w:after="0" w:line="240" w:lineRule="auto"/>
              <w:jc w:val="center"/>
              <w:rPr>
                <w:b/>
                <w:color w:val="000000"/>
              </w:rPr>
            </w:pPr>
          </w:p>
          <w:p w14:paraId="2B4796FD" w14:textId="77777777" w:rsidR="00A01A03" w:rsidRDefault="00A01A03">
            <w:pPr>
              <w:pBdr>
                <w:top w:val="nil"/>
                <w:left w:val="nil"/>
                <w:bottom w:val="nil"/>
                <w:right w:val="nil"/>
                <w:between w:val="nil"/>
              </w:pBdr>
              <w:spacing w:after="0" w:line="240" w:lineRule="auto"/>
              <w:jc w:val="center"/>
              <w:rPr>
                <w:b/>
                <w:color w:val="000000"/>
              </w:rPr>
            </w:pPr>
          </w:p>
          <w:p w14:paraId="74783C34" w14:textId="77777777" w:rsidR="00A01A03" w:rsidRDefault="00A01A03">
            <w:pPr>
              <w:pBdr>
                <w:top w:val="nil"/>
                <w:left w:val="nil"/>
                <w:bottom w:val="nil"/>
                <w:right w:val="nil"/>
                <w:between w:val="nil"/>
              </w:pBdr>
              <w:spacing w:after="0" w:line="240" w:lineRule="auto"/>
              <w:jc w:val="center"/>
              <w:rPr>
                <w:b/>
                <w:color w:val="000000"/>
              </w:rPr>
            </w:pPr>
          </w:p>
          <w:p w14:paraId="7EB050B6" w14:textId="77777777" w:rsidR="00A01A03" w:rsidRDefault="00A01A03" w:rsidP="00AB15E2">
            <w:pPr>
              <w:pBdr>
                <w:top w:val="nil"/>
                <w:left w:val="nil"/>
                <w:bottom w:val="nil"/>
                <w:right w:val="nil"/>
                <w:between w:val="nil"/>
              </w:pBdr>
              <w:spacing w:after="0" w:line="240" w:lineRule="auto"/>
              <w:rPr>
                <w:b/>
                <w:color w:val="000000"/>
              </w:rPr>
            </w:pPr>
          </w:p>
          <w:p w14:paraId="4D155558" w14:textId="77777777" w:rsidR="00A01A03" w:rsidRDefault="00A01A03">
            <w:pPr>
              <w:pBdr>
                <w:top w:val="nil"/>
                <w:left w:val="nil"/>
                <w:bottom w:val="nil"/>
                <w:right w:val="nil"/>
                <w:between w:val="nil"/>
              </w:pBdr>
              <w:spacing w:after="0" w:line="240" w:lineRule="auto"/>
              <w:jc w:val="center"/>
              <w:rPr>
                <w:b/>
                <w:color w:val="000000"/>
              </w:rPr>
            </w:pPr>
          </w:p>
          <w:p w14:paraId="324ABC59" w14:textId="77777777" w:rsidR="00A01A03" w:rsidRDefault="00A01A03" w:rsidP="00AB15E2">
            <w:pPr>
              <w:spacing w:after="0" w:line="240" w:lineRule="auto"/>
            </w:pPr>
          </w:p>
          <w:p w14:paraId="78287640" w14:textId="77777777" w:rsidR="00A01A03" w:rsidRDefault="00000000">
            <w:pPr>
              <w:pBdr>
                <w:top w:val="nil"/>
                <w:left w:val="nil"/>
                <w:bottom w:val="nil"/>
                <w:right w:val="nil"/>
                <w:between w:val="nil"/>
              </w:pBdr>
              <w:spacing w:after="0" w:line="240" w:lineRule="auto"/>
              <w:jc w:val="center"/>
              <w:rPr>
                <w:b/>
                <w:color w:val="000000"/>
              </w:rPr>
            </w:pPr>
            <w:r>
              <w:rPr>
                <w:b/>
                <w:color w:val="000000"/>
              </w:rPr>
              <w:t>LIC. MAURICIO MORENO MENDOZA</w:t>
            </w:r>
          </w:p>
          <w:p w14:paraId="434D5FE0" w14:textId="77777777" w:rsidR="00A01A03" w:rsidRDefault="00000000">
            <w:pPr>
              <w:pBdr>
                <w:top w:val="nil"/>
                <w:left w:val="nil"/>
                <w:bottom w:val="nil"/>
                <w:right w:val="nil"/>
                <w:between w:val="nil"/>
              </w:pBdr>
              <w:spacing w:after="0" w:line="240" w:lineRule="auto"/>
              <w:jc w:val="center"/>
              <w:rPr>
                <w:b/>
                <w:color w:val="000000"/>
              </w:rPr>
            </w:pPr>
            <w:r>
              <w:rPr>
                <w:b/>
                <w:color w:val="000000"/>
              </w:rPr>
              <w:t>COMISIONADO</w:t>
            </w:r>
          </w:p>
        </w:tc>
        <w:tc>
          <w:tcPr>
            <w:tcW w:w="5021" w:type="dxa"/>
          </w:tcPr>
          <w:p w14:paraId="0A63DA23" w14:textId="77777777" w:rsidR="00A01A03" w:rsidRDefault="00A01A03">
            <w:pPr>
              <w:pBdr>
                <w:top w:val="nil"/>
                <w:left w:val="nil"/>
                <w:bottom w:val="nil"/>
                <w:right w:val="nil"/>
                <w:between w:val="nil"/>
              </w:pBdr>
              <w:spacing w:after="0" w:line="240" w:lineRule="auto"/>
              <w:jc w:val="center"/>
              <w:rPr>
                <w:b/>
                <w:color w:val="000000"/>
              </w:rPr>
            </w:pPr>
          </w:p>
          <w:p w14:paraId="33B42850" w14:textId="77777777" w:rsidR="00A01A03" w:rsidRDefault="00A01A03">
            <w:pPr>
              <w:pBdr>
                <w:top w:val="nil"/>
                <w:left w:val="nil"/>
                <w:bottom w:val="nil"/>
                <w:right w:val="nil"/>
                <w:between w:val="nil"/>
              </w:pBdr>
              <w:spacing w:after="0" w:line="240" w:lineRule="auto"/>
              <w:jc w:val="center"/>
              <w:rPr>
                <w:b/>
                <w:color w:val="000000"/>
              </w:rPr>
            </w:pPr>
          </w:p>
          <w:p w14:paraId="217B565D" w14:textId="77777777" w:rsidR="00A01A03" w:rsidRDefault="00A01A03">
            <w:pPr>
              <w:pBdr>
                <w:top w:val="nil"/>
                <w:left w:val="nil"/>
                <w:bottom w:val="nil"/>
                <w:right w:val="nil"/>
                <w:between w:val="nil"/>
              </w:pBdr>
              <w:spacing w:after="0" w:line="240" w:lineRule="auto"/>
              <w:jc w:val="center"/>
              <w:rPr>
                <w:b/>
                <w:color w:val="000000"/>
              </w:rPr>
            </w:pPr>
          </w:p>
          <w:p w14:paraId="13ACE456" w14:textId="77777777" w:rsidR="00A01A03" w:rsidRDefault="00A01A03">
            <w:pPr>
              <w:pBdr>
                <w:top w:val="nil"/>
                <w:left w:val="nil"/>
                <w:bottom w:val="nil"/>
                <w:right w:val="nil"/>
                <w:between w:val="nil"/>
              </w:pBdr>
              <w:spacing w:after="0" w:line="240" w:lineRule="auto"/>
              <w:jc w:val="center"/>
              <w:rPr>
                <w:b/>
                <w:color w:val="000000"/>
              </w:rPr>
            </w:pPr>
          </w:p>
          <w:p w14:paraId="6AC073B5" w14:textId="77777777" w:rsidR="00A01A03" w:rsidRDefault="00A01A03">
            <w:pPr>
              <w:pBdr>
                <w:top w:val="nil"/>
                <w:left w:val="nil"/>
                <w:bottom w:val="nil"/>
                <w:right w:val="nil"/>
                <w:between w:val="nil"/>
              </w:pBdr>
              <w:spacing w:after="0" w:line="240" w:lineRule="auto"/>
              <w:jc w:val="center"/>
              <w:rPr>
                <w:b/>
                <w:color w:val="000000"/>
              </w:rPr>
            </w:pPr>
          </w:p>
          <w:p w14:paraId="1DFBD239" w14:textId="77777777" w:rsidR="00A01A03" w:rsidRDefault="00A01A03" w:rsidP="00AB15E2">
            <w:pPr>
              <w:pBdr>
                <w:top w:val="nil"/>
                <w:left w:val="nil"/>
                <w:bottom w:val="nil"/>
                <w:right w:val="nil"/>
                <w:between w:val="nil"/>
              </w:pBdr>
              <w:spacing w:after="0" w:line="240" w:lineRule="auto"/>
              <w:rPr>
                <w:b/>
                <w:color w:val="000000"/>
              </w:rPr>
            </w:pPr>
          </w:p>
          <w:p w14:paraId="1F23A804" w14:textId="77777777" w:rsidR="00A01A03" w:rsidRDefault="00A01A03" w:rsidP="00AB15E2">
            <w:pPr>
              <w:pBdr>
                <w:top w:val="nil"/>
                <w:left w:val="nil"/>
                <w:bottom w:val="nil"/>
                <w:right w:val="nil"/>
                <w:between w:val="nil"/>
              </w:pBdr>
              <w:spacing w:after="0" w:line="240" w:lineRule="auto"/>
              <w:rPr>
                <w:b/>
                <w:color w:val="000000"/>
              </w:rPr>
            </w:pPr>
          </w:p>
          <w:p w14:paraId="35F156F4" w14:textId="77777777" w:rsidR="00A01A03" w:rsidRDefault="00A01A03">
            <w:pPr>
              <w:pBdr>
                <w:top w:val="nil"/>
                <w:left w:val="nil"/>
                <w:bottom w:val="nil"/>
                <w:right w:val="nil"/>
                <w:between w:val="nil"/>
              </w:pBdr>
              <w:spacing w:after="0" w:line="240" w:lineRule="auto"/>
              <w:jc w:val="center"/>
              <w:rPr>
                <w:b/>
                <w:color w:val="000000"/>
              </w:rPr>
            </w:pPr>
          </w:p>
          <w:p w14:paraId="06A19CA5" w14:textId="77777777" w:rsidR="00A01A03" w:rsidRDefault="00000000">
            <w:pPr>
              <w:pBdr>
                <w:top w:val="nil"/>
                <w:left w:val="nil"/>
                <w:bottom w:val="nil"/>
                <w:right w:val="nil"/>
                <w:between w:val="nil"/>
              </w:pBdr>
              <w:spacing w:after="0" w:line="240" w:lineRule="auto"/>
              <w:jc w:val="center"/>
              <w:rPr>
                <w:b/>
                <w:color w:val="000000"/>
              </w:rPr>
            </w:pPr>
            <w:r>
              <w:rPr>
                <w:b/>
                <w:color w:val="000000"/>
              </w:rPr>
              <w:t>DR. CARLOS FERNANDO PAVÓN DURÁN</w:t>
            </w:r>
          </w:p>
          <w:p w14:paraId="01031CCB" w14:textId="3D466B86" w:rsidR="00363971" w:rsidRDefault="00000000" w:rsidP="00363971">
            <w:pPr>
              <w:pBdr>
                <w:top w:val="nil"/>
                <w:left w:val="nil"/>
                <w:bottom w:val="nil"/>
                <w:right w:val="nil"/>
                <w:between w:val="nil"/>
              </w:pBdr>
              <w:spacing w:after="0" w:line="240" w:lineRule="auto"/>
              <w:jc w:val="center"/>
              <w:rPr>
                <w:b/>
                <w:color w:val="000000"/>
              </w:rPr>
            </w:pPr>
            <w:r>
              <w:rPr>
                <w:b/>
                <w:color w:val="000000"/>
              </w:rPr>
              <w:t>COMISIONADO</w:t>
            </w:r>
          </w:p>
        </w:tc>
      </w:tr>
    </w:tbl>
    <w:p w14:paraId="5B3D1DF7" w14:textId="77777777" w:rsidR="00A01A03" w:rsidRDefault="00A01A03"/>
    <w:sectPr w:rsidR="00A01A03">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1C4F" w14:textId="77777777" w:rsidR="00C902CE" w:rsidRDefault="00C902CE">
      <w:pPr>
        <w:spacing w:after="0" w:line="240" w:lineRule="auto"/>
      </w:pPr>
      <w:r>
        <w:separator/>
      </w:r>
    </w:p>
  </w:endnote>
  <w:endnote w:type="continuationSeparator" w:id="0">
    <w:p w14:paraId="538AC8EB" w14:textId="77777777" w:rsidR="00C902CE" w:rsidRDefault="00C9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1F15" w14:textId="77777777" w:rsidR="00A01A03" w:rsidRDefault="00A01A0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C63C" w14:textId="77777777" w:rsidR="00A01A03"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6704" behindDoc="0" locked="0" layoutInCell="1" hidden="0" allowOverlap="1" wp14:anchorId="1FEA02F5" wp14:editId="6F80217B">
          <wp:simplePos x="0" y="0"/>
          <wp:positionH relativeFrom="column">
            <wp:posOffset>-524432</wp:posOffset>
          </wp:positionH>
          <wp:positionV relativeFrom="paragraph">
            <wp:posOffset>-38099</wp:posOffset>
          </wp:positionV>
          <wp:extent cx="6636822" cy="42428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36822" cy="42428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B559" w14:textId="77777777" w:rsidR="00A01A03" w:rsidRDefault="00A01A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4F46" w14:textId="77777777" w:rsidR="00C902CE" w:rsidRDefault="00C902CE">
      <w:pPr>
        <w:spacing w:after="0" w:line="240" w:lineRule="auto"/>
      </w:pPr>
      <w:r>
        <w:separator/>
      </w:r>
    </w:p>
  </w:footnote>
  <w:footnote w:type="continuationSeparator" w:id="0">
    <w:p w14:paraId="0E915C0E" w14:textId="77777777" w:rsidR="00C902CE" w:rsidRDefault="00C9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A4DD" w14:textId="77777777" w:rsidR="00A01A0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FBC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41.4pt;height:346.35pt;z-index:-25165670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0955" w14:textId="77777777" w:rsidR="00A01A0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5A636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41.4pt;height:346.35pt;z-index:-251658752;mso-position-horizontal:center;mso-position-horizontal-relative:margin;mso-position-vertical:center;mso-position-vertical-relative:margin">
          <v:imagedata r:id="rId1" o:title="image1"/>
          <w10:wrap anchorx="margin" anchory="margin"/>
        </v:shape>
      </w:pict>
    </w:r>
    <w:r>
      <w:rPr>
        <w:noProof/>
      </w:rPr>
      <w:drawing>
        <wp:anchor distT="0" distB="0" distL="114300" distR="114300" simplePos="0" relativeHeight="251655680" behindDoc="0" locked="0" layoutInCell="1" hidden="0" allowOverlap="1" wp14:anchorId="335C3E1B" wp14:editId="74C7613B">
          <wp:simplePos x="0" y="0"/>
          <wp:positionH relativeFrom="column">
            <wp:posOffset>-608653</wp:posOffset>
          </wp:positionH>
          <wp:positionV relativeFrom="paragraph">
            <wp:posOffset>-113460</wp:posOffset>
          </wp:positionV>
          <wp:extent cx="6086246" cy="777656"/>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86246" cy="77765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C991" w14:textId="77777777" w:rsidR="00A01A0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1915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41.4pt;height:346.35pt;z-index:-251657728;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03"/>
    <w:rsid w:val="000F5200"/>
    <w:rsid w:val="001442F2"/>
    <w:rsid w:val="00154666"/>
    <w:rsid w:val="00172C85"/>
    <w:rsid w:val="001A03A8"/>
    <w:rsid w:val="001D054D"/>
    <w:rsid w:val="001D084D"/>
    <w:rsid w:val="00207B97"/>
    <w:rsid w:val="002907DE"/>
    <w:rsid w:val="00296E6D"/>
    <w:rsid w:val="002979C5"/>
    <w:rsid w:val="002B0DE1"/>
    <w:rsid w:val="002D1480"/>
    <w:rsid w:val="00322667"/>
    <w:rsid w:val="00325FF6"/>
    <w:rsid w:val="00363971"/>
    <w:rsid w:val="00595E1A"/>
    <w:rsid w:val="005D6324"/>
    <w:rsid w:val="00682F22"/>
    <w:rsid w:val="006A3B31"/>
    <w:rsid w:val="006C12CC"/>
    <w:rsid w:val="006F4D6C"/>
    <w:rsid w:val="007428D7"/>
    <w:rsid w:val="0074497B"/>
    <w:rsid w:val="00751E06"/>
    <w:rsid w:val="007E7BC1"/>
    <w:rsid w:val="00834215"/>
    <w:rsid w:val="0089179B"/>
    <w:rsid w:val="008974BC"/>
    <w:rsid w:val="009614D0"/>
    <w:rsid w:val="00A01A03"/>
    <w:rsid w:val="00A238B0"/>
    <w:rsid w:val="00A31DA0"/>
    <w:rsid w:val="00A60730"/>
    <w:rsid w:val="00AB15E2"/>
    <w:rsid w:val="00AD650D"/>
    <w:rsid w:val="00B81255"/>
    <w:rsid w:val="00C902CE"/>
    <w:rsid w:val="00C962CE"/>
    <w:rsid w:val="00D34C98"/>
    <w:rsid w:val="00D97F3F"/>
    <w:rsid w:val="00E0161D"/>
    <w:rsid w:val="00E0235F"/>
    <w:rsid w:val="00F308D3"/>
    <w:rsid w:val="00F51DC9"/>
    <w:rsid w:val="00F83D6E"/>
    <w:rsid w:val="00F9106C"/>
    <w:rsid w:val="00FF0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41A1"/>
  <w15:docId w15:val="{28388FE5-2453-4A80-82B5-649116E7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47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76A"/>
  </w:style>
  <w:style w:type="paragraph" w:styleId="Piedepgina">
    <w:name w:val="footer"/>
    <w:basedOn w:val="Normal"/>
    <w:link w:val="PiedepginaCar"/>
    <w:uiPriority w:val="99"/>
    <w:unhideWhenUsed/>
    <w:rsid w:val="00E47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76A"/>
  </w:style>
  <w:style w:type="table" w:styleId="Tablaconcuadrcula">
    <w:name w:val="Table Grid"/>
    <w:basedOn w:val="Tablanormal"/>
    <w:uiPriority w:val="59"/>
    <w:rsid w:val="0019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195F09"/>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8F70D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EmGiywax0fOVnxPOKancc/Pmw==">CgMxLjAyDmgubW9rcDFsNmx0cnY5Mg5oLjRmM3Z6aTNqMTRmbjIOaC50bTg1dnYzdXYxdW0yDmgua2E2OGpqNm5vMGhwOAByITFvcW9DX3BiVnc3OVhWOG5jbUlydHNuU2h6aWk0UFRfYw==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7161</Characters>
  <Application>Microsoft Office Word</Application>
  <DocSecurity>0</DocSecurity>
  <Lines>59</Lines>
  <Paragraphs>16</Paragraphs>
  <ScaleCrop>false</ScaleCrop>
  <Company>CEDAI - INAIP Yucatan 2023</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Dirección de Asuntos Jurídicos  y Plenarios</cp:lastModifiedBy>
  <cp:revision>10</cp:revision>
  <dcterms:created xsi:type="dcterms:W3CDTF">2025-05-13T16:36:00Z</dcterms:created>
  <dcterms:modified xsi:type="dcterms:W3CDTF">2025-05-15T20:13:00Z</dcterms:modified>
</cp:coreProperties>
</file>