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5134" w14:textId="0775A812" w:rsidR="00457055" w:rsidRPr="005C485C" w:rsidRDefault="00DB4045" w:rsidP="00457055">
      <w:pPr>
        <w:jc w:val="both"/>
        <w:rPr>
          <w:rFonts w:ascii="Tofino Regular" w:eastAsia="Arial" w:hAnsi="Tofino Regular" w:cstheme="majorHAnsi"/>
          <w:b/>
          <w:sz w:val="21"/>
          <w:szCs w:val="21"/>
        </w:rPr>
      </w:pPr>
      <w:r w:rsidRPr="005C485C">
        <w:rPr>
          <w:rFonts w:ascii="Tofino Regular" w:eastAsia="Arial" w:hAnsi="Tofino Regular" w:cstheme="majorHAnsi"/>
          <w:b/>
          <w:sz w:val="21"/>
          <w:szCs w:val="21"/>
        </w:rPr>
        <w:t>ACUERDO POR EL QUE SE MODIFICA LA</w:t>
      </w:r>
      <w:r w:rsidR="00457055" w:rsidRPr="005C485C">
        <w:rPr>
          <w:rFonts w:ascii="Tofino Regular" w:eastAsia="Arial" w:hAnsi="Tofino Regular" w:cstheme="majorHAnsi"/>
          <w:b/>
          <w:sz w:val="21"/>
          <w:szCs w:val="21"/>
        </w:rPr>
        <w:t xml:space="preserve"> TABLA DE APLICABILIDAD DE LAS OBLIGACIONES DE TRANSPARENCIA COMUNES</w:t>
      </w:r>
      <w:r w:rsidR="00F54B36" w:rsidRPr="005C485C">
        <w:rPr>
          <w:rFonts w:ascii="Tofino Regular" w:eastAsia="Arial" w:hAnsi="Tofino Regular" w:cstheme="majorHAnsi"/>
          <w:b/>
          <w:sz w:val="21"/>
          <w:szCs w:val="21"/>
        </w:rPr>
        <w:t xml:space="preserve"> DE LA </w:t>
      </w:r>
      <w:r w:rsidR="003927AC" w:rsidRPr="005C485C">
        <w:rPr>
          <w:rFonts w:ascii="Tofino Regular" w:eastAsia="Arial" w:hAnsi="Tofino Regular" w:cstheme="majorHAnsi"/>
          <w:b/>
          <w:sz w:val="21"/>
          <w:szCs w:val="21"/>
        </w:rPr>
        <w:t>FISCALÍA GENERAL</w:t>
      </w:r>
      <w:r w:rsidR="00457055" w:rsidRPr="005C485C">
        <w:rPr>
          <w:rFonts w:ascii="Tofino Regular" w:eastAsia="Arial" w:hAnsi="Tofino Regular" w:cstheme="majorHAnsi"/>
          <w:b/>
          <w:sz w:val="21"/>
          <w:szCs w:val="21"/>
        </w:rPr>
        <w:t xml:space="preserve"> DEL ESTADO DE YUCATÁN, EN TÉRMINOS DEL ÚLTIMO PÁRRAFO DEL ARTÍCULO 70 DE LA LEY GENERAL DE TRANSPARENCIA Y ACCESO A LA INFORMACIÓN PÚBLICA.</w:t>
      </w:r>
    </w:p>
    <w:p w14:paraId="342BE393" w14:textId="77777777" w:rsidR="00457055" w:rsidRPr="005C485C" w:rsidRDefault="00457055" w:rsidP="00457055">
      <w:pPr>
        <w:jc w:val="both"/>
        <w:rPr>
          <w:rFonts w:ascii="Tofino Regular" w:hAnsi="Tofino Regular" w:cstheme="majorHAnsi"/>
          <w:b/>
          <w:sz w:val="21"/>
          <w:szCs w:val="21"/>
        </w:rPr>
      </w:pPr>
    </w:p>
    <w:p w14:paraId="3A63AF59" w14:textId="6980F063" w:rsidR="00457055" w:rsidRPr="005C485C" w:rsidRDefault="00F92188" w:rsidP="00F92188">
      <w:pPr>
        <w:jc w:val="both"/>
        <w:rPr>
          <w:rFonts w:ascii="Tofino Regular" w:hAnsi="Tofino Regular" w:cstheme="majorHAnsi"/>
          <w:b/>
          <w:sz w:val="21"/>
          <w:szCs w:val="21"/>
        </w:rPr>
      </w:pPr>
      <w:r w:rsidRPr="00F92188">
        <w:rPr>
          <w:rFonts w:ascii="Tofino Regular" w:eastAsia="Arial" w:hAnsi="Tofino Regular" w:cstheme="majorHAnsi"/>
          <w:sz w:val="21"/>
          <w:szCs w:val="21"/>
        </w:rPr>
        <w:t>En la ciudad de Mérida, Yucatán, mediante sesión ordinaria del Pleno de fecha veinte de junio de dos mil veinticuatro, las personas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el artículo 4 fracción XLIII del Reglamento Interior del Instituto Estatal de Transparencia, Acceso a la Información Pública y Protección de Datos Personales, emiten el presente acuerdo de conformidad con los siguientes:</w:t>
      </w:r>
    </w:p>
    <w:p w14:paraId="1D4ACA11" w14:textId="77777777" w:rsidR="00457055" w:rsidRPr="005C485C" w:rsidRDefault="00457055" w:rsidP="00457055">
      <w:pPr>
        <w:jc w:val="center"/>
        <w:rPr>
          <w:rFonts w:ascii="Tofino Regular" w:hAnsi="Tofino Regular" w:cstheme="majorHAnsi"/>
          <w:b/>
          <w:sz w:val="21"/>
          <w:szCs w:val="21"/>
        </w:rPr>
      </w:pPr>
      <w:r w:rsidRPr="005C485C">
        <w:rPr>
          <w:rFonts w:ascii="Tofino Regular" w:hAnsi="Tofino Regular" w:cstheme="majorHAnsi"/>
          <w:b/>
          <w:sz w:val="21"/>
          <w:szCs w:val="21"/>
        </w:rPr>
        <w:t>ANTECEDENTES</w:t>
      </w:r>
    </w:p>
    <w:p w14:paraId="4C5CA197" w14:textId="77777777" w:rsidR="005C485C" w:rsidRPr="005C485C" w:rsidRDefault="005C485C" w:rsidP="002F2E34">
      <w:pPr>
        <w:jc w:val="both"/>
        <w:rPr>
          <w:rFonts w:ascii="Tofino Regular" w:hAnsi="Tofino Regular" w:cstheme="majorHAnsi"/>
          <w:b/>
          <w:sz w:val="21"/>
          <w:szCs w:val="21"/>
        </w:rPr>
      </w:pPr>
    </w:p>
    <w:p w14:paraId="53ECC5FC" w14:textId="04C9CA25" w:rsidR="00FF481D" w:rsidRPr="005C485C" w:rsidRDefault="00A27C86" w:rsidP="002F2E34">
      <w:pPr>
        <w:jc w:val="both"/>
        <w:rPr>
          <w:rFonts w:ascii="Tofino Regular" w:eastAsia="Arial" w:hAnsi="Tofino Regular" w:cstheme="majorHAnsi"/>
          <w:sz w:val="21"/>
          <w:szCs w:val="21"/>
        </w:rPr>
      </w:pPr>
      <w:r w:rsidRPr="005C485C">
        <w:rPr>
          <w:rFonts w:ascii="Tofino Regular" w:hAnsi="Tofino Regular" w:cstheme="majorHAnsi"/>
          <w:b/>
          <w:sz w:val="21"/>
          <w:szCs w:val="21"/>
        </w:rPr>
        <w:t>PRIMERO</w:t>
      </w:r>
      <w:r w:rsidR="00457055" w:rsidRPr="005C485C">
        <w:rPr>
          <w:rFonts w:ascii="Tofino Regular" w:hAnsi="Tofino Regular" w:cstheme="majorHAnsi"/>
          <w:b/>
          <w:sz w:val="21"/>
          <w:szCs w:val="21"/>
        </w:rPr>
        <w:t>.-</w:t>
      </w:r>
      <w:bookmarkStart w:id="0" w:name="_Hlk165379299"/>
      <w:bookmarkStart w:id="1" w:name="_Hlk165290177"/>
      <w:r w:rsidR="00FF481D" w:rsidRPr="005C485C">
        <w:rPr>
          <w:rFonts w:ascii="Tofino Regular" w:hAnsi="Tofino Regular"/>
          <w:sz w:val="21"/>
          <w:szCs w:val="21"/>
        </w:rPr>
        <w:t xml:space="preserve"> </w:t>
      </w:r>
      <w:r w:rsidR="00FF481D" w:rsidRPr="005C485C">
        <w:rPr>
          <w:rFonts w:ascii="Tofino Regular" w:eastAsia="Arial" w:hAnsi="Tofino Regular" w:cstheme="majorHAnsi"/>
          <w:sz w:val="21"/>
          <w:szCs w:val="21"/>
        </w:rPr>
        <w:t>El 8 de mayo de 2017, el Pleno del Instituto Estatal de Transparencia, Acceso a la Información Pública y Protección de Datos Personales, aprobó la tabla de aplicabilidad de las obligaciones de transparencia comunes de los sujetos obligados del Poder Ejecutivo, ayuntamientos, organismos municipales y partidos políticos del Estado de Yucatán.</w:t>
      </w:r>
    </w:p>
    <w:p w14:paraId="1F94C768" w14:textId="3D742D7D" w:rsidR="006C509D" w:rsidRPr="005C485C" w:rsidRDefault="006C509D" w:rsidP="00457055">
      <w:pPr>
        <w:jc w:val="both"/>
        <w:rPr>
          <w:rFonts w:ascii="Tofino Regular" w:eastAsia="Arial" w:hAnsi="Tofino Regular" w:cstheme="majorHAnsi"/>
          <w:sz w:val="21"/>
          <w:szCs w:val="21"/>
        </w:rPr>
      </w:pPr>
    </w:p>
    <w:p w14:paraId="43FF8D5D" w14:textId="002AD81D" w:rsidR="006C509D" w:rsidRPr="005C485C" w:rsidRDefault="00A27C86" w:rsidP="00A27C86">
      <w:pPr>
        <w:jc w:val="both"/>
        <w:rPr>
          <w:rFonts w:ascii="Tofino Regular" w:hAnsi="Tofino Regular" w:cstheme="majorHAnsi"/>
          <w:sz w:val="21"/>
          <w:szCs w:val="21"/>
        </w:rPr>
      </w:pPr>
      <w:r w:rsidRPr="005C485C">
        <w:rPr>
          <w:rFonts w:ascii="Tofino Regular" w:eastAsia="Arial" w:hAnsi="Tofino Regular" w:cstheme="majorHAnsi"/>
          <w:b/>
          <w:bCs/>
          <w:sz w:val="21"/>
          <w:szCs w:val="21"/>
        </w:rPr>
        <w:t>SEGUNDO.-</w:t>
      </w:r>
      <w:r w:rsidRPr="005C485C">
        <w:rPr>
          <w:rFonts w:ascii="Tofino Regular" w:eastAsia="Arial" w:hAnsi="Tofino Regular" w:cstheme="majorHAnsi"/>
          <w:sz w:val="21"/>
          <w:szCs w:val="21"/>
        </w:rPr>
        <w:t xml:space="preserve"> </w:t>
      </w:r>
      <w:r w:rsidR="00FF481D" w:rsidRPr="005C485C">
        <w:rPr>
          <w:rFonts w:ascii="Tofino Regular" w:eastAsia="Arial" w:hAnsi="Tofino Regular" w:cstheme="majorHAnsi"/>
          <w:bCs/>
          <w:sz w:val="21"/>
          <w:szCs w:val="21"/>
        </w:rPr>
        <w:t xml:space="preserve">El 21 de abril de 2023, se publicó en el Diario Oficial del Gobierno del Estado de Yucatán, 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el cual entró en vigor el 22 de abril de 2023, en el que se dotó de autonomía constitucional </w:t>
      </w:r>
      <w:r w:rsidR="00FF481D" w:rsidRPr="005C485C">
        <w:rPr>
          <w:rFonts w:ascii="Tofino Regular" w:hAnsi="Tofino Regular" w:cstheme="majorHAnsi"/>
          <w:sz w:val="21"/>
          <w:szCs w:val="21"/>
        </w:rPr>
        <w:t xml:space="preserve">a la Fiscalía General del Estado de Yucatán, sujeto obligado, que previo a la entrada en vigor del citado decreto, fuere dependencia centralizada del Poder Ejecutivo del Estado de Yucatán. </w:t>
      </w:r>
    </w:p>
    <w:p w14:paraId="3E847691" w14:textId="77777777" w:rsidR="00C60680" w:rsidRPr="005C485C" w:rsidRDefault="00C60680" w:rsidP="00A27C86">
      <w:pPr>
        <w:jc w:val="both"/>
        <w:rPr>
          <w:rFonts w:ascii="Tofino Regular" w:eastAsia="Arial" w:hAnsi="Tofino Regular" w:cstheme="majorHAnsi"/>
          <w:b/>
          <w:bCs/>
          <w:sz w:val="21"/>
          <w:szCs w:val="21"/>
        </w:rPr>
      </w:pPr>
    </w:p>
    <w:p w14:paraId="1AC9EF7B" w14:textId="2D14184F" w:rsidR="00B624A1" w:rsidRPr="005C485C" w:rsidRDefault="00A27C86" w:rsidP="00B624A1">
      <w:pPr>
        <w:jc w:val="both"/>
        <w:rPr>
          <w:rFonts w:ascii="Tofino Regular" w:eastAsia="Calibri" w:hAnsi="Tofino Regular" w:cstheme="majorHAnsi"/>
          <w:sz w:val="21"/>
          <w:szCs w:val="21"/>
          <w:lang w:eastAsia="es-MX"/>
        </w:rPr>
      </w:pPr>
      <w:r w:rsidRPr="005C485C">
        <w:rPr>
          <w:rFonts w:ascii="Tofino Regular" w:eastAsia="Arial" w:hAnsi="Tofino Regular" w:cstheme="majorHAnsi"/>
          <w:b/>
          <w:bCs/>
          <w:sz w:val="21"/>
          <w:szCs w:val="21"/>
        </w:rPr>
        <w:t>TERCERO.-</w:t>
      </w:r>
      <w:r w:rsidRPr="005C485C">
        <w:rPr>
          <w:rFonts w:ascii="Tofino Regular" w:eastAsia="Arial" w:hAnsi="Tofino Regular" w:cstheme="majorHAnsi"/>
          <w:sz w:val="21"/>
          <w:szCs w:val="21"/>
        </w:rPr>
        <w:t xml:space="preserve"> En fecha 2</w:t>
      </w:r>
      <w:r w:rsidR="00FF481D" w:rsidRPr="005C485C">
        <w:rPr>
          <w:rFonts w:ascii="Tofino Regular" w:eastAsia="Arial" w:hAnsi="Tofino Regular" w:cstheme="majorHAnsi"/>
          <w:sz w:val="21"/>
          <w:szCs w:val="21"/>
        </w:rPr>
        <w:t>0</w:t>
      </w:r>
      <w:r w:rsidRPr="005C485C">
        <w:rPr>
          <w:rFonts w:ascii="Tofino Regular" w:eastAsia="Arial" w:hAnsi="Tofino Regular" w:cstheme="majorHAnsi"/>
          <w:sz w:val="21"/>
          <w:szCs w:val="21"/>
        </w:rPr>
        <w:t xml:space="preserve"> de </w:t>
      </w:r>
      <w:r w:rsidR="00FF481D" w:rsidRPr="005C485C">
        <w:rPr>
          <w:rFonts w:ascii="Tofino Regular" w:eastAsia="Arial" w:hAnsi="Tofino Regular" w:cstheme="majorHAnsi"/>
          <w:sz w:val="21"/>
          <w:szCs w:val="21"/>
        </w:rPr>
        <w:t>julio</w:t>
      </w:r>
      <w:r w:rsidRPr="005C485C">
        <w:rPr>
          <w:rFonts w:ascii="Tofino Regular" w:eastAsia="Arial" w:hAnsi="Tofino Regular" w:cstheme="majorHAnsi"/>
          <w:sz w:val="21"/>
          <w:szCs w:val="21"/>
        </w:rPr>
        <w:t xml:space="preserve"> de 202</w:t>
      </w:r>
      <w:r w:rsidR="00FF481D" w:rsidRPr="005C485C">
        <w:rPr>
          <w:rFonts w:ascii="Tofino Regular" w:eastAsia="Arial" w:hAnsi="Tofino Regular" w:cstheme="majorHAnsi"/>
          <w:sz w:val="21"/>
          <w:szCs w:val="21"/>
        </w:rPr>
        <w:t>3,</w:t>
      </w:r>
      <w:r w:rsidRPr="005C485C">
        <w:rPr>
          <w:rFonts w:ascii="Tofino Regular" w:eastAsia="Arial" w:hAnsi="Tofino Regular" w:cstheme="majorHAnsi"/>
          <w:sz w:val="21"/>
          <w:szCs w:val="21"/>
        </w:rPr>
        <w:t xml:space="preserve"> </w:t>
      </w:r>
      <w:r w:rsidR="00FF481D" w:rsidRPr="005C485C">
        <w:rPr>
          <w:rFonts w:ascii="Tofino Regular" w:eastAsia="Arial" w:hAnsi="Tofino Regular" w:cstheme="majorHAnsi"/>
          <w:sz w:val="21"/>
          <w:szCs w:val="21"/>
        </w:rPr>
        <w:t>se actualizó el Padrón de Sujetos Obligados del Estado de Yucatán</w:t>
      </w:r>
      <w:r w:rsidR="00B624A1" w:rsidRPr="005C485C">
        <w:rPr>
          <w:rFonts w:ascii="Tofino Regular" w:eastAsia="Arial" w:hAnsi="Tofino Regular" w:cstheme="majorHAnsi"/>
          <w:sz w:val="21"/>
          <w:szCs w:val="21"/>
        </w:rPr>
        <w:t>, y con</w:t>
      </w:r>
      <w:r w:rsidR="00B624A1" w:rsidRPr="005C485C">
        <w:rPr>
          <w:rFonts w:ascii="Tofino Regular" w:eastAsia="Calibri" w:hAnsi="Tofino Regular" w:cstheme="majorHAnsi"/>
          <w:b/>
          <w:bCs/>
          <w:sz w:val="21"/>
          <w:szCs w:val="21"/>
          <w:lang w:eastAsia="es-MX"/>
        </w:rPr>
        <w:t xml:space="preserve"> </w:t>
      </w:r>
      <w:r w:rsidR="00B624A1" w:rsidRPr="005C485C">
        <w:rPr>
          <w:rFonts w:ascii="Tofino Regular" w:eastAsia="Calibri" w:hAnsi="Tofino Regular" w:cstheme="majorHAnsi"/>
          <w:sz w:val="21"/>
          <w:szCs w:val="21"/>
          <w:lang w:eastAsia="es-MX"/>
        </w:rPr>
        <w:t xml:space="preserve">motivo de lo anterior, </w:t>
      </w:r>
      <w:r w:rsidR="00DB4045" w:rsidRPr="005C485C">
        <w:rPr>
          <w:rFonts w:ascii="Tofino Regular" w:eastAsia="Calibri" w:hAnsi="Tofino Regular" w:cstheme="majorHAnsi"/>
          <w:sz w:val="21"/>
          <w:szCs w:val="21"/>
          <w:lang w:eastAsia="es-MX"/>
        </w:rPr>
        <w:t xml:space="preserve">se modificó </w:t>
      </w:r>
      <w:r w:rsidR="00B624A1" w:rsidRPr="005C485C">
        <w:rPr>
          <w:rFonts w:ascii="Tofino Regular" w:eastAsia="Calibri" w:hAnsi="Tofino Regular" w:cstheme="majorHAnsi"/>
          <w:sz w:val="21"/>
          <w:szCs w:val="21"/>
          <w:lang w:eastAsia="es-MX"/>
        </w:rPr>
        <w:t xml:space="preserve">la naturaleza de </w:t>
      </w:r>
      <w:r w:rsidR="00DB4045" w:rsidRPr="005C485C">
        <w:rPr>
          <w:rFonts w:ascii="Tofino Regular" w:eastAsia="Calibri" w:hAnsi="Tofino Regular" w:cstheme="majorHAnsi"/>
          <w:sz w:val="21"/>
          <w:szCs w:val="21"/>
          <w:lang w:eastAsia="es-MX"/>
        </w:rPr>
        <w:t xml:space="preserve">este sujeto obligado, quien pasó de ser una Dependencia del Poder Ejecutivo del Estado de Yucatán, </w:t>
      </w:r>
      <w:r w:rsidR="00DB4045" w:rsidRPr="005C485C">
        <w:rPr>
          <w:rFonts w:ascii="Tofino Regular" w:eastAsia="Calibri" w:hAnsi="Tofino Regular" w:cstheme="majorHAnsi"/>
          <w:sz w:val="21"/>
          <w:szCs w:val="21"/>
          <w:lang w:eastAsia="es-MX"/>
        </w:rPr>
        <w:lastRenderedPageBreak/>
        <w:t xml:space="preserve">a un </w:t>
      </w:r>
      <w:r w:rsidR="00B624A1" w:rsidRPr="005C485C">
        <w:rPr>
          <w:rFonts w:ascii="Tofino Regular" w:eastAsia="Calibri" w:hAnsi="Tofino Regular" w:cstheme="majorHAnsi"/>
          <w:sz w:val="21"/>
          <w:szCs w:val="21"/>
          <w:lang w:eastAsia="es-MX"/>
        </w:rPr>
        <w:t>organismo constitucional</w:t>
      </w:r>
      <w:r w:rsidR="00DB4045" w:rsidRPr="005C485C">
        <w:rPr>
          <w:rFonts w:ascii="Tofino Regular" w:eastAsia="Calibri" w:hAnsi="Tofino Regular" w:cstheme="majorHAnsi"/>
          <w:sz w:val="21"/>
          <w:szCs w:val="21"/>
          <w:lang w:eastAsia="es-MX"/>
        </w:rPr>
        <w:t>mente</w:t>
      </w:r>
      <w:r w:rsidR="00B624A1" w:rsidRPr="005C485C">
        <w:rPr>
          <w:rFonts w:ascii="Tofino Regular" w:eastAsia="Calibri" w:hAnsi="Tofino Regular" w:cstheme="majorHAnsi"/>
          <w:sz w:val="21"/>
          <w:szCs w:val="21"/>
          <w:lang w:eastAsia="es-MX"/>
        </w:rPr>
        <w:t xml:space="preserve"> autónomo</w:t>
      </w:r>
      <w:r w:rsidR="00DB4045" w:rsidRPr="005C485C">
        <w:rPr>
          <w:rFonts w:ascii="Tofino Regular" w:eastAsia="Calibri" w:hAnsi="Tofino Regular" w:cstheme="majorHAnsi"/>
          <w:sz w:val="21"/>
          <w:szCs w:val="21"/>
          <w:lang w:eastAsia="es-MX"/>
        </w:rPr>
        <w:t>; por lo cual</w:t>
      </w:r>
      <w:r w:rsidR="00B624A1" w:rsidRPr="005C485C">
        <w:rPr>
          <w:rFonts w:ascii="Tofino Regular" w:eastAsia="Calibri" w:hAnsi="Tofino Regular" w:cstheme="majorHAnsi"/>
          <w:sz w:val="21"/>
          <w:szCs w:val="21"/>
          <w:lang w:eastAsia="es-MX"/>
        </w:rPr>
        <w:t xml:space="preserve"> resultó procedente cancelar la clave asignada al sujeto obligado como dependencia centralizada del Poder Ejecutivo, y asignarle una nueva clave dentro de los organismos autónomos.</w:t>
      </w:r>
    </w:p>
    <w:bookmarkEnd w:id="0"/>
    <w:bookmarkEnd w:id="1"/>
    <w:p w14:paraId="7A0BF162" w14:textId="77777777" w:rsidR="005C485C" w:rsidRPr="005C485C" w:rsidRDefault="005C485C" w:rsidP="00927EC6">
      <w:pPr>
        <w:jc w:val="center"/>
        <w:rPr>
          <w:rFonts w:ascii="Tofino Regular" w:hAnsi="Tofino Regular" w:cstheme="majorHAnsi"/>
          <w:b/>
          <w:sz w:val="21"/>
          <w:szCs w:val="21"/>
        </w:rPr>
      </w:pPr>
    </w:p>
    <w:p w14:paraId="7807C59F" w14:textId="3EA5CF3B" w:rsidR="00457055" w:rsidRPr="005C485C" w:rsidRDefault="00457055" w:rsidP="00927EC6">
      <w:pPr>
        <w:jc w:val="center"/>
        <w:rPr>
          <w:rFonts w:ascii="Tofino Regular" w:hAnsi="Tofino Regular" w:cstheme="majorHAnsi"/>
          <w:b/>
          <w:sz w:val="21"/>
          <w:szCs w:val="21"/>
        </w:rPr>
      </w:pPr>
      <w:r w:rsidRPr="005C485C">
        <w:rPr>
          <w:rFonts w:ascii="Tofino Regular" w:hAnsi="Tofino Regular" w:cstheme="majorHAnsi"/>
          <w:b/>
          <w:sz w:val="21"/>
          <w:szCs w:val="21"/>
        </w:rPr>
        <w:t>CONSIDERANDOS</w:t>
      </w:r>
    </w:p>
    <w:p w14:paraId="342B1D67" w14:textId="77777777" w:rsidR="005C485C" w:rsidRPr="005C485C" w:rsidRDefault="005C485C" w:rsidP="00457055">
      <w:pPr>
        <w:jc w:val="both"/>
        <w:rPr>
          <w:rFonts w:ascii="Tofino Regular" w:eastAsia="Arial" w:hAnsi="Tofino Regular" w:cstheme="majorHAnsi"/>
          <w:b/>
          <w:sz w:val="21"/>
          <w:szCs w:val="21"/>
        </w:rPr>
      </w:pPr>
    </w:p>
    <w:p w14:paraId="61B788C6" w14:textId="18B007E2" w:rsidR="00457055" w:rsidRPr="005C485C" w:rsidRDefault="00457055" w:rsidP="00457055">
      <w:pPr>
        <w:jc w:val="both"/>
        <w:rPr>
          <w:rFonts w:ascii="Tofino Regular" w:eastAsia="Arial" w:hAnsi="Tofino Regular" w:cstheme="majorHAnsi"/>
          <w:sz w:val="21"/>
          <w:szCs w:val="21"/>
        </w:rPr>
      </w:pPr>
      <w:r w:rsidRPr="005C485C">
        <w:rPr>
          <w:rFonts w:ascii="Tofino Regular" w:eastAsia="Arial" w:hAnsi="Tofino Regular" w:cstheme="majorHAnsi"/>
          <w:b/>
          <w:sz w:val="21"/>
          <w:szCs w:val="21"/>
        </w:rPr>
        <w:t xml:space="preserve">PRIMERO.- </w:t>
      </w:r>
      <w:r w:rsidRPr="005C485C">
        <w:rPr>
          <w:rFonts w:ascii="Tofino Regular" w:eastAsia="Arial" w:hAnsi="Tofino Regular" w:cstheme="majorHAnsi"/>
          <w:sz w:val="21"/>
          <w:szCs w:val="21"/>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w:t>
      </w:r>
      <w:r w:rsidR="00927EC6" w:rsidRPr="005C485C">
        <w:rPr>
          <w:rFonts w:ascii="Tofino Regular" w:eastAsia="Arial" w:hAnsi="Tofino Regular" w:cstheme="majorHAnsi"/>
          <w:sz w:val="21"/>
          <w:szCs w:val="21"/>
        </w:rPr>
        <w:t>Ley General de Transparencia y Acceso a la Información Pública</w:t>
      </w:r>
      <w:r w:rsidRPr="005C485C">
        <w:rPr>
          <w:rFonts w:ascii="Tofino Regular" w:eastAsia="Arial" w:hAnsi="Tofino Regular" w:cstheme="majorHAnsi"/>
          <w:sz w:val="21"/>
          <w:szCs w:val="21"/>
        </w:rPr>
        <w:t>, la Ley estatal de la materia y demás disposiciones normativas aplicables.</w:t>
      </w:r>
    </w:p>
    <w:p w14:paraId="5906F423" w14:textId="77777777" w:rsidR="00457055" w:rsidRPr="005C485C" w:rsidRDefault="00457055" w:rsidP="00457055">
      <w:pPr>
        <w:jc w:val="both"/>
        <w:rPr>
          <w:rFonts w:ascii="Tofino Regular" w:eastAsia="Arial" w:hAnsi="Tofino Regular" w:cstheme="majorHAnsi"/>
          <w:sz w:val="21"/>
          <w:szCs w:val="21"/>
        </w:rPr>
      </w:pPr>
    </w:p>
    <w:p w14:paraId="7AD0C53E" w14:textId="23D89F9D" w:rsidR="00457055" w:rsidRPr="005C485C" w:rsidRDefault="00457055" w:rsidP="00457055">
      <w:pPr>
        <w:jc w:val="both"/>
        <w:rPr>
          <w:rFonts w:ascii="Tofino Regular" w:eastAsia="Arial" w:hAnsi="Tofino Regular" w:cstheme="majorHAnsi"/>
          <w:sz w:val="21"/>
          <w:szCs w:val="21"/>
        </w:rPr>
      </w:pPr>
      <w:r w:rsidRPr="005C485C">
        <w:rPr>
          <w:rFonts w:ascii="Tofino Regular" w:eastAsia="Arial" w:hAnsi="Tofino Regular" w:cstheme="majorHAnsi"/>
          <w:b/>
          <w:sz w:val="21"/>
          <w:szCs w:val="21"/>
        </w:rPr>
        <w:t>SEGUNDO.</w:t>
      </w:r>
      <w:r w:rsidRPr="005C485C">
        <w:rPr>
          <w:rFonts w:ascii="Tofino Regular" w:eastAsia="Arial" w:hAnsi="Tofino Regular" w:cstheme="majorHAnsi"/>
          <w:sz w:val="21"/>
          <w:szCs w:val="21"/>
        </w:rPr>
        <w:t xml:space="preserve">- De conformidad con lo señalado en el numeral noveno de los Lineamientos Técnicos Generales, en su fracción III, los sujetos obligados publicarán las tablas de aplicabilidad de las obligaciones de transparencia comunes y específicas, las cuales deberán ser </w:t>
      </w:r>
      <w:r w:rsidR="002C590F" w:rsidRPr="005C485C">
        <w:rPr>
          <w:rFonts w:ascii="Tofino Regular" w:eastAsia="Arial" w:hAnsi="Tofino Regular" w:cstheme="majorHAnsi"/>
          <w:sz w:val="21"/>
          <w:szCs w:val="21"/>
        </w:rPr>
        <w:t>elaboradas</w:t>
      </w:r>
      <w:r w:rsidRPr="005C485C">
        <w:rPr>
          <w:rFonts w:ascii="Tofino Regular" w:eastAsia="Arial" w:hAnsi="Tofino Regular" w:cstheme="majorHAnsi"/>
          <w:sz w:val="21"/>
          <w:szCs w:val="21"/>
        </w:rPr>
        <w:t xml:space="preserve"> por el órgano garante. </w:t>
      </w:r>
    </w:p>
    <w:p w14:paraId="362BD642" w14:textId="77777777" w:rsidR="00457055" w:rsidRPr="005C485C" w:rsidRDefault="00457055" w:rsidP="00457055">
      <w:pPr>
        <w:jc w:val="both"/>
        <w:rPr>
          <w:rFonts w:ascii="Tofino Regular" w:eastAsia="Arial" w:hAnsi="Tofino Regular" w:cstheme="majorHAnsi"/>
          <w:sz w:val="21"/>
          <w:szCs w:val="21"/>
        </w:rPr>
      </w:pPr>
    </w:p>
    <w:p w14:paraId="4AC769D5" w14:textId="77777777" w:rsidR="00457055" w:rsidRPr="005C485C" w:rsidRDefault="00457055" w:rsidP="00457055">
      <w:pPr>
        <w:jc w:val="both"/>
        <w:rPr>
          <w:rFonts w:ascii="Tofino Regular" w:eastAsia="Arial" w:hAnsi="Tofino Regular" w:cstheme="majorHAnsi"/>
          <w:sz w:val="21"/>
          <w:szCs w:val="21"/>
        </w:rPr>
      </w:pPr>
      <w:r w:rsidRPr="005C485C">
        <w:rPr>
          <w:rFonts w:ascii="Tofino Regular" w:eastAsia="Arial" w:hAnsi="Tofino Regular" w:cstheme="majorHAnsi"/>
          <w:b/>
          <w:sz w:val="21"/>
          <w:szCs w:val="21"/>
        </w:rPr>
        <w:t xml:space="preserve">TERCERO.- </w:t>
      </w:r>
      <w:r w:rsidRPr="005C485C">
        <w:rPr>
          <w:rFonts w:ascii="Tofino Regular" w:eastAsia="Arial" w:hAnsi="Tofino Regular" w:cstheme="majorHAnsi"/>
          <w:sz w:val="21"/>
          <w:szCs w:val="21"/>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5F33F1A2" w14:textId="77777777" w:rsidR="00457055" w:rsidRPr="005C485C" w:rsidRDefault="00457055" w:rsidP="00457055">
      <w:pPr>
        <w:jc w:val="both"/>
        <w:rPr>
          <w:rFonts w:ascii="Tofino Regular" w:eastAsia="Arial" w:hAnsi="Tofino Regular" w:cstheme="majorHAnsi"/>
          <w:sz w:val="21"/>
          <w:szCs w:val="21"/>
        </w:rPr>
      </w:pPr>
    </w:p>
    <w:p w14:paraId="66C9CB36" w14:textId="7F8CD3B1" w:rsidR="00457055" w:rsidRPr="005C485C" w:rsidRDefault="00457055" w:rsidP="00457055">
      <w:pPr>
        <w:jc w:val="both"/>
        <w:rPr>
          <w:rFonts w:ascii="Tofino Regular" w:eastAsia="Arial" w:hAnsi="Tofino Regular" w:cstheme="majorHAnsi"/>
          <w:sz w:val="21"/>
          <w:szCs w:val="21"/>
        </w:rPr>
      </w:pPr>
      <w:r w:rsidRPr="005C485C">
        <w:rPr>
          <w:rFonts w:ascii="Tofino Regular" w:eastAsia="Arial" w:hAnsi="Tofino Regular" w:cstheme="majorHAnsi"/>
          <w:b/>
          <w:sz w:val="21"/>
          <w:szCs w:val="21"/>
        </w:rPr>
        <w:t>CUARTO.-</w:t>
      </w:r>
      <w:r w:rsidRPr="005C485C">
        <w:rPr>
          <w:rFonts w:ascii="Tofino Regular" w:eastAsia="Arial" w:hAnsi="Tofino Regular" w:cstheme="majorHAnsi"/>
          <w:sz w:val="21"/>
          <w:szCs w:val="21"/>
        </w:rPr>
        <w:t xml:space="preserve"> </w:t>
      </w:r>
      <w:r w:rsidR="005423B7" w:rsidRPr="005C485C">
        <w:rPr>
          <w:rFonts w:ascii="Tofino Regular" w:eastAsia="Arial" w:hAnsi="Tofino Regular" w:cstheme="majorHAnsi"/>
          <w:sz w:val="21"/>
          <w:szCs w:val="21"/>
        </w:rPr>
        <w:t>Con motivo de la modificación de la naturaleza del sujeto obligado, quien pasó de ser una dependencia centralizada del Poder Ejecutivo a ser un organismo constitucionalmente autónomo, de conformidad con lo señalado en el antecedente TERCERO, se procederá a determinar aquellas obligaciones de transparencia comunes, que modificarán su aplicabilidad, o en su caso no aplicabilidad, de conformidad con las siguientes fundamentaciones y motivaciones; para</w:t>
      </w:r>
      <w:r w:rsidRPr="005C485C">
        <w:rPr>
          <w:rFonts w:ascii="Tofino Regular" w:eastAsia="Arial" w:hAnsi="Tofino Regular" w:cstheme="majorHAnsi"/>
          <w:sz w:val="21"/>
          <w:szCs w:val="21"/>
        </w:rPr>
        <w:t xml:space="preserve"> determinar la aplicabilidad de las obligaciones de transparencia comunes del siguiente sujeto obligado, se consideró la naturaleza jurídica de est</w:t>
      </w:r>
      <w:r w:rsidR="005423B7" w:rsidRPr="005C485C">
        <w:rPr>
          <w:rFonts w:ascii="Tofino Regular" w:eastAsia="Arial" w:hAnsi="Tofino Regular" w:cstheme="majorHAnsi"/>
          <w:sz w:val="21"/>
          <w:szCs w:val="21"/>
        </w:rPr>
        <w:t>e</w:t>
      </w:r>
      <w:r w:rsidRPr="005C485C">
        <w:rPr>
          <w:rFonts w:ascii="Tofino Regular" w:eastAsia="Arial" w:hAnsi="Tofino Regular" w:cstheme="majorHAnsi"/>
          <w:sz w:val="21"/>
          <w:szCs w:val="21"/>
        </w:rPr>
        <w:t>, así como de sus funciones, atribuciones y competencias establecidas en sus leyes</w:t>
      </w:r>
      <w:r w:rsidR="003A4FCD" w:rsidRPr="005C485C">
        <w:rPr>
          <w:rFonts w:ascii="Tofino Regular" w:eastAsia="Arial" w:hAnsi="Tofino Regular" w:cstheme="majorHAnsi"/>
          <w:sz w:val="21"/>
          <w:szCs w:val="21"/>
        </w:rPr>
        <w:t>,</w:t>
      </w:r>
      <w:r w:rsidRPr="005C485C">
        <w:rPr>
          <w:rFonts w:ascii="Tofino Regular" w:eastAsia="Arial" w:hAnsi="Tofino Regular" w:cstheme="majorHAnsi"/>
          <w:sz w:val="21"/>
          <w:szCs w:val="21"/>
        </w:rPr>
        <w:t xml:space="preserve"> decreto</w:t>
      </w:r>
      <w:r w:rsidR="003A4FCD" w:rsidRPr="005C485C">
        <w:rPr>
          <w:rFonts w:ascii="Tofino Regular" w:eastAsia="Arial" w:hAnsi="Tofino Regular" w:cstheme="majorHAnsi"/>
          <w:sz w:val="21"/>
          <w:szCs w:val="21"/>
        </w:rPr>
        <w:t>s y reglamento interior</w:t>
      </w:r>
      <w:r w:rsidR="005423B7" w:rsidRPr="005C485C">
        <w:rPr>
          <w:rFonts w:ascii="Tofino Regular" w:eastAsia="Arial" w:hAnsi="Tofino Regular" w:cstheme="majorHAnsi"/>
          <w:sz w:val="21"/>
          <w:szCs w:val="21"/>
        </w:rPr>
        <w:t>.</w:t>
      </w:r>
    </w:p>
    <w:p w14:paraId="6685BE04" w14:textId="77777777" w:rsidR="00457055" w:rsidRPr="005C485C" w:rsidRDefault="00457055" w:rsidP="00457055">
      <w:pPr>
        <w:jc w:val="both"/>
        <w:rPr>
          <w:rFonts w:ascii="Tofino Regular" w:eastAsia="Arial" w:hAnsi="Tofino Regular" w:cstheme="majorHAnsi"/>
          <w:sz w:val="21"/>
          <w:szCs w:val="21"/>
        </w:rPr>
      </w:pPr>
    </w:p>
    <w:p w14:paraId="156F7096" w14:textId="77777777" w:rsidR="005C485C" w:rsidRDefault="005C485C" w:rsidP="00457055">
      <w:pPr>
        <w:jc w:val="both"/>
        <w:rPr>
          <w:rFonts w:ascii="Tofino Regular" w:eastAsia="Times New Roman" w:hAnsi="Tofino Regular" w:cs="Calibri Light"/>
          <w:b/>
          <w:bCs/>
          <w:color w:val="000000"/>
          <w:sz w:val="21"/>
          <w:szCs w:val="21"/>
          <w:lang w:eastAsia="es-MX"/>
        </w:rPr>
      </w:pPr>
    </w:p>
    <w:p w14:paraId="5E095465" w14:textId="77777777" w:rsidR="005C485C" w:rsidRDefault="005C485C" w:rsidP="00457055">
      <w:pPr>
        <w:jc w:val="both"/>
        <w:rPr>
          <w:rFonts w:ascii="Tofino Regular" w:eastAsia="Times New Roman" w:hAnsi="Tofino Regular" w:cs="Calibri Light"/>
          <w:b/>
          <w:bCs/>
          <w:color w:val="000000"/>
          <w:sz w:val="21"/>
          <w:szCs w:val="21"/>
          <w:lang w:eastAsia="es-MX"/>
        </w:rPr>
      </w:pPr>
    </w:p>
    <w:p w14:paraId="04B67D48" w14:textId="77777777" w:rsidR="005C485C" w:rsidRDefault="005C485C" w:rsidP="00457055">
      <w:pPr>
        <w:jc w:val="both"/>
        <w:rPr>
          <w:rFonts w:ascii="Tofino Regular" w:eastAsia="Times New Roman" w:hAnsi="Tofino Regular" w:cs="Calibri Light"/>
          <w:b/>
          <w:bCs/>
          <w:color w:val="000000"/>
          <w:sz w:val="21"/>
          <w:szCs w:val="21"/>
          <w:lang w:eastAsia="es-MX"/>
        </w:rPr>
      </w:pPr>
    </w:p>
    <w:p w14:paraId="7FA53697" w14:textId="26F79FB4" w:rsidR="004B4B62" w:rsidRPr="005C485C" w:rsidRDefault="008B3E36" w:rsidP="00457055">
      <w:pPr>
        <w:jc w:val="both"/>
        <w:rPr>
          <w:rFonts w:ascii="Tofino Regular" w:eastAsia="Arial" w:hAnsi="Tofino Regular" w:cstheme="majorHAnsi"/>
          <w:b/>
          <w:bCs/>
          <w:sz w:val="21"/>
          <w:szCs w:val="21"/>
        </w:rPr>
      </w:pPr>
      <w:r w:rsidRPr="005C485C">
        <w:rPr>
          <w:rFonts w:ascii="Tofino Regular" w:eastAsia="Times New Roman" w:hAnsi="Tofino Regular" w:cs="Calibri Light"/>
          <w:b/>
          <w:bCs/>
          <w:color w:val="000000"/>
          <w:sz w:val="21"/>
          <w:szCs w:val="21"/>
          <w:lang w:eastAsia="es-MX"/>
        </w:rPr>
        <w:lastRenderedPageBreak/>
        <w:t>31-05-08-001</w:t>
      </w:r>
      <w:r w:rsidRPr="005C485C">
        <w:rPr>
          <w:rFonts w:ascii="Tofino Regular" w:eastAsia="Times New Roman" w:hAnsi="Tofino Regular" w:cs="Calibri Light"/>
          <w:color w:val="000000"/>
          <w:sz w:val="21"/>
          <w:szCs w:val="21"/>
          <w:lang w:eastAsia="es-MX"/>
        </w:rPr>
        <w:t xml:space="preserve">      </w:t>
      </w:r>
      <w:r w:rsidR="00457055" w:rsidRPr="005C485C">
        <w:rPr>
          <w:rFonts w:ascii="Tofino Regular" w:eastAsia="Arial" w:hAnsi="Tofino Regular" w:cstheme="majorHAnsi"/>
          <w:b/>
          <w:bCs/>
          <w:sz w:val="21"/>
          <w:szCs w:val="21"/>
        </w:rPr>
        <w:t xml:space="preserve">      </w:t>
      </w:r>
      <w:r w:rsidRPr="005C485C">
        <w:rPr>
          <w:rFonts w:ascii="Tofino Regular" w:eastAsia="Arial" w:hAnsi="Tofino Regular" w:cstheme="majorHAnsi"/>
          <w:b/>
          <w:bCs/>
          <w:sz w:val="21"/>
          <w:szCs w:val="21"/>
        </w:rPr>
        <w:t>Fiscalía General</w:t>
      </w:r>
      <w:r w:rsidR="00457055" w:rsidRPr="005C485C">
        <w:rPr>
          <w:rFonts w:ascii="Tofino Regular" w:eastAsia="Arial" w:hAnsi="Tofino Regular" w:cstheme="majorHAnsi"/>
          <w:b/>
          <w:bCs/>
          <w:sz w:val="21"/>
          <w:szCs w:val="21"/>
        </w:rPr>
        <w:t xml:space="preserve"> del Estado de Yucatán.</w:t>
      </w:r>
    </w:p>
    <w:p w14:paraId="1339CDE1" w14:textId="77777777" w:rsidR="005C485C" w:rsidRPr="005C485C" w:rsidRDefault="005C485C" w:rsidP="00457055">
      <w:pPr>
        <w:jc w:val="both"/>
        <w:rPr>
          <w:rFonts w:ascii="Tofino Regular" w:eastAsia="Arial" w:hAnsi="Tofino Regular" w:cstheme="majorHAnsi"/>
          <w:b/>
          <w:bCs/>
          <w:sz w:val="21"/>
          <w:szCs w:val="21"/>
        </w:rPr>
      </w:pP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0"/>
        <w:gridCol w:w="4106"/>
        <w:gridCol w:w="4397"/>
      </w:tblGrid>
      <w:tr w:rsidR="00457055" w:rsidRPr="005C485C" w14:paraId="498C6B42" w14:textId="77777777" w:rsidTr="00AC21CA">
        <w:trPr>
          <w:trHeight w:val="501"/>
          <w:tblHeade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14:paraId="0A08CA97" w14:textId="77777777" w:rsidR="00457055" w:rsidRPr="005C485C" w:rsidRDefault="00457055" w:rsidP="00AC21CA">
            <w:pPr>
              <w:jc w:val="center"/>
              <w:rPr>
                <w:rFonts w:ascii="Tofino Regular" w:eastAsia="Times New Roman" w:hAnsi="Tofino Regular" w:cs="Calibri Light"/>
                <w:b/>
                <w:bCs/>
                <w:sz w:val="21"/>
                <w:szCs w:val="21"/>
                <w:lang w:eastAsia="es-MX"/>
              </w:rPr>
            </w:pPr>
            <w:r w:rsidRPr="005C485C">
              <w:rPr>
                <w:rFonts w:ascii="Tofino Regular" w:eastAsia="Times New Roman" w:hAnsi="Tofino Regular" w:cs="Calibri Light"/>
                <w:b/>
                <w:bCs/>
                <w:sz w:val="21"/>
                <w:szCs w:val="21"/>
                <w:lang w:eastAsia="es-MX"/>
              </w:rPr>
              <w:t>FRACCIÓN</w:t>
            </w:r>
          </w:p>
        </w:tc>
        <w:tc>
          <w:tcPr>
            <w:tcW w:w="4397"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0E50B715" w14:textId="77777777" w:rsidR="00457055" w:rsidRPr="005C485C" w:rsidRDefault="00457055" w:rsidP="00AC21CA">
            <w:pPr>
              <w:jc w:val="center"/>
              <w:rPr>
                <w:rFonts w:ascii="Tofino Regular" w:eastAsia="Times New Roman" w:hAnsi="Tofino Regular" w:cs="Calibri Light"/>
                <w:b/>
                <w:bCs/>
                <w:sz w:val="21"/>
                <w:szCs w:val="21"/>
                <w:lang w:eastAsia="es-MX"/>
              </w:rPr>
            </w:pPr>
            <w:r w:rsidRPr="005C485C">
              <w:rPr>
                <w:rFonts w:ascii="Tofino Regular" w:eastAsia="Times New Roman" w:hAnsi="Tofino Regular" w:cs="Calibri Light"/>
                <w:b/>
                <w:bCs/>
                <w:sz w:val="21"/>
                <w:szCs w:val="21"/>
                <w:lang w:eastAsia="es-MX"/>
              </w:rPr>
              <w:t>APLICABLE / NO APLICABLE</w:t>
            </w:r>
          </w:p>
        </w:tc>
      </w:tr>
      <w:tr w:rsidR="00457055" w:rsidRPr="005C485C" w14:paraId="111AF5F4" w14:textId="77777777" w:rsidTr="00AC21CA">
        <w:trPr>
          <w:trHeight w:val="16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5503" w14:textId="77777777" w:rsidR="00457055" w:rsidRPr="005C485C" w:rsidRDefault="00457055" w:rsidP="00AC21CA">
            <w:pPr>
              <w:jc w:val="center"/>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5CFD" w14:textId="77777777"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La información en Versión Pública de las declaraciones patrimoniales de los Servidores Públicos que así lo determinen, en los sistemas habilitados para ello, de acuerdo a la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03FD" w14:textId="77777777"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Le es aplicable. En este sentido el sujeto obligado deberá publicar la versión pública, de la declaración de situación patrimonial de todas las personas servidoras públicas establecidas en el artículo 108 de la Constitución Política de los Estados Unidos Mexicanos, integrantes, miembros del sujeto obligado y/o toda persona que desempeñe un empleo, cargo o comisión y/o ejerza actos de autoridad, en sus tres modalidades: inicio, modificación y de conclusión, de conformidad con la normatividad que resulte aplicable en la materia.</w:t>
            </w:r>
          </w:p>
        </w:tc>
      </w:tr>
      <w:tr w:rsidR="00457055" w:rsidRPr="005C485C" w14:paraId="754B8FA2" w14:textId="77777777" w:rsidTr="00AC21CA">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81501" w14:textId="77777777" w:rsidR="00457055" w:rsidRPr="005C485C" w:rsidRDefault="00457055" w:rsidP="00AC21CA">
            <w:pPr>
              <w:jc w:val="center"/>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XV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78D2" w14:textId="77777777"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BF46" w14:textId="35FD7CDE"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 xml:space="preserve">No le es aplicable, toda vez que de conformidad con lo establecido en la </w:t>
            </w:r>
            <w:r w:rsidR="00E743C6" w:rsidRPr="005C485C">
              <w:rPr>
                <w:rFonts w:ascii="Tofino Regular" w:eastAsia="Times New Roman" w:hAnsi="Tofino Regular" w:cs="Calibri Light"/>
                <w:sz w:val="21"/>
                <w:szCs w:val="21"/>
                <w:lang w:eastAsia="es-MX"/>
              </w:rPr>
              <w:t>Ley de la Fiscalía General del Estado de Yucatán</w:t>
            </w:r>
            <w:r w:rsidRPr="005C485C">
              <w:rPr>
                <w:rFonts w:ascii="Tofino Regular" w:eastAsia="Times New Roman" w:hAnsi="Tofino Regular" w:cs="Calibri Light"/>
                <w:sz w:val="21"/>
                <w:szCs w:val="21"/>
                <w:lang w:eastAsia="es-MX"/>
              </w:rPr>
              <w:t xml:space="preserve">, </w:t>
            </w:r>
            <w:r w:rsidR="00CD5423" w:rsidRPr="005C485C">
              <w:rPr>
                <w:rFonts w:ascii="Tofino Regular" w:eastAsia="Times New Roman" w:hAnsi="Tofino Regular" w:cs="Calibri Light"/>
                <w:sz w:val="21"/>
                <w:szCs w:val="21"/>
                <w:lang w:eastAsia="es-MX"/>
              </w:rPr>
              <w:t xml:space="preserve">este sujeto obligado </w:t>
            </w:r>
            <w:r w:rsidRPr="005C485C">
              <w:rPr>
                <w:rFonts w:ascii="Tofino Regular" w:eastAsia="Times New Roman" w:hAnsi="Tofino Regular" w:cs="Calibri Light"/>
                <w:sz w:val="21"/>
                <w:szCs w:val="21"/>
                <w:lang w:eastAsia="es-MX"/>
              </w:rPr>
              <w:t xml:space="preserve">no </w:t>
            </w:r>
            <w:r w:rsidR="00CD5423" w:rsidRPr="005C485C">
              <w:rPr>
                <w:rFonts w:ascii="Tofino Regular" w:eastAsia="Times New Roman" w:hAnsi="Tofino Regular" w:cs="Calibri Light"/>
                <w:sz w:val="21"/>
                <w:szCs w:val="21"/>
                <w:lang w:eastAsia="es-MX"/>
              </w:rPr>
              <w:t>cuenta con</w:t>
            </w:r>
            <w:r w:rsidRPr="005C485C">
              <w:rPr>
                <w:rFonts w:ascii="Tofino Regular" w:eastAsia="Times New Roman" w:hAnsi="Tofino Regular" w:cs="Calibri Light"/>
                <w:sz w:val="21"/>
                <w:szCs w:val="21"/>
                <w:lang w:eastAsia="es-MX"/>
              </w:rPr>
              <w:t xml:space="preserve"> facultades, funciones</w:t>
            </w:r>
            <w:r w:rsidR="00CD5423" w:rsidRPr="005C485C">
              <w:rPr>
                <w:rFonts w:ascii="Tofino Regular" w:eastAsia="Times New Roman" w:hAnsi="Tofino Regular" w:cs="Calibri Light"/>
                <w:sz w:val="21"/>
                <w:szCs w:val="21"/>
                <w:lang w:eastAsia="es-MX"/>
              </w:rPr>
              <w:t>, atribuciones u</w:t>
            </w:r>
            <w:r w:rsidRPr="005C485C">
              <w:rPr>
                <w:rFonts w:ascii="Tofino Regular" w:eastAsia="Times New Roman" w:hAnsi="Tofino Regular" w:cs="Calibri Light"/>
                <w:sz w:val="21"/>
                <w:szCs w:val="21"/>
                <w:lang w:eastAsia="es-MX"/>
              </w:rPr>
              <w:t xml:space="preserve"> obligaciones, </w:t>
            </w:r>
            <w:r w:rsidR="00CD5423" w:rsidRPr="005C485C">
              <w:rPr>
                <w:rFonts w:ascii="Tofino Regular" w:eastAsia="Times New Roman" w:hAnsi="Tofino Regular" w:cs="Calibri Light"/>
                <w:sz w:val="21"/>
                <w:szCs w:val="21"/>
                <w:lang w:eastAsia="es-MX"/>
              </w:rPr>
              <w:t>que le permitan operar y desarrollar</w:t>
            </w:r>
            <w:r w:rsidRPr="005C485C">
              <w:rPr>
                <w:rFonts w:ascii="Tofino Regular" w:eastAsia="Times New Roman" w:hAnsi="Tofino Regular" w:cs="Calibri Light"/>
                <w:sz w:val="21"/>
                <w:szCs w:val="21"/>
                <w:lang w:eastAsia="es-MX"/>
              </w:rPr>
              <w:t xml:space="preserve"> programas que impliquen el otorgamiento de subsidios, estímulos y apoyos en efectivo o en especie.</w:t>
            </w:r>
          </w:p>
        </w:tc>
      </w:tr>
      <w:tr w:rsidR="00457055" w:rsidRPr="005C485C" w14:paraId="09BF5BA8" w14:textId="77777777" w:rsidTr="00AC21CA">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654D" w14:textId="77777777" w:rsidR="00457055" w:rsidRPr="005C485C" w:rsidRDefault="00457055" w:rsidP="00AC21CA">
            <w:pPr>
              <w:jc w:val="center"/>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XXII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31F6" w14:textId="77777777"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La información relativa a la deuda pública, en términos de la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6EED" w14:textId="2D3251CE" w:rsidR="00E86944" w:rsidRPr="005C485C" w:rsidRDefault="003C391D"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Aplicable, de</w:t>
            </w:r>
            <w:r w:rsidR="000E7FFA" w:rsidRPr="005C485C">
              <w:rPr>
                <w:rFonts w:ascii="Tofino Regular" w:eastAsia="Times New Roman" w:hAnsi="Tofino Regular" w:cs="Calibri Light"/>
                <w:sz w:val="21"/>
                <w:szCs w:val="21"/>
                <w:lang w:eastAsia="es-MX"/>
              </w:rPr>
              <w:t xml:space="preserve"> conformidad con </w:t>
            </w:r>
            <w:r w:rsidRPr="005C485C">
              <w:rPr>
                <w:rFonts w:ascii="Tofino Regular" w:eastAsia="Times New Roman" w:hAnsi="Tofino Regular" w:cs="Calibri Light"/>
                <w:sz w:val="21"/>
                <w:szCs w:val="21"/>
                <w:lang w:eastAsia="es-MX"/>
              </w:rPr>
              <w:t>lo establecido en los</w:t>
            </w:r>
            <w:r w:rsidR="000E7FFA" w:rsidRPr="005C485C">
              <w:rPr>
                <w:rFonts w:ascii="Tofino Regular" w:eastAsia="Times New Roman" w:hAnsi="Tofino Regular" w:cs="Calibri Light"/>
                <w:sz w:val="21"/>
                <w:szCs w:val="21"/>
                <w:lang w:eastAsia="es-MX"/>
              </w:rPr>
              <w:t xml:space="preserve"> artículo</w:t>
            </w:r>
            <w:r w:rsidRPr="005C485C">
              <w:rPr>
                <w:rFonts w:ascii="Tofino Regular" w:eastAsia="Times New Roman" w:hAnsi="Tofino Regular" w:cs="Calibri Light"/>
                <w:sz w:val="21"/>
                <w:szCs w:val="21"/>
                <w:lang w:eastAsia="es-MX"/>
              </w:rPr>
              <w:t>s</w:t>
            </w:r>
            <w:r w:rsidR="000E7FFA" w:rsidRPr="005C485C">
              <w:rPr>
                <w:rFonts w:ascii="Tofino Regular" w:eastAsia="Times New Roman" w:hAnsi="Tofino Regular" w:cs="Calibri Light"/>
                <w:sz w:val="21"/>
                <w:szCs w:val="21"/>
                <w:lang w:eastAsia="es-MX"/>
              </w:rPr>
              <w:t xml:space="preserve"> 2 fracción II </w:t>
            </w:r>
            <w:r w:rsidRPr="005C485C">
              <w:rPr>
                <w:rFonts w:ascii="Tofino Regular" w:eastAsia="Times New Roman" w:hAnsi="Tofino Regular" w:cs="Calibri Light"/>
                <w:sz w:val="21"/>
                <w:szCs w:val="21"/>
                <w:lang w:eastAsia="es-MX"/>
              </w:rPr>
              <w:t xml:space="preserve">y 10 </w:t>
            </w:r>
            <w:r w:rsidR="000E7FFA" w:rsidRPr="005C485C">
              <w:rPr>
                <w:rFonts w:ascii="Tofino Regular" w:eastAsia="Times New Roman" w:hAnsi="Tofino Regular" w:cs="Calibri Light"/>
                <w:sz w:val="21"/>
                <w:szCs w:val="21"/>
                <w:lang w:eastAsia="es-MX"/>
              </w:rPr>
              <w:t>de la Ley de la Deuda Pública del Estado de Yucatán</w:t>
            </w:r>
            <w:r w:rsidRPr="005C485C">
              <w:rPr>
                <w:rFonts w:ascii="Tofino Regular" w:eastAsia="Times New Roman" w:hAnsi="Tofino Regular" w:cs="Calibri Light"/>
                <w:sz w:val="21"/>
                <w:szCs w:val="21"/>
                <w:lang w:eastAsia="es-MX"/>
              </w:rPr>
              <w:t>, toda vez que este sujeto obligado es susceptible de contratar financiamientos, requisitado el procedimiento y formalidades establecidas en la referida Ley de deuda pública.</w:t>
            </w:r>
          </w:p>
        </w:tc>
      </w:tr>
      <w:tr w:rsidR="00457055" w:rsidRPr="005C485C" w14:paraId="4239BCC4" w14:textId="77777777" w:rsidTr="00AC21CA">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E412" w14:textId="77777777" w:rsidR="00457055" w:rsidRPr="005C485C" w:rsidRDefault="00457055" w:rsidP="00AC21CA">
            <w:pPr>
              <w:jc w:val="center"/>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XXV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84CB" w14:textId="77777777"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El resultado de la dictaminación de los estados financieros;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3C23" w14:textId="77777777" w:rsidR="00457055" w:rsidRPr="005C485C" w:rsidRDefault="00457055" w:rsidP="00AC21CA">
            <w:pPr>
              <w:jc w:val="both"/>
              <w:rPr>
                <w:rFonts w:ascii="Tofino Regular" w:eastAsia="Times New Roman" w:hAnsi="Tofino Regular" w:cs="Calibri Light"/>
                <w:sz w:val="21"/>
                <w:szCs w:val="21"/>
              </w:rPr>
            </w:pPr>
            <w:r w:rsidRPr="005C485C">
              <w:rPr>
                <w:rFonts w:ascii="Tofino Regular" w:eastAsia="Times New Roman" w:hAnsi="Tofino Regular" w:cs="Calibri Light"/>
                <w:sz w:val="21"/>
                <w:szCs w:val="21"/>
              </w:rPr>
              <w:t xml:space="preserve">Le es aplicable, por lo que los sujetos obligados deberán publicar los informes de resultados de los dictámenes realizados a sus estados financieros por las empresas auditoras contratadas para tal fin, por lo que de no contar con la información a la que hace referencia, la </w:t>
            </w:r>
            <w:r w:rsidRPr="005C485C">
              <w:rPr>
                <w:rFonts w:ascii="Tofino Regular" w:eastAsia="Times New Roman" w:hAnsi="Tofino Regular" w:cs="Calibri Light"/>
                <w:sz w:val="21"/>
                <w:szCs w:val="21"/>
              </w:rPr>
              <w:lastRenderedPageBreak/>
              <w:t>presente fracción, se deberá declarar la inexistencia de forma fundada y motivada.</w:t>
            </w:r>
          </w:p>
        </w:tc>
      </w:tr>
      <w:tr w:rsidR="00457055" w:rsidRPr="005C485C" w14:paraId="59423146" w14:textId="77777777" w:rsidTr="00AC21CA">
        <w:trPr>
          <w:trHeight w:val="53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F755" w14:textId="77777777" w:rsidR="00457055" w:rsidRPr="005C485C" w:rsidRDefault="00457055" w:rsidP="00AC21CA">
            <w:pPr>
              <w:jc w:val="center"/>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lastRenderedPageBreak/>
              <w:t>XLII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24A3A" w14:textId="77777777"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El listado de jubilados y pensionados y el monto que reciben;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65E74" w14:textId="2A8E07FB"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 xml:space="preserve">No le es aplicable, en razón que la </w:t>
            </w:r>
            <w:r w:rsidR="0010179C" w:rsidRPr="005C485C">
              <w:rPr>
                <w:rFonts w:ascii="Tofino Regular" w:eastAsia="Times New Roman" w:hAnsi="Tofino Regular" w:cs="Calibri Light"/>
                <w:sz w:val="21"/>
                <w:szCs w:val="21"/>
                <w:lang w:eastAsia="es-MX"/>
              </w:rPr>
              <w:t>Fiscalía General</w:t>
            </w:r>
            <w:r w:rsidRPr="005C485C">
              <w:rPr>
                <w:rFonts w:ascii="Tofino Regular" w:eastAsia="Times New Roman" w:hAnsi="Tofino Regular" w:cs="Calibri Light"/>
                <w:sz w:val="21"/>
                <w:szCs w:val="21"/>
                <w:lang w:eastAsia="es-MX"/>
              </w:rPr>
              <w:t xml:space="preserve"> del Estado de Yucatán no es una institución de seguridad social, ni paga jubilaciones, ni pensiones de manera directa.</w:t>
            </w:r>
          </w:p>
        </w:tc>
      </w:tr>
      <w:tr w:rsidR="00457055" w:rsidRPr="005C485C" w14:paraId="256F73EC" w14:textId="77777777" w:rsidTr="00AC21CA">
        <w:trPr>
          <w:trHeight w:val="6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93FEA" w14:textId="77777777" w:rsidR="00457055" w:rsidRPr="005C485C" w:rsidRDefault="00457055" w:rsidP="00AC21CA">
            <w:pPr>
              <w:jc w:val="center"/>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XLIII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5ED04" w14:textId="77777777"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Los ingresos recibidos por cualquier concepto señalando el nombre de los responsables de recibirlos, administrarlos y ejercerlos, así como su destino, indicando el destino de cada uno de ellos;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299B5" w14:textId="3C0071ED"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 xml:space="preserve">Le es aplicable de conformidad con lo dispuesto en el artículo </w:t>
            </w:r>
            <w:r w:rsidR="005B33D0" w:rsidRPr="005C485C">
              <w:rPr>
                <w:rFonts w:ascii="Tofino Regular" w:eastAsia="Times New Roman" w:hAnsi="Tofino Regular" w:cs="Calibri Light"/>
                <w:sz w:val="21"/>
                <w:szCs w:val="21"/>
                <w:lang w:eastAsia="es-MX"/>
              </w:rPr>
              <w:t>158 del Reglamento Interior de la Fiscalía General del Estado de Yucatán</w:t>
            </w:r>
            <w:r w:rsidRPr="005C485C">
              <w:rPr>
                <w:rFonts w:ascii="Tofino Regular" w:eastAsia="Times New Roman" w:hAnsi="Tofino Regular" w:cs="Calibri Light"/>
                <w:sz w:val="21"/>
                <w:szCs w:val="21"/>
                <w:lang w:eastAsia="es-MX"/>
              </w:rPr>
              <w:t>, precepto normativo que señala cómo se integra su patrimonio.</w:t>
            </w:r>
          </w:p>
        </w:tc>
      </w:tr>
      <w:tr w:rsidR="00457055" w:rsidRPr="005C485C" w14:paraId="26AB7825" w14:textId="77777777" w:rsidTr="00AC21CA">
        <w:trPr>
          <w:trHeight w:val="103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DBA6" w14:textId="77777777" w:rsidR="00457055" w:rsidRPr="005C485C" w:rsidRDefault="00457055" w:rsidP="00AC21CA">
            <w:pPr>
              <w:jc w:val="center"/>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XLVI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48FE" w14:textId="77777777" w:rsidR="00457055" w:rsidRPr="005C485C" w:rsidRDefault="00457055" w:rsidP="00AC21CA">
            <w:pPr>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Las actas de sesiones ordinarias y extraordinarias, así como las opiniones y recomendaciones que emitan, en su caso, los consejos consultivos;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225F" w14:textId="5A496EBE" w:rsidR="00457055" w:rsidRPr="005C485C" w:rsidRDefault="00457055" w:rsidP="00AC21CA">
            <w:pPr>
              <w:shd w:val="clear" w:color="auto" w:fill="FFFFFF" w:themeFill="background1"/>
              <w:jc w:val="both"/>
              <w:rPr>
                <w:rFonts w:ascii="Tofino Regular" w:eastAsia="Times New Roman" w:hAnsi="Tofino Regular" w:cs="Calibri Light"/>
                <w:sz w:val="21"/>
                <w:szCs w:val="21"/>
                <w:lang w:eastAsia="es-MX"/>
              </w:rPr>
            </w:pPr>
            <w:r w:rsidRPr="005C485C">
              <w:rPr>
                <w:rFonts w:ascii="Tofino Regular" w:eastAsia="Times New Roman" w:hAnsi="Tofino Regular" w:cs="Calibri Light"/>
                <w:sz w:val="21"/>
                <w:szCs w:val="21"/>
                <w:lang w:eastAsia="es-MX"/>
              </w:rPr>
              <w:t xml:space="preserve">No le es aplicable, toda vez que en la Ley </w:t>
            </w:r>
            <w:r w:rsidR="005B33D0" w:rsidRPr="005C485C">
              <w:rPr>
                <w:rFonts w:ascii="Tofino Regular" w:eastAsia="Times New Roman" w:hAnsi="Tofino Regular" w:cs="Calibri Light"/>
                <w:sz w:val="21"/>
                <w:szCs w:val="21"/>
                <w:lang w:eastAsia="es-MX"/>
              </w:rPr>
              <w:t>de la Fiscalía General del Estado de Yucatán</w:t>
            </w:r>
            <w:r w:rsidRPr="005C485C">
              <w:rPr>
                <w:rFonts w:ascii="Tofino Regular" w:eastAsia="Times New Roman" w:hAnsi="Tofino Regular" w:cs="Calibri Light"/>
                <w:sz w:val="21"/>
                <w:szCs w:val="21"/>
                <w:lang w:eastAsia="es-MX"/>
              </w:rPr>
              <w:t>, no se dispone la conformación o integración de un consejo consultivo.</w:t>
            </w:r>
            <w:r w:rsidR="005B33D0" w:rsidRPr="005C485C">
              <w:rPr>
                <w:rFonts w:ascii="Tofino Regular" w:eastAsia="Times New Roman" w:hAnsi="Tofino Regular" w:cs="Calibri Light"/>
                <w:sz w:val="21"/>
                <w:szCs w:val="21"/>
                <w:lang w:eastAsia="es-MX"/>
              </w:rPr>
              <w:t xml:space="preserve"> </w:t>
            </w:r>
          </w:p>
        </w:tc>
      </w:tr>
    </w:tbl>
    <w:p w14:paraId="549D377B" w14:textId="1D7B2CD2" w:rsidR="006C509D" w:rsidRPr="005C485C" w:rsidRDefault="006C509D" w:rsidP="00ED60D7">
      <w:pPr>
        <w:jc w:val="both"/>
        <w:rPr>
          <w:rFonts w:ascii="Tofino Regular" w:eastAsia="Arial" w:hAnsi="Tofino Regular" w:cstheme="majorHAnsi"/>
          <w:sz w:val="21"/>
          <w:szCs w:val="21"/>
        </w:rPr>
      </w:pPr>
    </w:p>
    <w:p w14:paraId="203FA330" w14:textId="77777777" w:rsidR="006C509D" w:rsidRPr="005C485C" w:rsidRDefault="006C509D" w:rsidP="00457055">
      <w:pPr>
        <w:jc w:val="both"/>
        <w:rPr>
          <w:rFonts w:ascii="Tofino Regular" w:eastAsia="Arial" w:hAnsi="Tofino Regular" w:cstheme="majorHAnsi"/>
          <w:b/>
          <w:bCs/>
          <w:sz w:val="21"/>
          <w:szCs w:val="21"/>
        </w:rPr>
      </w:pPr>
    </w:p>
    <w:p w14:paraId="4B98712A" w14:textId="35419F46" w:rsidR="00CE4544" w:rsidRPr="005C485C" w:rsidRDefault="00CE4544" w:rsidP="00457055">
      <w:pPr>
        <w:jc w:val="both"/>
        <w:rPr>
          <w:rFonts w:ascii="Tofino Regular" w:eastAsia="Arial" w:hAnsi="Tofino Regular" w:cstheme="majorHAnsi"/>
          <w:b/>
          <w:bCs/>
          <w:sz w:val="21"/>
          <w:szCs w:val="21"/>
        </w:rPr>
      </w:pPr>
      <w:r w:rsidRPr="005C485C">
        <w:rPr>
          <w:rFonts w:ascii="Tofino Regular" w:eastAsia="Arial" w:hAnsi="Tofino Regular" w:cstheme="majorHAnsi"/>
          <w:b/>
          <w:bCs/>
          <w:sz w:val="21"/>
          <w:szCs w:val="21"/>
        </w:rPr>
        <w:t xml:space="preserve">QUINTO.- </w:t>
      </w:r>
      <w:r w:rsidR="00527018" w:rsidRPr="005C485C">
        <w:rPr>
          <w:rFonts w:ascii="Tofino Regular" w:eastAsia="Arial" w:hAnsi="Tofino Regular" w:cstheme="majorHAnsi"/>
          <w:sz w:val="21"/>
          <w:szCs w:val="21"/>
        </w:rPr>
        <w:t xml:space="preserve">Con base a las valoraciones ya realizadas, en cuando al cambio de naturaleza del sujeto obligado, quien pasó a ser un organismo constitucionalmente autónomo; no le resultará aplicable la obligación específica señalada en el artículo 71 fracción I inciso G de la </w:t>
      </w:r>
      <w:r w:rsidR="00927EC6" w:rsidRPr="005C485C">
        <w:rPr>
          <w:rFonts w:ascii="Tofino Regular" w:eastAsia="Arial" w:hAnsi="Tofino Regular" w:cstheme="majorHAnsi"/>
          <w:sz w:val="21"/>
          <w:szCs w:val="21"/>
        </w:rPr>
        <w:t>Ley General de Transparencia y Acceso a la Información Pública</w:t>
      </w:r>
      <w:r w:rsidRPr="005C485C">
        <w:rPr>
          <w:rFonts w:ascii="Tofino Regular" w:eastAsia="Arial" w:hAnsi="Tofino Regular" w:cstheme="majorHAnsi"/>
          <w:sz w:val="21"/>
          <w:szCs w:val="21"/>
        </w:rPr>
        <w:t>, al no ser un sujeto obligado del Poder Ejecutivo.</w:t>
      </w:r>
    </w:p>
    <w:p w14:paraId="23A599EB" w14:textId="37382C78" w:rsidR="00457055" w:rsidRPr="005C485C" w:rsidRDefault="00DE6650" w:rsidP="00CC725F">
      <w:pPr>
        <w:jc w:val="center"/>
        <w:rPr>
          <w:rFonts w:ascii="Tofino Regular" w:eastAsia="Arial" w:hAnsi="Tofino Regular" w:cs="Arial"/>
          <w:b/>
          <w:bCs/>
          <w:sz w:val="21"/>
          <w:szCs w:val="21"/>
        </w:rPr>
      </w:pPr>
      <w:r w:rsidRPr="005C485C">
        <w:rPr>
          <w:rFonts w:ascii="Tofino Regular" w:eastAsia="Arial" w:hAnsi="Tofino Regular" w:cs="Arial"/>
          <w:b/>
          <w:bCs/>
          <w:sz w:val="21"/>
          <w:szCs w:val="21"/>
        </w:rPr>
        <w:t>ACUERDO</w:t>
      </w:r>
    </w:p>
    <w:p w14:paraId="3EDB7950" w14:textId="77777777" w:rsidR="005C485C" w:rsidRPr="005C485C" w:rsidRDefault="005C485C" w:rsidP="00457055">
      <w:pPr>
        <w:jc w:val="both"/>
        <w:rPr>
          <w:rFonts w:ascii="Tofino Regular" w:eastAsia="Arial" w:hAnsi="Tofino Regular" w:cs="Arial"/>
          <w:b/>
          <w:sz w:val="21"/>
          <w:szCs w:val="21"/>
        </w:rPr>
      </w:pPr>
    </w:p>
    <w:p w14:paraId="2624E330" w14:textId="319F1453" w:rsidR="00457055" w:rsidRPr="005C485C" w:rsidRDefault="00457055" w:rsidP="00457055">
      <w:pPr>
        <w:jc w:val="both"/>
        <w:rPr>
          <w:rFonts w:ascii="Tofino Regular" w:eastAsia="Arial" w:hAnsi="Tofino Regular" w:cs="Arial"/>
          <w:sz w:val="21"/>
          <w:szCs w:val="21"/>
        </w:rPr>
      </w:pPr>
      <w:r w:rsidRPr="005C485C">
        <w:rPr>
          <w:rFonts w:ascii="Tofino Regular" w:eastAsia="Arial" w:hAnsi="Tofino Regular" w:cs="Arial"/>
          <w:b/>
          <w:sz w:val="21"/>
          <w:szCs w:val="21"/>
        </w:rPr>
        <w:t xml:space="preserve">PRIMERO.- </w:t>
      </w:r>
      <w:r w:rsidR="00DE6650" w:rsidRPr="005C485C">
        <w:rPr>
          <w:rFonts w:ascii="Tofino Regular" w:eastAsia="Arial" w:hAnsi="Tofino Regular" w:cs="Arial"/>
          <w:sz w:val="21"/>
          <w:szCs w:val="21"/>
        </w:rPr>
        <w:t>Se autoriza por unanimidad de votos del Pleno, el Acuerdo por el que se modifica la tabla de aplicabilidad de las obligaciones de transparencia comunes de la Fiscalía General del Estado de Yucatán, en términos del último párrafo del artículo 70 de la Ley general de transparencia y acceso a la información pública, de conformidad con lo señalado en el considerando cuarto, siendo los  votos a favor el de la Maestra María Gilda Segovia Chab, el del Doctor en Derecho Carlos Fernando Pavón Durán, y del Licenciado Mauricio Moreno Mendoza, Comisionada Presidenta y Comisionados.</w:t>
      </w:r>
    </w:p>
    <w:p w14:paraId="763E6888" w14:textId="77777777" w:rsidR="00DE6650" w:rsidRPr="005C485C" w:rsidRDefault="00DE6650" w:rsidP="00457055">
      <w:pPr>
        <w:jc w:val="both"/>
        <w:rPr>
          <w:rFonts w:ascii="Tofino Regular" w:eastAsia="Arial" w:hAnsi="Tofino Regular" w:cs="Arial"/>
          <w:sz w:val="21"/>
          <w:szCs w:val="21"/>
        </w:rPr>
      </w:pPr>
    </w:p>
    <w:p w14:paraId="702C6A99" w14:textId="4DF83BF6" w:rsidR="00457055" w:rsidRPr="005C485C" w:rsidRDefault="00457055" w:rsidP="002C590F">
      <w:pPr>
        <w:jc w:val="both"/>
        <w:rPr>
          <w:rFonts w:ascii="Tofino Regular" w:eastAsia="Arial" w:hAnsi="Tofino Regular" w:cstheme="majorHAnsi"/>
          <w:b/>
          <w:sz w:val="21"/>
          <w:szCs w:val="21"/>
        </w:rPr>
      </w:pPr>
      <w:r w:rsidRPr="005C485C">
        <w:rPr>
          <w:rFonts w:ascii="Tofino Regular" w:eastAsia="Arial" w:hAnsi="Tofino Regular" w:cs="Arial"/>
          <w:b/>
          <w:sz w:val="21"/>
          <w:szCs w:val="21"/>
        </w:rPr>
        <w:t xml:space="preserve">SEGUNDO.- </w:t>
      </w:r>
      <w:r w:rsidRPr="005C485C">
        <w:rPr>
          <w:rFonts w:ascii="Tofino Regular" w:eastAsia="Arial" w:hAnsi="Tofino Regular" w:cs="Arial"/>
          <w:sz w:val="21"/>
          <w:szCs w:val="21"/>
        </w:rPr>
        <w:t xml:space="preserve">Se ordena al sujeto obligado referido, </w:t>
      </w:r>
      <w:r w:rsidR="002C590F" w:rsidRPr="005C485C">
        <w:rPr>
          <w:rFonts w:ascii="Tofino Regular" w:eastAsia="Arial" w:hAnsi="Tofino Regular" w:cs="Arial"/>
          <w:sz w:val="21"/>
          <w:szCs w:val="21"/>
        </w:rPr>
        <w:t>que identifique por cada obligación</w:t>
      </w:r>
      <w:r w:rsidR="00527018" w:rsidRPr="005C485C">
        <w:rPr>
          <w:rFonts w:ascii="Tofino Regular" w:eastAsia="Arial" w:hAnsi="Tofino Regular" w:cs="Arial"/>
          <w:sz w:val="21"/>
          <w:szCs w:val="21"/>
        </w:rPr>
        <w:t xml:space="preserve"> modificada como aplicable</w:t>
      </w:r>
      <w:r w:rsidR="002C590F" w:rsidRPr="005C485C">
        <w:rPr>
          <w:rFonts w:ascii="Tofino Regular" w:eastAsia="Arial" w:hAnsi="Tofino Regular" w:cs="Arial"/>
          <w:sz w:val="21"/>
          <w:szCs w:val="21"/>
        </w:rPr>
        <w:t xml:space="preserve">, </w:t>
      </w:r>
      <w:r w:rsidRPr="005C485C">
        <w:rPr>
          <w:rFonts w:ascii="Tofino Regular" w:eastAsia="Arial" w:hAnsi="Tofino Regular" w:cstheme="majorHAnsi"/>
          <w:sz w:val="21"/>
          <w:szCs w:val="21"/>
        </w:rPr>
        <w:t>las áreas que posean o gener</w:t>
      </w:r>
      <w:r w:rsidR="002C590F" w:rsidRPr="005C485C">
        <w:rPr>
          <w:rFonts w:ascii="Tofino Regular" w:eastAsia="Arial" w:hAnsi="Tofino Regular" w:cstheme="majorHAnsi"/>
          <w:sz w:val="21"/>
          <w:szCs w:val="21"/>
        </w:rPr>
        <w:t>a</w:t>
      </w:r>
      <w:r w:rsidRPr="005C485C">
        <w:rPr>
          <w:rFonts w:ascii="Tofino Regular" w:eastAsia="Arial" w:hAnsi="Tofino Regular" w:cstheme="majorHAnsi"/>
          <w:sz w:val="21"/>
          <w:szCs w:val="21"/>
        </w:rPr>
        <w:t>n la información</w:t>
      </w:r>
      <w:r w:rsidR="002C590F" w:rsidRPr="005C485C">
        <w:rPr>
          <w:rFonts w:ascii="Tofino Regular" w:eastAsia="Arial" w:hAnsi="Tofino Regular" w:cstheme="majorHAnsi"/>
          <w:sz w:val="21"/>
          <w:szCs w:val="21"/>
        </w:rPr>
        <w:t>, y que serán las responsables de publicar y actualizar cada una de las obligaciones comunes aplicables</w:t>
      </w:r>
      <w:r w:rsidRPr="005C485C">
        <w:rPr>
          <w:rFonts w:ascii="Tofino Regular" w:eastAsia="Arial" w:hAnsi="Tofino Regular" w:cstheme="majorHAnsi"/>
          <w:sz w:val="21"/>
          <w:szCs w:val="21"/>
        </w:rPr>
        <w:t>;</w:t>
      </w:r>
      <w:r w:rsidR="002C590F" w:rsidRPr="005C485C">
        <w:rPr>
          <w:rFonts w:ascii="Tofino Regular" w:eastAsia="Arial" w:hAnsi="Tofino Regular" w:cstheme="majorHAnsi"/>
          <w:sz w:val="21"/>
          <w:szCs w:val="21"/>
        </w:rPr>
        <w:t xml:space="preserve"> en términos de lo señalado en el artículo 55 de la Ley estatal de la materia. En este sentido, también se le ordena publicar</w:t>
      </w:r>
      <w:r w:rsidRPr="005C485C">
        <w:rPr>
          <w:rFonts w:ascii="Tofino Regular" w:eastAsia="Arial" w:hAnsi="Tofino Regular" w:cstheme="majorHAnsi"/>
          <w:sz w:val="21"/>
          <w:szCs w:val="21"/>
        </w:rPr>
        <w:t xml:space="preserve"> en </w:t>
      </w:r>
      <w:r w:rsidR="002C590F" w:rsidRPr="005C485C">
        <w:rPr>
          <w:rFonts w:ascii="Tofino Regular" w:eastAsia="Arial" w:hAnsi="Tofino Regular" w:cstheme="majorHAnsi"/>
          <w:sz w:val="21"/>
          <w:szCs w:val="21"/>
        </w:rPr>
        <w:t xml:space="preserve">su </w:t>
      </w:r>
      <w:r w:rsidRPr="005C485C">
        <w:rPr>
          <w:rFonts w:ascii="Tofino Regular" w:eastAsia="Arial" w:hAnsi="Tofino Regular" w:cstheme="majorHAnsi"/>
          <w:sz w:val="21"/>
          <w:szCs w:val="21"/>
        </w:rPr>
        <w:t xml:space="preserve">sitio de internet y en la Plataforma Nacional de Transparencia, </w:t>
      </w:r>
      <w:r w:rsidR="001815CC" w:rsidRPr="005C485C">
        <w:rPr>
          <w:rFonts w:ascii="Tofino Regular" w:eastAsia="Arial" w:hAnsi="Tofino Regular" w:cstheme="majorHAnsi"/>
          <w:sz w:val="21"/>
          <w:szCs w:val="21"/>
        </w:rPr>
        <w:t xml:space="preserve">la tabla de aplicabilidad aprobada, </w:t>
      </w:r>
      <w:r w:rsidRPr="005C485C">
        <w:rPr>
          <w:rFonts w:ascii="Tofino Regular" w:eastAsia="Arial" w:hAnsi="Tofino Regular" w:cstheme="majorHAnsi"/>
          <w:sz w:val="21"/>
          <w:szCs w:val="21"/>
        </w:rPr>
        <w:t xml:space="preserve">en el apartado dispuesto para el último párrafo del artículo 70 de la </w:t>
      </w:r>
      <w:r w:rsidR="00927EC6" w:rsidRPr="005C485C">
        <w:rPr>
          <w:rFonts w:ascii="Tofino Regular" w:eastAsia="Arial" w:hAnsi="Tofino Regular" w:cstheme="majorHAnsi"/>
          <w:sz w:val="21"/>
          <w:szCs w:val="21"/>
        </w:rPr>
        <w:t xml:space="preserve">Ley General de Transparencia y Acceso a la </w:t>
      </w:r>
      <w:r w:rsidR="00927EC6" w:rsidRPr="005C485C">
        <w:rPr>
          <w:rFonts w:ascii="Tofino Regular" w:eastAsia="Arial" w:hAnsi="Tofino Regular" w:cstheme="majorHAnsi"/>
          <w:sz w:val="21"/>
          <w:szCs w:val="21"/>
        </w:rPr>
        <w:lastRenderedPageBreak/>
        <w:t>Información Pública</w:t>
      </w:r>
      <w:r w:rsidRPr="005C485C">
        <w:rPr>
          <w:rFonts w:ascii="Tofino Regular" w:eastAsia="Arial" w:hAnsi="Tofino Regular" w:cstheme="majorHAnsi"/>
          <w:sz w:val="21"/>
          <w:szCs w:val="21"/>
        </w:rPr>
        <w:t>, en un plazo máximo de 15 días hábiles, contados a partir del día siguiente de la aprobación del presente.</w:t>
      </w:r>
    </w:p>
    <w:p w14:paraId="730263D5" w14:textId="77777777" w:rsidR="00457055" w:rsidRPr="005C485C" w:rsidRDefault="00457055" w:rsidP="00457055">
      <w:pPr>
        <w:jc w:val="both"/>
        <w:rPr>
          <w:rFonts w:ascii="Tofino Regular" w:hAnsi="Tofino Regular"/>
          <w:sz w:val="21"/>
          <w:szCs w:val="21"/>
        </w:rPr>
      </w:pPr>
    </w:p>
    <w:p w14:paraId="3DBCC85B" w14:textId="4496FE26" w:rsidR="00457055" w:rsidRPr="005C485C" w:rsidRDefault="00527018" w:rsidP="00457055">
      <w:pPr>
        <w:jc w:val="both"/>
        <w:rPr>
          <w:rFonts w:ascii="Tofino Regular" w:eastAsia="Arial" w:hAnsi="Tofino Regular" w:cs="Arial"/>
          <w:sz w:val="21"/>
          <w:szCs w:val="21"/>
        </w:rPr>
      </w:pPr>
      <w:r w:rsidRPr="005C485C">
        <w:rPr>
          <w:rFonts w:ascii="Tofino Regular" w:eastAsia="Arial" w:hAnsi="Tofino Regular" w:cs="Arial"/>
          <w:b/>
          <w:sz w:val="21"/>
          <w:szCs w:val="21"/>
        </w:rPr>
        <w:t>TERCERO</w:t>
      </w:r>
      <w:r w:rsidR="001815CC" w:rsidRPr="005C485C">
        <w:rPr>
          <w:rFonts w:ascii="Tofino Regular" w:eastAsia="Arial" w:hAnsi="Tofino Regular" w:cs="Arial"/>
          <w:b/>
          <w:sz w:val="21"/>
          <w:szCs w:val="21"/>
        </w:rPr>
        <w:t xml:space="preserve">-  </w:t>
      </w:r>
      <w:r w:rsidR="00457055" w:rsidRPr="005C485C">
        <w:rPr>
          <w:rFonts w:ascii="Tofino Regular" w:eastAsia="Arial" w:hAnsi="Tofino Regular" w:cstheme="majorHAnsi"/>
          <w:sz w:val="21"/>
          <w:szCs w:val="21"/>
        </w:rPr>
        <w:t xml:space="preserve">Se ordena a la Dirección de Asuntos Jurídicos y Plenarios, para que a través de la Subdirección de Asuntos Jurídicos y Fortalecimiento Institucional del Instituto Estatal de Transparencia, Acceso a la Información Pública y Protección de Datos Personales, </w:t>
      </w:r>
      <w:r w:rsidR="00457055" w:rsidRPr="005C485C">
        <w:rPr>
          <w:rFonts w:ascii="Tofino Regular" w:eastAsia="Arial" w:hAnsi="Tofino Regular" w:cs="Arial"/>
          <w:sz w:val="21"/>
          <w:szCs w:val="21"/>
        </w:rPr>
        <w:t>notifique a</w:t>
      </w:r>
      <w:r w:rsidRPr="005C485C">
        <w:rPr>
          <w:rFonts w:ascii="Tofino Regular" w:eastAsia="Arial" w:hAnsi="Tofino Regular" w:cs="Arial"/>
          <w:sz w:val="21"/>
          <w:szCs w:val="21"/>
        </w:rPr>
        <w:t xml:space="preserve"> </w:t>
      </w:r>
      <w:r w:rsidR="00457055" w:rsidRPr="005C485C">
        <w:rPr>
          <w:rFonts w:ascii="Tofino Regular" w:eastAsia="Arial" w:hAnsi="Tofino Regular" w:cs="Arial"/>
          <w:sz w:val="21"/>
          <w:szCs w:val="21"/>
        </w:rPr>
        <w:t>l</w:t>
      </w:r>
      <w:r w:rsidRPr="005C485C">
        <w:rPr>
          <w:rFonts w:ascii="Tofino Regular" w:eastAsia="Arial" w:hAnsi="Tofino Regular" w:cs="Arial"/>
          <w:sz w:val="21"/>
          <w:szCs w:val="21"/>
        </w:rPr>
        <w:t>a Fiscalía General del Estado de Yucatán</w:t>
      </w:r>
      <w:r w:rsidR="00457055" w:rsidRPr="005C485C">
        <w:rPr>
          <w:rFonts w:ascii="Tofino Regular" w:eastAsia="Arial" w:hAnsi="Tofino Regular" w:cs="Arial"/>
          <w:sz w:val="21"/>
          <w:szCs w:val="21"/>
        </w:rPr>
        <w:t xml:space="preserve"> el acuerdo que hoy nos ocupa</w:t>
      </w:r>
      <w:r w:rsidR="00457055" w:rsidRPr="005C485C">
        <w:rPr>
          <w:rFonts w:ascii="Tofino Regular" w:hAnsi="Tofino Regular"/>
          <w:sz w:val="21"/>
          <w:szCs w:val="21"/>
        </w:rPr>
        <w:t>.</w:t>
      </w:r>
    </w:p>
    <w:p w14:paraId="0E5F2D25" w14:textId="77777777" w:rsidR="00457055" w:rsidRPr="005C485C" w:rsidRDefault="00457055" w:rsidP="00457055">
      <w:pPr>
        <w:jc w:val="both"/>
        <w:rPr>
          <w:rFonts w:ascii="Tofino Regular" w:eastAsia="Arial" w:hAnsi="Tofino Regular" w:cs="Arial"/>
          <w:sz w:val="21"/>
          <w:szCs w:val="21"/>
        </w:rPr>
      </w:pPr>
    </w:p>
    <w:p w14:paraId="74538EFF" w14:textId="1FA6CD94" w:rsidR="00457055" w:rsidRPr="005C485C" w:rsidRDefault="00527018" w:rsidP="00457055">
      <w:pPr>
        <w:jc w:val="both"/>
        <w:rPr>
          <w:rFonts w:ascii="Tofino Regular" w:eastAsia="Arial" w:hAnsi="Tofino Regular" w:cs="Arial"/>
          <w:sz w:val="21"/>
          <w:szCs w:val="21"/>
        </w:rPr>
      </w:pPr>
      <w:r w:rsidRPr="005C485C">
        <w:rPr>
          <w:rFonts w:ascii="Tofino Regular" w:eastAsia="Arial" w:hAnsi="Tofino Regular" w:cs="Arial"/>
          <w:b/>
          <w:sz w:val="21"/>
          <w:szCs w:val="21"/>
        </w:rPr>
        <w:t>CUARTO</w:t>
      </w:r>
      <w:r w:rsidR="001815CC" w:rsidRPr="005C485C">
        <w:rPr>
          <w:rFonts w:ascii="Tofino Regular" w:eastAsia="Arial" w:hAnsi="Tofino Regular" w:cs="Arial"/>
          <w:b/>
          <w:sz w:val="21"/>
          <w:szCs w:val="21"/>
        </w:rPr>
        <w:t xml:space="preserve">.- </w:t>
      </w:r>
      <w:r w:rsidR="00C448BC" w:rsidRPr="005C485C">
        <w:rPr>
          <w:rFonts w:ascii="Tofino Regular" w:eastAsia="Arial" w:hAnsi="Tofino Regular" w:cs="Arial"/>
          <w:sz w:val="21"/>
          <w:szCs w:val="21"/>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4A1D36F" w14:textId="77777777" w:rsidR="00457055" w:rsidRPr="005C485C" w:rsidRDefault="00457055" w:rsidP="00457055">
      <w:pPr>
        <w:jc w:val="both"/>
        <w:rPr>
          <w:rFonts w:ascii="Tofino Regular" w:eastAsia="Arial" w:hAnsi="Tofino Regular" w:cs="Arial"/>
          <w:sz w:val="21"/>
          <w:szCs w:val="21"/>
        </w:rPr>
      </w:pPr>
    </w:p>
    <w:p w14:paraId="4003A283" w14:textId="77777777" w:rsidR="00DE6650" w:rsidRPr="005C485C" w:rsidRDefault="00DE6650" w:rsidP="00DE6650">
      <w:pPr>
        <w:jc w:val="both"/>
        <w:rPr>
          <w:rFonts w:ascii="Tofino Regular" w:eastAsia="Arial" w:hAnsi="Tofino Regular" w:cs="Arial"/>
          <w:sz w:val="21"/>
          <w:szCs w:val="21"/>
        </w:rPr>
      </w:pPr>
      <w:r w:rsidRPr="005C485C">
        <w:rPr>
          <w:rFonts w:ascii="Tofino Regular" w:eastAsia="Arial" w:hAnsi="Tofino Regular" w:cs="Arial"/>
          <w:sz w:val="21"/>
          <w:szCs w:val="21"/>
        </w:rPr>
        <w:t>Así lo acordaron y firman para debida constancia, los integrantes del Pleno del Instituto Estatal de Transparencia, Acceso a la Información Pública y Protección de Datos Personales:</w:t>
      </w:r>
    </w:p>
    <w:p w14:paraId="1CB962EF" w14:textId="77777777" w:rsidR="00457055" w:rsidRPr="005C485C" w:rsidRDefault="00457055" w:rsidP="00457055">
      <w:pPr>
        <w:jc w:val="both"/>
        <w:rPr>
          <w:rFonts w:asciiTheme="majorHAnsi" w:eastAsia="Arial" w:hAnsiTheme="majorHAnsi" w:cstheme="majorHAnsi"/>
          <w:sz w:val="21"/>
          <w:szCs w:val="21"/>
        </w:rPr>
      </w:pPr>
    </w:p>
    <w:p w14:paraId="41272063" w14:textId="77777777" w:rsidR="00FF0D35" w:rsidRPr="005C485C" w:rsidRDefault="00FF0D35" w:rsidP="00457055">
      <w:pPr>
        <w:jc w:val="both"/>
        <w:rPr>
          <w:rFonts w:asciiTheme="majorHAnsi" w:eastAsia="Arial" w:hAnsiTheme="majorHAnsi" w:cstheme="majorHAnsi"/>
          <w:sz w:val="21"/>
          <w:szCs w:val="21"/>
        </w:rPr>
      </w:pPr>
    </w:p>
    <w:p w14:paraId="7ABD414E" w14:textId="77777777" w:rsidR="00FF0D35" w:rsidRPr="005C485C" w:rsidRDefault="00FF0D35" w:rsidP="00457055">
      <w:pPr>
        <w:jc w:val="both"/>
        <w:rPr>
          <w:rFonts w:asciiTheme="majorHAnsi" w:eastAsia="Arial" w:hAnsiTheme="majorHAnsi" w:cstheme="majorHAnsi"/>
          <w:sz w:val="21"/>
          <w:szCs w:val="21"/>
        </w:rPr>
      </w:pPr>
    </w:p>
    <w:p w14:paraId="0F152F89" w14:textId="77777777" w:rsidR="00457055" w:rsidRPr="005C485C" w:rsidRDefault="00457055" w:rsidP="00457055">
      <w:pPr>
        <w:jc w:val="both"/>
        <w:rPr>
          <w:rFonts w:asciiTheme="majorHAnsi" w:eastAsia="Arial" w:hAnsiTheme="majorHAnsi" w:cstheme="majorHAnsi"/>
          <w:sz w:val="21"/>
          <w:szCs w:val="21"/>
        </w:rPr>
      </w:pPr>
    </w:p>
    <w:p w14:paraId="7D605971" w14:textId="77777777" w:rsidR="002F2E34" w:rsidRPr="005C485C" w:rsidRDefault="002F2E34" w:rsidP="002F2E34">
      <w:pPr>
        <w:pStyle w:val="Sinespaciado"/>
        <w:spacing w:line="256" w:lineRule="auto"/>
        <w:jc w:val="center"/>
        <w:rPr>
          <w:rFonts w:ascii="Tofino Regular" w:hAnsi="Tofino Regular"/>
          <w:bCs/>
          <w:sz w:val="21"/>
          <w:szCs w:val="21"/>
        </w:rPr>
      </w:pPr>
      <w:r w:rsidRPr="005C485C">
        <w:rPr>
          <w:rFonts w:ascii="Tofino Regular" w:hAnsi="Tofino Regular" w:cs="Calibri Light"/>
          <w:b/>
          <w:sz w:val="21"/>
          <w:szCs w:val="21"/>
        </w:rPr>
        <w:t>MTRA. MARÍA GILDA SEGOVIA CHAB</w:t>
      </w:r>
    </w:p>
    <w:p w14:paraId="74544693" w14:textId="77777777" w:rsidR="002F2E34" w:rsidRPr="005C485C" w:rsidRDefault="002F2E34" w:rsidP="002F2E34">
      <w:pPr>
        <w:pStyle w:val="Sinespaciado"/>
        <w:spacing w:line="256" w:lineRule="auto"/>
        <w:jc w:val="center"/>
        <w:rPr>
          <w:rFonts w:ascii="Tofino Regular" w:hAnsi="Tofino Regular"/>
          <w:b/>
          <w:sz w:val="21"/>
          <w:szCs w:val="21"/>
        </w:rPr>
      </w:pPr>
      <w:r w:rsidRPr="005C485C">
        <w:rPr>
          <w:rFonts w:ascii="Tofino Regular" w:hAnsi="Tofino Regular" w:cs="Calibri Light"/>
          <w:b/>
          <w:sz w:val="21"/>
          <w:szCs w:val="21"/>
        </w:rPr>
        <w:t>COMISIONADA PRESIDENTA</w:t>
      </w:r>
    </w:p>
    <w:tbl>
      <w:tblPr>
        <w:tblW w:w="10041" w:type="dxa"/>
        <w:tblLook w:val="04A0" w:firstRow="1" w:lastRow="0" w:firstColumn="1" w:lastColumn="0" w:noHBand="0" w:noVBand="1"/>
      </w:tblPr>
      <w:tblGrid>
        <w:gridCol w:w="5020"/>
        <w:gridCol w:w="5021"/>
      </w:tblGrid>
      <w:tr w:rsidR="002F2E34" w:rsidRPr="005C485C" w14:paraId="01A9DAC3" w14:textId="77777777" w:rsidTr="00657C7C">
        <w:trPr>
          <w:trHeight w:val="859"/>
        </w:trPr>
        <w:tc>
          <w:tcPr>
            <w:tcW w:w="5020" w:type="dxa"/>
          </w:tcPr>
          <w:p w14:paraId="60245F6D" w14:textId="77777777" w:rsidR="002F2E34" w:rsidRPr="005C485C" w:rsidRDefault="002F2E34" w:rsidP="00657C7C">
            <w:pPr>
              <w:pStyle w:val="Sinespaciado"/>
              <w:spacing w:line="256" w:lineRule="auto"/>
              <w:jc w:val="center"/>
              <w:rPr>
                <w:rFonts w:ascii="Tofino Regular" w:hAnsi="Tofino Regular" w:cs="Times New Roman"/>
                <w:b/>
                <w:sz w:val="21"/>
                <w:szCs w:val="21"/>
              </w:rPr>
            </w:pPr>
          </w:p>
          <w:p w14:paraId="6E6DB355" w14:textId="77777777" w:rsidR="002F2E34" w:rsidRPr="005C485C" w:rsidRDefault="002F2E34" w:rsidP="00657C7C">
            <w:pPr>
              <w:pStyle w:val="Sinespaciado"/>
              <w:spacing w:line="256" w:lineRule="auto"/>
              <w:jc w:val="center"/>
              <w:rPr>
                <w:rFonts w:ascii="Tofino Regular" w:hAnsi="Tofino Regular"/>
                <w:b/>
                <w:sz w:val="21"/>
                <w:szCs w:val="21"/>
              </w:rPr>
            </w:pPr>
          </w:p>
          <w:p w14:paraId="0185C2D0" w14:textId="77777777" w:rsidR="002F2E34" w:rsidRPr="005C485C" w:rsidRDefault="002F2E34" w:rsidP="00657C7C">
            <w:pPr>
              <w:pStyle w:val="Sinespaciado"/>
              <w:spacing w:line="256" w:lineRule="auto"/>
              <w:jc w:val="center"/>
              <w:rPr>
                <w:rFonts w:ascii="Tofino Regular" w:hAnsi="Tofino Regular"/>
                <w:b/>
                <w:sz w:val="21"/>
                <w:szCs w:val="21"/>
              </w:rPr>
            </w:pPr>
          </w:p>
          <w:p w14:paraId="038F4DA7" w14:textId="77777777" w:rsidR="002F2E34" w:rsidRPr="005C485C" w:rsidRDefault="002F2E34" w:rsidP="00657C7C">
            <w:pPr>
              <w:pStyle w:val="Sinespaciado"/>
              <w:spacing w:line="256" w:lineRule="auto"/>
              <w:jc w:val="center"/>
              <w:rPr>
                <w:rFonts w:ascii="Tofino Regular" w:hAnsi="Tofino Regular"/>
                <w:b/>
                <w:sz w:val="21"/>
                <w:szCs w:val="21"/>
              </w:rPr>
            </w:pPr>
          </w:p>
          <w:p w14:paraId="2BA2B9F7" w14:textId="77777777" w:rsidR="002F2E34" w:rsidRPr="005C485C" w:rsidRDefault="002F2E34" w:rsidP="00657C7C">
            <w:pPr>
              <w:pStyle w:val="Sinespaciado"/>
              <w:spacing w:line="256" w:lineRule="auto"/>
              <w:jc w:val="center"/>
              <w:rPr>
                <w:rFonts w:ascii="Tofino Regular" w:hAnsi="Tofino Regular"/>
                <w:b/>
                <w:sz w:val="21"/>
                <w:szCs w:val="21"/>
              </w:rPr>
            </w:pPr>
          </w:p>
          <w:p w14:paraId="1CC503D8" w14:textId="77777777" w:rsidR="002F2E34" w:rsidRPr="005C485C" w:rsidRDefault="002F2E34" w:rsidP="00657C7C">
            <w:pPr>
              <w:pStyle w:val="Sinespaciado"/>
              <w:spacing w:line="256" w:lineRule="auto"/>
              <w:jc w:val="center"/>
              <w:rPr>
                <w:rFonts w:ascii="Tofino Regular" w:hAnsi="Tofino Regular" w:cs="Calibri Light"/>
                <w:b/>
                <w:sz w:val="21"/>
                <w:szCs w:val="21"/>
              </w:rPr>
            </w:pPr>
            <w:r w:rsidRPr="005C485C">
              <w:rPr>
                <w:rFonts w:ascii="Tofino Regular" w:hAnsi="Tofino Regular" w:cs="Calibri Light"/>
                <w:b/>
                <w:sz w:val="21"/>
                <w:szCs w:val="21"/>
              </w:rPr>
              <w:t>DR. CARLOS FERNANDO PAVÓN DURÁN</w:t>
            </w:r>
          </w:p>
          <w:p w14:paraId="4D31381E" w14:textId="77777777" w:rsidR="002F2E34" w:rsidRPr="005C485C" w:rsidRDefault="002F2E34" w:rsidP="00657C7C">
            <w:pPr>
              <w:pStyle w:val="Sinespaciado"/>
              <w:spacing w:line="256" w:lineRule="auto"/>
              <w:jc w:val="center"/>
              <w:rPr>
                <w:rFonts w:ascii="Tofino Regular" w:hAnsi="Tofino Regular" w:cs="Calibri Light"/>
                <w:b/>
                <w:sz w:val="21"/>
                <w:szCs w:val="21"/>
              </w:rPr>
            </w:pPr>
            <w:r w:rsidRPr="005C485C">
              <w:rPr>
                <w:rFonts w:ascii="Tofino Regular" w:hAnsi="Tofino Regular" w:cs="Calibri Light"/>
                <w:b/>
                <w:sz w:val="21"/>
                <w:szCs w:val="21"/>
              </w:rPr>
              <w:t>COMISIONADO</w:t>
            </w:r>
          </w:p>
        </w:tc>
        <w:tc>
          <w:tcPr>
            <w:tcW w:w="5021" w:type="dxa"/>
          </w:tcPr>
          <w:p w14:paraId="7442B365" w14:textId="77777777" w:rsidR="002F2E34" w:rsidRPr="005C485C" w:rsidRDefault="002F2E34" w:rsidP="00657C7C">
            <w:pPr>
              <w:pStyle w:val="Sinespaciado"/>
              <w:spacing w:line="256" w:lineRule="auto"/>
              <w:jc w:val="center"/>
              <w:rPr>
                <w:rFonts w:ascii="Tofino Regular" w:hAnsi="Tofino Regular" w:cs="Calibri Light"/>
                <w:b/>
                <w:sz w:val="21"/>
                <w:szCs w:val="21"/>
              </w:rPr>
            </w:pPr>
          </w:p>
          <w:p w14:paraId="3DE91FC7" w14:textId="77777777" w:rsidR="002F2E34" w:rsidRPr="005C485C" w:rsidRDefault="002F2E34" w:rsidP="00657C7C">
            <w:pPr>
              <w:pStyle w:val="Sinespaciado"/>
              <w:spacing w:line="256" w:lineRule="auto"/>
              <w:jc w:val="center"/>
              <w:rPr>
                <w:rFonts w:ascii="Tofino Regular" w:hAnsi="Tofino Regular" w:cs="Calibri Light"/>
                <w:b/>
                <w:sz w:val="21"/>
                <w:szCs w:val="21"/>
              </w:rPr>
            </w:pPr>
          </w:p>
          <w:p w14:paraId="3374F953" w14:textId="77777777" w:rsidR="002F2E34" w:rsidRPr="005C485C" w:rsidRDefault="002F2E34" w:rsidP="00657C7C">
            <w:pPr>
              <w:pStyle w:val="Sinespaciado"/>
              <w:spacing w:line="256" w:lineRule="auto"/>
              <w:jc w:val="center"/>
              <w:rPr>
                <w:rFonts w:ascii="Tofino Regular" w:hAnsi="Tofino Regular" w:cs="Calibri Light"/>
                <w:b/>
                <w:sz w:val="21"/>
                <w:szCs w:val="21"/>
              </w:rPr>
            </w:pPr>
          </w:p>
          <w:p w14:paraId="298DAB70" w14:textId="77777777" w:rsidR="002F2E34" w:rsidRPr="005C485C" w:rsidRDefault="002F2E34" w:rsidP="00657C7C">
            <w:pPr>
              <w:pStyle w:val="Sinespaciado"/>
              <w:spacing w:line="256" w:lineRule="auto"/>
              <w:jc w:val="center"/>
              <w:rPr>
                <w:rFonts w:ascii="Tofino Regular" w:hAnsi="Tofino Regular" w:cs="Calibri Light"/>
                <w:b/>
                <w:sz w:val="21"/>
                <w:szCs w:val="21"/>
              </w:rPr>
            </w:pPr>
          </w:p>
          <w:p w14:paraId="3AF6A9B3" w14:textId="77777777" w:rsidR="002F2E34" w:rsidRPr="005C485C" w:rsidRDefault="002F2E34" w:rsidP="00657C7C">
            <w:pPr>
              <w:pStyle w:val="Sinespaciado"/>
              <w:spacing w:line="256" w:lineRule="auto"/>
              <w:jc w:val="center"/>
              <w:rPr>
                <w:rFonts w:ascii="Tofino Regular" w:hAnsi="Tofino Regular" w:cs="Calibri Light"/>
                <w:b/>
                <w:sz w:val="21"/>
                <w:szCs w:val="21"/>
              </w:rPr>
            </w:pPr>
          </w:p>
          <w:p w14:paraId="23D912D8" w14:textId="6E55A644" w:rsidR="002F2E34" w:rsidRPr="005C485C" w:rsidRDefault="00B625A4" w:rsidP="00657C7C">
            <w:pPr>
              <w:pStyle w:val="Sinespaciado"/>
              <w:spacing w:line="256" w:lineRule="auto"/>
              <w:jc w:val="center"/>
              <w:rPr>
                <w:rFonts w:ascii="Tofino Regular" w:hAnsi="Tofino Regular" w:cs="Calibri Light"/>
                <w:b/>
                <w:sz w:val="21"/>
                <w:szCs w:val="21"/>
              </w:rPr>
            </w:pPr>
            <w:r w:rsidRPr="005C485C">
              <w:rPr>
                <w:rFonts w:ascii="Tofino Regular" w:hAnsi="Tofino Regular" w:cs="Calibri Light"/>
                <w:b/>
                <w:sz w:val="21"/>
                <w:szCs w:val="21"/>
              </w:rPr>
              <w:t>LIC</w:t>
            </w:r>
            <w:r w:rsidR="002F2E34" w:rsidRPr="005C485C">
              <w:rPr>
                <w:rFonts w:ascii="Tofino Regular" w:hAnsi="Tofino Regular" w:cs="Calibri Light"/>
                <w:b/>
                <w:sz w:val="21"/>
                <w:szCs w:val="21"/>
              </w:rPr>
              <w:t>. MAURICIO MORENO MENDOZA</w:t>
            </w:r>
          </w:p>
          <w:p w14:paraId="59B4A1A3" w14:textId="77777777" w:rsidR="002F2E34" w:rsidRPr="005C485C" w:rsidRDefault="002F2E34" w:rsidP="00657C7C">
            <w:pPr>
              <w:pStyle w:val="Sinespaciado"/>
              <w:spacing w:line="256" w:lineRule="auto"/>
              <w:jc w:val="center"/>
              <w:rPr>
                <w:rFonts w:ascii="Tofino Regular" w:hAnsi="Tofino Regular" w:cs="Calibri Light"/>
                <w:b/>
                <w:sz w:val="21"/>
                <w:szCs w:val="21"/>
              </w:rPr>
            </w:pPr>
            <w:r w:rsidRPr="005C485C">
              <w:rPr>
                <w:rFonts w:ascii="Tofino Regular" w:hAnsi="Tofino Regular" w:cs="Calibri Light"/>
                <w:b/>
                <w:sz w:val="21"/>
                <w:szCs w:val="21"/>
              </w:rPr>
              <w:t>COMISIONADO</w:t>
            </w:r>
          </w:p>
        </w:tc>
      </w:tr>
    </w:tbl>
    <w:p w14:paraId="538BECA2" w14:textId="132DC2C6" w:rsidR="00C311BD" w:rsidRPr="009B625A" w:rsidRDefault="00C311BD" w:rsidP="00457055">
      <w:pPr>
        <w:suppressAutoHyphens/>
        <w:jc w:val="right"/>
      </w:pPr>
    </w:p>
    <w:sectPr w:rsidR="00C311BD" w:rsidRPr="009B625A" w:rsidSect="002C21A6">
      <w:headerReference w:type="even" r:id="rId7"/>
      <w:headerReference w:type="default" r:id="rId8"/>
      <w:footerReference w:type="default" r:id="rId9"/>
      <w:headerReference w:type="first" r:id="rId10"/>
      <w:pgSz w:w="12240" w:h="15840"/>
      <w:pgMar w:top="1417" w:right="1701" w:bottom="1417" w:left="1701"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95BC1" w14:textId="77777777" w:rsidR="00345607" w:rsidRDefault="00345607" w:rsidP="00FD40D2">
      <w:r>
        <w:separator/>
      </w:r>
    </w:p>
  </w:endnote>
  <w:endnote w:type="continuationSeparator" w:id="0">
    <w:p w14:paraId="3BB2CEFA" w14:textId="77777777" w:rsidR="00345607" w:rsidRDefault="00345607"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ofino Regular">
    <w:altName w:val="Calibri"/>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5C7D" w14:textId="77777777" w:rsidR="009B625A" w:rsidRDefault="00D226F5">
    <w:pPr>
      <w:pStyle w:val="Piedepgina"/>
    </w:pPr>
    <w:r>
      <w:rPr>
        <w:noProof/>
      </w:rPr>
      <w:drawing>
        <wp:anchor distT="0" distB="0" distL="114300" distR="114300" simplePos="0" relativeHeight="251670528" behindDoc="1" locked="0" layoutInCell="1" allowOverlap="1" wp14:anchorId="3424715C" wp14:editId="751D96DB">
          <wp:simplePos x="0" y="0"/>
          <wp:positionH relativeFrom="column">
            <wp:posOffset>-893528</wp:posOffset>
          </wp:positionH>
          <wp:positionV relativeFrom="paragraph">
            <wp:posOffset>12700</wp:posOffset>
          </wp:positionV>
          <wp:extent cx="7367418" cy="455983"/>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EB165" w14:textId="77777777" w:rsidR="00345607" w:rsidRDefault="00345607" w:rsidP="00FD40D2">
      <w:r>
        <w:separator/>
      </w:r>
    </w:p>
  </w:footnote>
  <w:footnote w:type="continuationSeparator" w:id="0">
    <w:p w14:paraId="180FD4FE" w14:textId="77777777" w:rsidR="00345607" w:rsidRDefault="00345607"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0179" w14:textId="77777777" w:rsidR="009B625A" w:rsidRDefault="00F92188">
    <w:pPr>
      <w:pStyle w:val="Encabezado"/>
    </w:pPr>
    <w:r>
      <w:rPr>
        <w:noProof/>
      </w:rPr>
      <w:pict w14:anchorId="717B1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843F" w14:textId="5AB91180" w:rsidR="00FD40D2" w:rsidRDefault="00D226F5">
    <w:pPr>
      <w:pStyle w:val="Encabezado"/>
    </w:pPr>
    <w:r>
      <w:rPr>
        <w:noProof/>
      </w:rPr>
      <w:drawing>
        <wp:anchor distT="0" distB="0" distL="114300" distR="114300" simplePos="0" relativeHeight="251669504" behindDoc="1" locked="0" layoutInCell="1" allowOverlap="1" wp14:anchorId="1AEB2ED0" wp14:editId="2FCCB96F">
          <wp:simplePos x="0" y="0"/>
          <wp:positionH relativeFrom="column">
            <wp:posOffset>-935355</wp:posOffset>
          </wp:positionH>
          <wp:positionV relativeFrom="paragraph">
            <wp:posOffset>-461645</wp:posOffset>
          </wp:positionV>
          <wp:extent cx="5612130" cy="864235"/>
          <wp:effectExtent l="0" t="0" r="762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F92188">
      <w:rPr>
        <w:noProof/>
      </w:rPr>
      <w:pict w14:anchorId="1498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8AD7" w14:textId="77777777" w:rsidR="009B625A" w:rsidRDefault="00F92188">
    <w:pPr>
      <w:pStyle w:val="Encabezado"/>
    </w:pPr>
    <w:r>
      <w:rPr>
        <w:noProof/>
      </w:rPr>
      <w:pict w14:anchorId="0B315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D2"/>
    <w:rsid w:val="00006B21"/>
    <w:rsid w:val="00023460"/>
    <w:rsid w:val="00032C5C"/>
    <w:rsid w:val="00053A3E"/>
    <w:rsid w:val="000A57F0"/>
    <w:rsid w:val="000B0E32"/>
    <w:rsid w:val="000B103D"/>
    <w:rsid w:val="000C37C4"/>
    <w:rsid w:val="000D2659"/>
    <w:rsid w:val="000D54D6"/>
    <w:rsid w:val="000E7FFA"/>
    <w:rsid w:val="000F25EA"/>
    <w:rsid w:val="0010179C"/>
    <w:rsid w:val="0011513A"/>
    <w:rsid w:val="00157CE0"/>
    <w:rsid w:val="0017535C"/>
    <w:rsid w:val="00177C59"/>
    <w:rsid w:val="001815CC"/>
    <w:rsid w:val="00182C07"/>
    <w:rsid w:val="001B2173"/>
    <w:rsid w:val="001E31B4"/>
    <w:rsid w:val="00200CD2"/>
    <w:rsid w:val="00220F24"/>
    <w:rsid w:val="00263830"/>
    <w:rsid w:val="002927EE"/>
    <w:rsid w:val="002938DE"/>
    <w:rsid w:val="00296B10"/>
    <w:rsid w:val="002C21A6"/>
    <w:rsid w:val="002C590F"/>
    <w:rsid w:val="002C5CE4"/>
    <w:rsid w:val="002C6D94"/>
    <w:rsid w:val="002F2E34"/>
    <w:rsid w:val="00310834"/>
    <w:rsid w:val="003127E9"/>
    <w:rsid w:val="0034022B"/>
    <w:rsid w:val="00345607"/>
    <w:rsid w:val="0035037F"/>
    <w:rsid w:val="00360FA1"/>
    <w:rsid w:val="003651C5"/>
    <w:rsid w:val="0038457B"/>
    <w:rsid w:val="003927AC"/>
    <w:rsid w:val="003A4FCD"/>
    <w:rsid w:val="003C391D"/>
    <w:rsid w:val="003D0AC6"/>
    <w:rsid w:val="004141A6"/>
    <w:rsid w:val="00457055"/>
    <w:rsid w:val="0046719D"/>
    <w:rsid w:val="00477312"/>
    <w:rsid w:val="0048557F"/>
    <w:rsid w:val="004B4B62"/>
    <w:rsid w:val="004B6630"/>
    <w:rsid w:val="004D6410"/>
    <w:rsid w:val="00510E00"/>
    <w:rsid w:val="00512CE8"/>
    <w:rsid w:val="00527018"/>
    <w:rsid w:val="00533158"/>
    <w:rsid w:val="00533F93"/>
    <w:rsid w:val="005423B7"/>
    <w:rsid w:val="005567B6"/>
    <w:rsid w:val="005A2703"/>
    <w:rsid w:val="005B33D0"/>
    <w:rsid w:val="005C485C"/>
    <w:rsid w:val="005D18CA"/>
    <w:rsid w:val="005E549A"/>
    <w:rsid w:val="00612250"/>
    <w:rsid w:val="006209CA"/>
    <w:rsid w:val="006739CD"/>
    <w:rsid w:val="006A72A0"/>
    <w:rsid w:val="006C38FD"/>
    <w:rsid w:val="006C393D"/>
    <w:rsid w:val="006C509D"/>
    <w:rsid w:val="006D18B6"/>
    <w:rsid w:val="0071320B"/>
    <w:rsid w:val="00786F42"/>
    <w:rsid w:val="0079085A"/>
    <w:rsid w:val="007A002A"/>
    <w:rsid w:val="007B4BB8"/>
    <w:rsid w:val="007B5565"/>
    <w:rsid w:val="007C483E"/>
    <w:rsid w:val="0081265C"/>
    <w:rsid w:val="00820E2E"/>
    <w:rsid w:val="00823AA6"/>
    <w:rsid w:val="00827DC6"/>
    <w:rsid w:val="00830CEB"/>
    <w:rsid w:val="00841473"/>
    <w:rsid w:val="00844F0E"/>
    <w:rsid w:val="008B3E36"/>
    <w:rsid w:val="008C34FB"/>
    <w:rsid w:val="008C4705"/>
    <w:rsid w:val="008D17FD"/>
    <w:rsid w:val="008F0893"/>
    <w:rsid w:val="00901B6A"/>
    <w:rsid w:val="00913E82"/>
    <w:rsid w:val="00927EC6"/>
    <w:rsid w:val="00933660"/>
    <w:rsid w:val="00945ED2"/>
    <w:rsid w:val="00982A30"/>
    <w:rsid w:val="009855AF"/>
    <w:rsid w:val="009A4B77"/>
    <w:rsid w:val="009B625A"/>
    <w:rsid w:val="009C3D08"/>
    <w:rsid w:val="009D461D"/>
    <w:rsid w:val="009F24FB"/>
    <w:rsid w:val="009F7850"/>
    <w:rsid w:val="00A27C86"/>
    <w:rsid w:val="00A3447C"/>
    <w:rsid w:val="00A510E9"/>
    <w:rsid w:val="00A52564"/>
    <w:rsid w:val="00AA7710"/>
    <w:rsid w:val="00B2342C"/>
    <w:rsid w:val="00B624A1"/>
    <w:rsid w:val="00B625A4"/>
    <w:rsid w:val="00B651B7"/>
    <w:rsid w:val="00B66928"/>
    <w:rsid w:val="00B940B1"/>
    <w:rsid w:val="00BE3C1B"/>
    <w:rsid w:val="00C16D51"/>
    <w:rsid w:val="00C20118"/>
    <w:rsid w:val="00C311BD"/>
    <w:rsid w:val="00C448BC"/>
    <w:rsid w:val="00C60680"/>
    <w:rsid w:val="00C62AA6"/>
    <w:rsid w:val="00CC16B4"/>
    <w:rsid w:val="00CC725F"/>
    <w:rsid w:val="00CD5423"/>
    <w:rsid w:val="00CE4544"/>
    <w:rsid w:val="00D00841"/>
    <w:rsid w:val="00D17F93"/>
    <w:rsid w:val="00D226F5"/>
    <w:rsid w:val="00D41C76"/>
    <w:rsid w:val="00D639D3"/>
    <w:rsid w:val="00D938A6"/>
    <w:rsid w:val="00DB4045"/>
    <w:rsid w:val="00DB6F63"/>
    <w:rsid w:val="00DC0132"/>
    <w:rsid w:val="00DD7E6D"/>
    <w:rsid w:val="00DE63B5"/>
    <w:rsid w:val="00DE6650"/>
    <w:rsid w:val="00E262E2"/>
    <w:rsid w:val="00E743C6"/>
    <w:rsid w:val="00E74D68"/>
    <w:rsid w:val="00E86944"/>
    <w:rsid w:val="00EB0FC1"/>
    <w:rsid w:val="00ED60D7"/>
    <w:rsid w:val="00F11F91"/>
    <w:rsid w:val="00F14248"/>
    <w:rsid w:val="00F54B36"/>
    <w:rsid w:val="00F62DE5"/>
    <w:rsid w:val="00F6358B"/>
    <w:rsid w:val="00F92188"/>
    <w:rsid w:val="00F97422"/>
    <w:rsid w:val="00FD40D2"/>
    <w:rsid w:val="00FF0D35"/>
    <w:rsid w:val="00FF4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B00A"/>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customStyle="1" w:styleId="Normal0">
    <w:name w:val="[Normal]"/>
    <w:rsid w:val="00220F24"/>
    <w:pPr>
      <w:widowControl w:val="0"/>
      <w:suppressAutoHyphens/>
      <w:autoSpaceDE w:val="0"/>
    </w:pPr>
    <w:rPr>
      <w:rFonts w:ascii="Arial" w:eastAsia="Arial" w:hAnsi="Arial" w:cs="Arial"/>
      <w:lang w:val="es-ES" w:eastAsia="ar-SA"/>
    </w:rPr>
  </w:style>
  <w:style w:type="table" w:styleId="Tablaconcuadrcula">
    <w:name w:val="Table Grid"/>
    <w:basedOn w:val="Tablanormal"/>
    <w:uiPriority w:val="59"/>
    <w:rsid w:val="00220F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6B10"/>
    <w:rPr>
      <w:color w:val="0563C1" w:themeColor="hyperlink"/>
      <w:u w:val="single"/>
    </w:rPr>
  </w:style>
  <w:style w:type="character" w:styleId="Mencinsinresolver">
    <w:name w:val="Unresolved Mention"/>
    <w:basedOn w:val="Fuentedeprrafopredeter"/>
    <w:uiPriority w:val="99"/>
    <w:semiHidden/>
    <w:unhideWhenUsed/>
    <w:rsid w:val="00296B10"/>
    <w:rPr>
      <w:color w:val="605E5C"/>
      <w:shd w:val="clear" w:color="auto" w:fill="E1DFDD"/>
    </w:rPr>
  </w:style>
  <w:style w:type="paragraph" w:styleId="Sinespaciado">
    <w:name w:val="No Spacing"/>
    <w:uiPriority w:val="1"/>
    <w:qFormat/>
    <w:rsid w:val="004570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29D2-545D-1F42-AA98-57BDB7AB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1798</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20</cp:revision>
  <cp:lastPrinted>2024-06-07T15:39:00Z</cp:lastPrinted>
  <dcterms:created xsi:type="dcterms:W3CDTF">2024-05-27T13:41:00Z</dcterms:created>
  <dcterms:modified xsi:type="dcterms:W3CDTF">2024-06-21T19:42:00Z</dcterms:modified>
</cp:coreProperties>
</file>