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5A302F98" w:rsidR="002A74C9" w:rsidRPr="00FC0413" w:rsidRDefault="00FC0413" w:rsidP="003C2A40">
      <w:pPr>
        <w:spacing w:after="0" w:line="240" w:lineRule="auto"/>
        <w:jc w:val="both"/>
        <w:rPr>
          <w:rFonts w:asciiTheme="majorHAnsi" w:hAnsiTheme="majorHAnsi" w:cstheme="majorHAnsi"/>
          <w:b/>
          <w:sz w:val="24"/>
          <w:szCs w:val="24"/>
        </w:rPr>
      </w:pPr>
      <w:r w:rsidRPr="00FC0413">
        <w:rPr>
          <w:rFonts w:asciiTheme="majorHAnsi" w:eastAsia="Arial" w:hAnsiTheme="majorHAnsi" w:cstheme="majorHAnsi"/>
          <w:b/>
          <w:sz w:val="24"/>
          <w:szCs w:val="24"/>
        </w:rPr>
        <w:t xml:space="preserve">ACUERDO POR EL QUE SE </w:t>
      </w:r>
      <w:r w:rsidR="006B46F2" w:rsidRPr="00FC0413">
        <w:rPr>
          <w:rFonts w:asciiTheme="majorHAnsi" w:eastAsia="Arial" w:hAnsiTheme="majorHAnsi" w:cstheme="majorHAnsi"/>
          <w:b/>
          <w:sz w:val="24"/>
          <w:szCs w:val="24"/>
        </w:rPr>
        <w:t>MODIFICAN LAS TABLAS DE APLICABILIDAD DE LAS OBLIGACIONES DE TRANSPARENCIA DE DIVERSOS SUJETOS OBLIGADOS</w:t>
      </w:r>
      <w:r w:rsidR="00EB4EC4" w:rsidRPr="00FC0413">
        <w:rPr>
          <w:rFonts w:asciiTheme="majorHAnsi" w:eastAsia="Arial" w:hAnsiTheme="majorHAnsi" w:cstheme="majorHAnsi"/>
          <w:b/>
          <w:sz w:val="24"/>
          <w:szCs w:val="24"/>
        </w:rPr>
        <w:t>.</w:t>
      </w:r>
    </w:p>
    <w:p w14:paraId="64387744" w14:textId="77777777" w:rsidR="002A74C9" w:rsidRPr="00FC0413" w:rsidRDefault="002A74C9" w:rsidP="003C2A40">
      <w:pPr>
        <w:spacing w:after="0" w:line="240" w:lineRule="auto"/>
        <w:jc w:val="both"/>
        <w:rPr>
          <w:rFonts w:asciiTheme="majorHAnsi" w:hAnsiTheme="majorHAnsi" w:cstheme="majorHAnsi"/>
          <w:b/>
          <w:sz w:val="24"/>
          <w:szCs w:val="24"/>
        </w:rPr>
      </w:pPr>
    </w:p>
    <w:p w14:paraId="07CDAFEE" w14:textId="45E3E474" w:rsidR="00367B19" w:rsidRDefault="005B6048"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En la ciudad d</w:t>
      </w:r>
      <w:r w:rsidR="000E0AFA" w:rsidRPr="00FC0413">
        <w:rPr>
          <w:rFonts w:asciiTheme="majorHAnsi" w:eastAsia="Arial" w:hAnsiTheme="majorHAnsi" w:cstheme="majorHAnsi"/>
          <w:sz w:val="24"/>
          <w:szCs w:val="24"/>
        </w:rPr>
        <w:t xml:space="preserve">e Mérida, Yucatán, </w:t>
      </w:r>
      <w:r w:rsidR="00FC0413" w:rsidRPr="00FC0413">
        <w:rPr>
          <w:rFonts w:asciiTheme="majorHAnsi" w:eastAsia="Arial" w:hAnsiTheme="majorHAnsi" w:cstheme="majorHAnsi"/>
          <w:sz w:val="24"/>
          <w:szCs w:val="24"/>
        </w:rPr>
        <w:t xml:space="preserve">a los </w:t>
      </w:r>
      <w:r w:rsidR="00332C69">
        <w:rPr>
          <w:rFonts w:asciiTheme="majorHAnsi" w:eastAsia="Arial" w:hAnsiTheme="majorHAnsi" w:cstheme="majorHAnsi"/>
          <w:sz w:val="24"/>
          <w:szCs w:val="24"/>
        </w:rPr>
        <w:t>20</w:t>
      </w:r>
      <w:r w:rsidR="00FC0413" w:rsidRPr="00FC0413">
        <w:rPr>
          <w:rFonts w:asciiTheme="majorHAnsi" w:eastAsia="Arial" w:hAnsiTheme="majorHAnsi" w:cstheme="majorHAnsi"/>
          <w:sz w:val="24"/>
          <w:szCs w:val="24"/>
        </w:rPr>
        <w:t xml:space="preserve"> días del mes de </w:t>
      </w:r>
      <w:r w:rsidR="003C2A40">
        <w:rPr>
          <w:rFonts w:asciiTheme="majorHAnsi" w:eastAsia="Arial" w:hAnsiTheme="majorHAnsi" w:cstheme="majorHAnsi"/>
          <w:sz w:val="24"/>
          <w:szCs w:val="24"/>
        </w:rPr>
        <w:t>julio</w:t>
      </w:r>
      <w:r w:rsidR="00FC0413" w:rsidRPr="00FC0413">
        <w:rPr>
          <w:rFonts w:asciiTheme="majorHAnsi" w:eastAsia="Arial" w:hAnsiTheme="majorHAnsi" w:cstheme="majorHAnsi"/>
          <w:sz w:val="24"/>
          <w:szCs w:val="24"/>
        </w:rPr>
        <w:t xml:space="preserve"> de 2023</w:t>
      </w:r>
      <w:r w:rsidR="00FC0413">
        <w:rPr>
          <w:rFonts w:asciiTheme="majorHAnsi" w:eastAsia="Arial" w:hAnsiTheme="majorHAnsi" w:cstheme="majorHAnsi"/>
          <w:sz w:val="24"/>
          <w:szCs w:val="24"/>
        </w:rPr>
        <w:t xml:space="preserve">, </w:t>
      </w:r>
      <w:r w:rsidR="00FC0413" w:rsidRPr="00FC0413">
        <w:rPr>
          <w:rFonts w:asciiTheme="majorHAnsi" w:eastAsia="Arial" w:hAnsiTheme="majorHAnsi" w:cstheme="majorHAnsi"/>
          <w:sz w:val="24"/>
          <w:szCs w:val="24"/>
        </w:rPr>
        <w:t>l</w:t>
      </w:r>
      <w:r w:rsidR="00FC0413">
        <w:rPr>
          <w:rFonts w:asciiTheme="majorHAnsi" w:eastAsia="Arial" w:hAnsiTheme="majorHAnsi" w:cstheme="majorHAnsi"/>
          <w:sz w:val="24"/>
          <w:szCs w:val="24"/>
        </w:rPr>
        <w:t>a y lo</w:t>
      </w:r>
      <w:r w:rsidR="00FC0413" w:rsidRPr="00FC0413">
        <w:rPr>
          <w:rFonts w:asciiTheme="majorHAnsi" w:eastAsia="Arial" w:hAnsiTheme="majorHAnsi" w:cstheme="majorHAnsi"/>
          <w:sz w:val="24"/>
          <w:szCs w:val="24"/>
        </w:rPr>
        <w:t>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FFB1ADC" w14:textId="77777777" w:rsidR="003C2A40" w:rsidRPr="00FC0413" w:rsidRDefault="003C2A40" w:rsidP="003C2A40">
      <w:pPr>
        <w:spacing w:after="0" w:line="240" w:lineRule="auto"/>
        <w:jc w:val="both"/>
        <w:rPr>
          <w:rFonts w:asciiTheme="majorHAnsi" w:hAnsiTheme="majorHAnsi" w:cstheme="majorHAnsi"/>
          <w:b/>
          <w:sz w:val="24"/>
          <w:szCs w:val="24"/>
        </w:rPr>
      </w:pPr>
    </w:p>
    <w:p w14:paraId="78E2EFE2" w14:textId="77777777" w:rsidR="00866BBD" w:rsidRPr="00FC0413" w:rsidRDefault="00866BBD" w:rsidP="003C2A40">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ANTECEDENTES</w:t>
      </w:r>
    </w:p>
    <w:p w14:paraId="7BD9DACC" w14:textId="77777777" w:rsidR="002972FC" w:rsidRPr="00FC0413" w:rsidRDefault="002972FC" w:rsidP="003C2A40">
      <w:pPr>
        <w:spacing w:after="0" w:line="240" w:lineRule="auto"/>
        <w:jc w:val="both"/>
        <w:rPr>
          <w:rFonts w:asciiTheme="majorHAnsi" w:hAnsiTheme="majorHAnsi" w:cstheme="majorHAnsi"/>
          <w:b/>
          <w:sz w:val="24"/>
          <w:szCs w:val="24"/>
        </w:rPr>
      </w:pPr>
    </w:p>
    <w:p w14:paraId="2CDF0EBF" w14:textId="77777777" w:rsidR="003C2A40" w:rsidRDefault="00866BBD"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hAnsiTheme="majorHAnsi" w:cstheme="majorHAnsi"/>
          <w:b/>
          <w:sz w:val="24"/>
          <w:szCs w:val="24"/>
        </w:rPr>
        <w:t>PRIMERO.-</w:t>
      </w:r>
      <w:proofErr w:type="gramEnd"/>
      <w:r w:rsidRPr="00FC0413">
        <w:rPr>
          <w:rFonts w:asciiTheme="majorHAnsi" w:hAnsiTheme="majorHAnsi" w:cstheme="majorHAnsi"/>
          <w:sz w:val="24"/>
          <w:szCs w:val="24"/>
        </w:rPr>
        <w:t xml:space="preserve"> </w:t>
      </w:r>
      <w:r w:rsidR="00110C15" w:rsidRPr="00110C15">
        <w:rPr>
          <w:rFonts w:asciiTheme="majorHAnsi" w:eastAsia="Arial" w:hAnsiTheme="majorHAnsi" w:cstheme="majorHAnsi"/>
          <w:sz w:val="24"/>
          <w:szCs w:val="24"/>
        </w:rPr>
        <w:t>El 8 de mayo de 2017, el Pleno del Instituto Estatal de Transparencia, Acceso a la Información Pública y Protección de Datos Personales, aprobó la tabla de aplicabilidad de las obligaciones de transparencia comunes de los sujetos obligados del Poder Ejecutivo, ayuntamientos, organismos municipales y partidos políticos del Estado de Yucatán</w:t>
      </w:r>
      <w:r w:rsidR="00AD554E" w:rsidRPr="00FC0413">
        <w:rPr>
          <w:rFonts w:asciiTheme="majorHAnsi" w:eastAsia="Arial" w:hAnsiTheme="majorHAnsi" w:cstheme="majorHAnsi"/>
          <w:sz w:val="24"/>
          <w:szCs w:val="24"/>
        </w:rPr>
        <w:t>.</w:t>
      </w:r>
      <w:r w:rsidR="0070534B">
        <w:rPr>
          <w:rFonts w:asciiTheme="majorHAnsi" w:eastAsia="Arial" w:hAnsiTheme="majorHAnsi" w:cstheme="majorHAnsi"/>
          <w:sz w:val="24"/>
          <w:szCs w:val="24"/>
        </w:rPr>
        <w:t xml:space="preserve"> </w:t>
      </w:r>
    </w:p>
    <w:p w14:paraId="7B5AF853" w14:textId="77777777" w:rsidR="003C2A40" w:rsidRDefault="003C2A40" w:rsidP="003C2A40">
      <w:pPr>
        <w:spacing w:after="0" w:line="240" w:lineRule="auto"/>
        <w:jc w:val="both"/>
        <w:rPr>
          <w:rFonts w:asciiTheme="majorHAnsi" w:eastAsia="Arial" w:hAnsiTheme="majorHAnsi" w:cstheme="majorHAnsi"/>
          <w:sz w:val="24"/>
          <w:szCs w:val="24"/>
        </w:rPr>
      </w:pPr>
    </w:p>
    <w:p w14:paraId="2DB43228" w14:textId="429C9814" w:rsidR="00B21E1D" w:rsidRDefault="00A173AC" w:rsidP="003C2A40">
      <w:pPr>
        <w:spacing w:after="0" w:line="240" w:lineRule="auto"/>
        <w:jc w:val="both"/>
        <w:rPr>
          <w:rFonts w:asciiTheme="majorHAnsi" w:eastAsia="Arial" w:hAnsiTheme="majorHAnsi" w:cstheme="majorHAnsi"/>
          <w:sz w:val="24"/>
          <w:szCs w:val="24"/>
        </w:rPr>
      </w:pPr>
      <w:proofErr w:type="gramStart"/>
      <w:r>
        <w:rPr>
          <w:rFonts w:asciiTheme="majorHAnsi" w:eastAsia="Arial" w:hAnsiTheme="majorHAnsi" w:cstheme="majorHAnsi"/>
          <w:b/>
          <w:sz w:val="24"/>
          <w:szCs w:val="24"/>
        </w:rPr>
        <w:t>SEGUNDO</w:t>
      </w:r>
      <w:r w:rsidR="00853CEE" w:rsidRPr="00FC0413">
        <w:rPr>
          <w:rFonts w:asciiTheme="majorHAnsi" w:eastAsia="Arial" w:hAnsiTheme="majorHAnsi" w:cstheme="majorHAnsi"/>
          <w:b/>
          <w:sz w:val="24"/>
          <w:szCs w:val="24"/>
        </w:rPr>
        <w:t>.-</w:t>
      </w:r>
      <w:proofErr w:type="gramEnd"/>
      <w:r w:rsidR="00853CEE" w:rsidRPr="00FC0413">
        <w:rPr>
          <w:rFonts w:asciiTheme="majorHAnsi" w:eastAsia="Arial" w:hAnsiTheme="majorHAnsi" w:cstheme="majorHAnsi"/>
          <w:b/>
          <w:sz w:val="24"/>
          <w:szCs w:val="24"/>
        </w:rPr>
        <w:t xml:space="preserve"> </w:t>
      </w:r>
      <w:r w:rsidR="00D7026E" w:rsidRPr="00FC0413">
        <w:rPr>
          <w:rFonts w:asciiTheme="majorHAnsi" w:eastAsia="Arial" w:hAnsiTheme="majorHAnsi" w:cstheme="majorHAnsi"/>
          <w:sz w:val="24"/>
          <w:szCs w:val="24"/>
        </w:rPr>
        <w:t xml:space="preserve">Con base a las consideraciones realizadas en </w:t>
      </w:r>
      <w:r w:rsidR="00BC64B6">
        <w:rPr>
          <w:rFonts w:asciiTheme="majorHAnsi" w:eastAsia="Arial" w:hAnsiTheme="majorHAnsi" w:cstheme="majorHAnsi"/>
          <w:sz w:val="24"/>
          <w:szCs w:val="24"/>
        </w:rPr>
        <w:t>el</w:t>
      </w:r>
      <w:r w:rsidR="00D7026E" w:rsidRPr="00FC0413">
        <w:rPr>
          <w:rFonts w:asciiTheme="majorHAnsi" w:eastAsia="Arial" w:hAnsiTheme="majorHAnsi" w:cstheme="majorHAnsi"/>
          <w:sz w:val="24"/>
          <w:szCs w:val="24"/>
        </w:rPr>
        <w:t xml:space="preserve"> acuerdo a través de</w:t>
      </w:r>
      <w:r w:rsidR="00BC64B6">
        <w:rPr>
          <w:rFonts w:asciiTheme="majorHAnsi" w:eastAsia="Arial" w:hAnsiTheme="majorHAnsi" w:cstheme="majorHAnsi"/>
          <w:sz w:val="24"/>
          <w:szCs w:val="24"/>
        </w:rPr>
        <w:t>l</w:t>
      </w:r>
      <w:r w:rsidR="00D7026E" w:rsidRPr="00FC0413">
        <w:rPr>
          <w:rFonts w:asciiTheme="majorHAnsi" w:eastAsia="Arial" w:hAnsiTheme="majorHAnsi" w:cstheme="majorHAnsi"/>
          <w:sz w:val="24"/>
          <w:szCs w:val="24"/>
        </w:rPr>
        <w:t xml:space="preserve"> cual se aprobaron las tablas de aplicabilidad de las obligaciones de transparencia, </w:t>
      </w:r>
      <w:r w:rsidR="008F453A" w:rsidRPr="00FC0413">
        <w:rPr>
          <w:rFonts w:asciiTheme="majorHAnsi" w:eastAsia="Arial" w:hAnsiTheme="majorHAnsi" w:cstheme="majorHAnsi"/>
          <w:sz w:val="24"/>
          <w:szCs w:val="24"/>
        </w:rPr>
        <w:t>se realizaron diversas reuniones de trabajo</w:t>
      </w:r>
      <w:r w:rsidR="00DF1D39">
        <w:rPr>
          <w:rFonts w:asciiTheme="majorHAnsi" w:eastAsia="Arial" w:hAnsiTheme="majorHAnsi" w:cstheme="majorHAnsi"/>
          <w:sz w:val="24"/>
          <w:szCs w:val="24"/>
        </w:rPr>
        <w:t>, o bien se sostuvieron llamadas telefónicas</w:t>
      </w:r>
      <w:r w:rsidR="005C3E6D" w:rsidRPr="00FC0413">
        <w:rPr>
          <w:rFonts w:asciiTheme="majorHAnsi" w:eastAsia="Arial" w:hAnsiTheme="majorHAnsi" w:cstheme="majorHAnsi"/>
          <w:sz w:val="24"/>
          <w:szCs w:val="24"/>
        </w:rPr>
        <w:t>, entre otros,</w:t>
      </w:r>
      <w:r w:rsidR="008F453A" w:rsidRPr="00FC0413">
        <w:rPr>
          <w:rFonts w:asciiTheme="majorHAnsi" w:eastAsia="Arial" w:hAnsiTheme="majorHAnsi" w:cstheme="majorHAnsi"/>
          <w:sz w:val="24"/>
          <w:szCs w:val="24"/>
        </w:rPr>
        <w:t xml:space="preserve"> con </w:t>
      </w:r>
      <w:r w:rsidR="00B21E1D" w:rsidRPr="00FC0413">
        <w:rPr>
          <w:rFonts w:asciiTheme="majorHAnsi" w:eastAsia="Arial" w:hAnsiTheme="majorHAnsi" w:cstheme="majorHAnsi"/>
          <w:sz w:val="24"/>
          <w:szCs w:val="24"/>
        </w:rPr>
        <w:t xml:space="preserve">los siguientes sujetos obligados: </w:t>
      </w:r>
    </w:p>
    <w:p w14:paraId="40A83555" w14:textId="77777777" w:rsidR="003C2A40" w:rsidRPr="00FC0413" w:rsidRDefault="003C2A40" w:rsidP="003C2A40">
      <w:pPr>
        <w:spacing w:after="0" w:line="240" w:lineRule="auto"/>
        <w:jc w:val="both"/>
        <w:rPr>
          <w:rFonts w:asciiTheme="majorHAnsi" w:eastAsia="Arial" w:hAnsiTheme="majorHAnsi" w:cstheme="majorHAnsi"/>
          <w:sz w:val="24"/>
          <w:szCs w:val="24"/>
        </w:rPr>
      </w:pPr>
    </w:p>
    <w:p w14:paraId="1EFACF03" w14:textId="4FF2C192" w:rsidR="00786A69" w:rsidRPr="003C2A40" w:rsidRDefault="00786A69" w:rsidP="003C2A40">
      <w:pPr>
        <w:pStyle w:val="Prrafodelista"/>
        <w:numPr>
          <w:ilvl w:val="0"/>
          <w:numId w:val="25"/>
        </w:numPr>
        <w:spacing w:line="240" w:lineRule="auto"/>
        <w:jc w:val="both"/>
        <w:rPr>
          <w:rFonts w:asciiTheme="majorHAnsi" w:eastAsia="Arial" w:hAnsiTheme="majorHAnsi" w:cstheme="majorHAnsi"/>
          <w:sz w:val="24"/>
          <w:szCs w:val="24"/>
        </w:rPr>
      </w:pPr>
      <w:r w:rsidRPr="003C2A40">
        <w:rPr>
          <w:rFonts w:asciiTheme="majorHAnsi" w:eastAsia="Arial" w:hAnsiTheme="majorHAnsi" w:cstheme="majorHAnsi"/>
          <w:sz w:val="24"/>
          <w:szCs w:val="24"/>
        </w:rPr>
        <w:t>Con la Secretaría de Administración y Finanzas, donde se solicitó la reconsideración de la aplicabilidad de las obligaciones de transparencia dispuestas en las fracciones XLII del artículo 70 de la Ley general de transparencia</w:t>
      </w:r>
      <w:r w:rsidR="00331361" w:rsidRPr="003C2A40">
        <w:rPr>
          <w:rFonts w:asciiTheme="majorHAnsi" w:eastAsia="Arial" w:hAnsiTheme="majorHAnsi" w:cstheme="majorHAnsi"/>
          <w:sz w:val="24"/>
          <w:szCs w:val="24"/>
        </w:rPr>
        <w:t>; y</w:t>
      </w:r>
    </w:p>
    <w:p w14:paraId="39981509" w14:textId="21ED21F2" w:rsidR="00331361" w:rsidRPr="003C2A40" w:rsidRDefault="00331361" w:rsidP="003C2A40">
      <w:pPr>
        <w:pStyle w:val="Prrafodelista"/>
        <w:numPr>
          <w:ilvl w:val="0"/>
          <w:numId w:val="25"/>
        </w:numPr>
        <w:spacing w:line="240" w:lineRule="auto"/>
        <w:jc w:val="both"/>
        <w:rPr>
          <w:rFonts w:asciiTheme="majorHAnsi" w:eastAsia="Arial" w:hAnsiTheme="majorHAnsi" w:cstheme="majorHAnsi"/>
          <w:sz w:val="24"/>
          <w:szCs w:val="24"/>
        </w:rPr>
      </w:pPr>
      <w:r w:rsidRPr="003C2A40">
        <w:rPr>
          <w:rFonts w:asciiTheme="majorHAnsi" w:eastAsia="Arial" w:hAnsiTheme="majorHAnsi" w:cstheme="majorHAnsi"/>
          <w:sz w:val="24"/>
          <w:szCs w:val="24"/>
        </w:rPr>
        <w:t>Con los Partidos Políticos, donde se solicitó la reconsideración de la no aplicabilidad de la obligación de transparencia dispuesta en la fracción XXXI del artículo 70 de la Ley general de transparencia.</w:t>
      </w:r>
    </w:p>
    <w:p w14:paraId="053DD214" w14:textId="77777777" w:rsidR="008F453A" w:rsidRPr="00FC0413" w:rsidRDefault="008F453A" w:rsidP="003C2A40">
      <w:pPr>
        <w:spacing w:after="0" w:line="240" w:lineRule="auto"/>
        <w:jc w:val="both"/>
        <w:rPr>
          <w:rFonts w:asciiTheme="majorHAnsi" w:eastAsia="Arial" w:hAnsiTheme="majorHAnsi" w:cstheme="majorHAnsi"/>
          <w:sz w:val="24"/>
          <w:szCs w:val="24"/>
        </w:rPr>
      </w:pPr>
    </w:p>
    <w:p w14:paraId="735E08B8" w14:textId="77777777" w:rsidR="00A16D01" w:rsidRPr="00FC0413" w:rsidRDefault="00A16D01" w:rsidP="003C2A40">
      <w:pPr>
        <w:spacing w:after="0" w:line="240" w:lineRule="auto"/>
        <w:jc w:val="center"/>
        <w:rPr>
          <w:rFonts w:asciiTheme="majorHAnsi" w:hAnsiTheme="majorHAnsi" w:cstheme="majorHAnsi"/>
          <w:b/>
          <w:sz w:val="24"/>
          <w:szCs w:val="24"/>
        </w:rPr>
      </w:pPr>
      <w:r w:rsidRPr="00FC0413">
        <w:rPr>
          <w:rFonts w:asciiTheme="majorHAnsi" w:hAnsiTheme="majorHAnsi" w:cstheme="majorHAnsi"/>
          <w:b/>
          <w:sz w:val="24"/>
          <w:szCs w:val="24"/>
        </w:rPr>
        <w:t>CONSIDERANDOS</w:t>
      </w:r>
    </w:p>
    <w:p w14:paraId="79817EF0" w14:textId="77777777" w:rsidR="00807346" w:rsidRPr="00FC0413" w:rsidRDefault="00807346" w:rsidP="003C2A40">
      <w:pPr>
        <w:spacing w:after="0" w:line="240" w:lineRule="auto"/>
        <w:jc w:val="both"/>
        <w:rPr>
          <w:rFonts w:asciiTheme="majorHAnsi" w:eastAsia="Arial" w:hAnsiTheme="majorHAnsi" w:cstheme="majorHAnsi"/>
          <w:b/>
          <w:sz w:val="24"/>
          <w:szCs w:val="24"/>
        </w:rPr>
      </w:pPr>
    </w:p>
    <w:p w14:paraId="77EFC661" w14:textId="77777777" w:rsidR="00807346" w:rsidRDefault="00A16D01"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PRIMERO.- </w:t>
      </w:r>
      <w:r w:rsidR="000317AB" w:rsidRPr="00FC0413">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w:t>
      </w:r>
      <w:r w:rsidR="000317AB" w:rsidRPr="00FC0413">
        <w:rPr>
          <w:rFonts w:asciiTheme="majorHAnsi" w:eastAsia="Arial" w:hAnsiTheme="majorHAnsi" w:cstheme="majorHAnsi"/>
          <w:sz w:val="24"/>
          <w:szCs w:val="24"/>
        </w:rPr>
        <w:lastRenderedPageBreak/>
        <w:t xml:space="preserve">dispuesto en la Constitución Política del Estado de Yucatán, la Ley general, </w:t>
      </w:r>
      <w:r w:rsidR="002A74C9" w:rsidRPr="00FC0413">
        <w:rPr>
          <w:rFonts w:asciiTheme="majorHAnsi" w:eastAsia="Arial" w:hAnsiTheme="majorHAnsi" w:cstheme="majorHAnsi"/>
          <w:sz w:val="24"/>
          <w:szCs w:val="24"/>
        </w:rPr>
        <w:t>la</w:t>
      </w:r>
      <w:r w:rsidR="000317AB" w:rsidRPr="00FC0413">
        <w:rPr>
          <w:rFonts w:asciiTheme="majorHAnsi" w:eastAsia="Arial" w:hAnsiTheme="majorHAnsi" w:cstheme="majorHAnsi"/>
          <w:sz w:val="24"/>
          <w:szCs w:val="24"/>
        </w:rPr>
        <w:t xml:space="preserve"> </w:t>
      </w:r>
      <w:r w:rsidR="002A74C9" w:rsidRPr="00FC0413">
        <w:rPr>
          <w:rFonts w:asciiTheme="majorHAnsi" w:eastAsia="Arial" w:hAnsiTheme="majorHAnsi" w:cstheme="majorHAnsi"/>
          <w:sz w:val="24"/>
          <w:szCs w:val="24"/>
        </w:rPr>
        <w:t>L</w:t>
      </w:r>
      <w:r w:rsidR="000317AB" w:rsidRPr="00FC0413">
        <w:rPr>
          <w:rFonts w:asciiTheme="majorHAnsi" w:eastAsia="Arial" w:hAnsiTheme="majorHAnsi" w:cstheme="majorHAnsi"/>
          <w:sz w:val="24"/>
          <w:szCs w:val="24"/>
        </w:rPr>
        <w:t>ey</w:t>
      </w:r>
      <w:r w:rsidR="002A74C9" w:rsidRPr="00FC0413">
        <w:rPr>
          <w:rFonts w:asciiTheme="majorHAnsi" w:eastAsia="Arial" w:hAnsiTheme="majorHAnsi" w:cstheme="majorHAnsi"/>
          <w:sz w:val="24"/>
          <w:szCs w:val="24"/>
        </w:rPr>
        <w:t xml:space="preserve"> estatal de la materia</w:t>
      </w:r>
      <w:r w:rsidR="000317AB" w:rsidRPr="00FC0413">
        <w:rPr>
          <w:rFonts w:asciiTheme="majorHAnsi" w:eastAsia="Arial" w:hAnsiTheme="majorHAnsi" w:cstheme="majorHAnsi"/>
          <w:sz w:val="24"/>
          <w:szCs w:val="24"/>
        </w:rPr>
        <w:t xml:space="preserve"> y demás disposiciones normativas aplicables.</w:t>
      </w:r>
    </w:p>
    <w:p w14:paraId="12D9D4C5" w14:textId="77777777" w:rsidR="003C2A40" w:rsidRPr="00FC0413" w:rsidRDefault="003C2A40" w:rsidP="003C2A40">
      <w:pPr>
        <w:spacing w:after="0" w:line="240" w:lineRule="auto"/>
        <w:jc w:val="both"/>
        <w:rPr>
          <w:rFonts w:asciiTheme="majorHAnsi" w:eastAsia="Arial" w:hAnsiTheme="majorHAnsi" w:cstheme="majorHAnsi"/>
          <w:sz w:val="24"/>
          <w:szCs w:val="24"/>
        </w:rPr>
      </w:pPr>
    </w:p>
    <w:p w14:paraId="72839736" w14:textId="77777777" w:rsidR="009160F1" w:rsidRPr="00FC0413" w:rsidRDefault="00D94442"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Pr="00FC0413">
        <w:rPr>
          <w:rFonts w:asciiTheme="majorHAnsi" w:eastAsia="Arial" w:hAnsiTheme="majorHAnsi" w:cstheme="majorHAnsi"/>
          <w:sz w:val="24"/>
          <w:szCs w:val="24"/>
        </w:rPr>
        <w:t>-</w:t>
      </w:r>
      <w:proofErr w:type="gramEnd"/>
      <w:r w:rsidR="000317AB" w:rsidRPr="00FC0413">
        <w:rPr>
          <w:rFonts w:asciiTheme="majorHAnsi" w:eastAsia="Arial" w:hAnsiTheme="majorHAnsi" w:cstheme="majorHAnsi"/>
          <w:sz w:val="24"/>
          <w:szCs w:val="24"/>
        </w:rPr>
        <w:t xml:space="preserve"> </w:t>
      </w:r>
      <w:r w:rsidR="009160F1" w:rsidRPr="00FC0413">
        <w:rPr>
          <w:rFonts w:asciiTheme="majorHAnsi" w:eastAsia="Arial" w:hAnsiTheme="majorHAnsi" w:cstheme="majorHAnsi"/>
          <w:sz w:val="24"/>
          <w:szCs w:val="24"/>
        </w:rPr>
        <w:t xml:space="preserve">De conformidad con lo señalado en el </w:t>
      </w:r>
      <w:r w:rsidR="00F8649F" w:rsidRPr="00FC0413">
        <w:rPr>
          <w:rFonts w:asciiTheme="majorHAnsi" w:eastAsia="Arial" w:hAnsiTheme="majorHAnsi" w:cstheme="majorHAnsi"/>
          <w:sz w:val="24"/>
          <w:szCs w:val="24"/>
        </w:rPr>
        <w:t>numeral noveno de los Lineamientos Técnicos Generales</w:t>
      </w:r>
      <w:r w:rsidR="00FE1A82" w:rsidRPr="00FC0413">
        <w:rPr>
          <w:rFonts w:asciiTheme="majorHAnsi" w:eastAsia="Arial" w:hAnsiTheme="majorHAnsi" w:cstheme="majorHAnsi"/>
          <w:sz w:val="24"/>
          <w:szCs w:val="24"/>
        </w:rPr>
        <w:t>, en su fracci</w:t>
      </w:r>
      <w:r w:rsidR="003A51BF" w:rsidRPr="00FC0413">
        <w:rPr>
          <w:rFonts w:asciiTheme="majorHAnsi" w:eastAsia="Arial" w:hAnsiTheme="majorHAnsi" w:cstheme="majorHAnsi"/>
          <w:sz w:val="24"/>
          <w:szCs w:val="24"/>
        </w:rPr>
        <w:t>ón III, los sujetos obligados publicarán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tabla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de aplicabilidad de las obligaciones de transparencia comunes y específicas, la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cual</w:t>
      </w:r>
      <w:r w:rsidR="00872F92" w:rsidRPr="00FC0413">
        <w:rPr>
          <w:rFonts w:asciiTheme="majorHAnsi" w:eastAsia="Arial" w:hAnsiTheme="majorHAnsi" w:cstheme="majorHAnsi"/>
          <w:sz w:val="24"/>
          <w:szCs w:val="24"/>
        </w:rPr>
        <w:t>es</w:t>
      </w:r>
      <w:r w:rsidR="003A51BF" w:rsidRPr="00FC0413">
        <w:rPr>
          <w:rFonts w:asciiTheme="majorHAnsi" w:eastAsia="Arial" w:hAnsiTheme="majorHAnsi" w:cstheme="majorHAnsi"/>
          <w:sz w:val="24"/>
          <w:szCs w:val="24"/>
        </w:rPr>
        <w:t xml:space="preserve"> deberá</w:t>
      </w:r>
      <w:r w:rsidR="00872F92" w:rsidRPr="00FC0413">
        <w:rPr>
          <w:rFonts w:asciiTheme="majorHAnsi" w:eastAsia="Arial" w:hAnsiTheme="majorHAnsi" w:cstheme="majorHAnsi"/>
          <w:sz w:val="24"/>
          <w:szCs w:val="24"/>
        </w:rPr>
        <w:t>n</w:t>
      </w:r>
      <w:r w:rsidR="003A51BF" w:rsidRPr="00FC0413">
        <w:rPr>
          <w:rFonts w:asciiTheme="majorHAnsi" w:eastAsia="Arial" w:hAnsiTheme="majorHAnsi" w:cstheme="majorHAnsi"/>
          <w:sz w:val="24"/>
          <w:szCs w:val="24"/>
        </w:rPr>
        <w:t xml:space="preserve"> ser verificada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y aprobada</w:t>
      </w:r>
      <w:r w:rsidR="00872F92" w:rsidRPr="00FC0413">
        <w:rPr>
          <w:rFonts w:asciiTheme="majorHAnsi" w:eastAsia="Arial" w:hAnsiTheme="majorHAnsi" w:cstheme="majorHAnsi"/>
          <w:sz w:val="24"/>
          <w:szCs w:val="24"/>
        </w:rPr>
        <w:t>s</w:t>
      </w:r>
      <w:r w:rsidR="003A51BF" w:rsidRPr="00FC0413">
        <w:rPr>
          <w:rFonts w:asciiTheme="majorHAnsi" w:eastAsia="Arial" w:hAnsiTheme="majorHAnsi" w:cstheme="majorHAnsi"/>
          <w:sz w:val="24"/>
          <w:szCs w:val="24"/>
        </w:rPr>
        <w:t xml:space="preserve"> por el órgano garante</w:t>
      </w:r>
      <w:r w:rsidR="009160F1" w:rsidRPr="00FC0413">
        <w:rPr>
          <w:rFonts w:asciiTheme="majorHAnsi" w:eastAsia="Arial" w:hAnsiTheme="majorHAnsi" w:cstheme="majorHAnsi"/>
          <w:sz w:val="24"/>
          <w:szCs w:val="24"/>
        </w:rPr>
        <w:t>.</w:t>
      </w:r>
    </w:p>
    <w:p w14:paraId="0A7A68BF" w14:textId="77777777" w:rsidR="003C2A40" w:rsidRDefault="003C2A40" w:rsidP="003C2A40">
      <w:pPr>
        <w:spacing w:after="0" w:line="240" w:lineRule="auto"/>
        <w:jc w:val="both"/>
        <w:rPr>
          <w:rFonts w:asciiTheme="majorHAnsi" w:eastAsia="Arial" w:hAnsiTheme="majorHAnsi" w:cstheme="majorHAnsi"/>
          <w:b/>
          <w:sz w:val="24"/>
          <w:szCs w:val="24"/>
        </w:rPr>
      </w:pPr>
    </w:p>
    <w:p w14:paraId="4BB8D7DC" w14:textId="49C44AE7" w:rsidR="00085008" w:rsidRPr="00FC0413" w:rsidRDefault="00085008"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b/>
          <w:sz w:val="24"/>
          <w:szCs w:val="24"/>
        </w:rPr>
        <w:t xml:space="preserve">TERCERO.- </w:t>
      </w:r>
      <w:r w:rsidRPr="00FC0413">
        <w:rPr>
          <w:rFonts w:asciiTheme="majorHAnsi" w:eastAsia="Arial" w:hAnsiTheme="majorHAnsi" w:cstheme="majorHAnsi"/>
          <w:sz w:val="24"/>
          <w:szCs w:val="24"/>
        </w:rPr>
        <w:t xml:space="preserve">Además de lo señalado </w:t>
      </w:r>
      <w:r w:rsidR="00300372" w:rsidRPr="00FC0413">
        <w:rPr>
          <w:rFonts w:asciiTheme="majorHAnsi" w:eastAsia="Arial" w:hAnsiTheme="majorHAnsi" w:cstheme="majorHAnsi"/>
          <w:sz w:val="24"/>
          <w:szCs w:val="24"/>
        </w:rPr>
        <w:t>en el considerando que antecede;</w:t>
      </w:r>
      <w:r w:rsidRPr="00FC0413">
        <w:rPr>
          <w:rFonts w:asciiTheme="majorHAnsi" w:eastAsia="Arial" w:hAnsiTheme="majorHAnsi" w:cstheme="majorHAnsi"/>
          <w:sz w:val="24"/>
          <w:szCs w:val="24"/>
        </w:rPr>
        <w:t xml:space="preserve"> </w:t>
      </w:r>
      <w:r w:rsidR="00300372" w:rsidRPr="00FC0413">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CE9FA54" w14:textId="77777777" w:rsidR="003C2A40" w:rsidRDefault="003C2A40" w:rsidP="003C2A40">
      <w:pPr>
        <w:spacing w:after="0" w:line="240" w:lineRule="auto"/>
        <w:jc w:val="both"/>
        <w:rPr>
          <w:rFonts w:asciiTheme="majorHAnsi" w:eastAsia="Arial" w:hAnsiTheme="majorHAnsi" w:cstheme="majorHAnsi"/>
          <w:b/>
          <w:sz w:val="24"/>
          <w:szCs w:val="24"/>
        </w:rPr>
      </w:pPr>
    </w:p>
    <w:p w14:paraId="1E5FC79B" w14:textId="08AC6CC2" w:rsidR="00B21E1D" w:rsidRDefault="00620069"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proofErr w:type="gramEnd"/>
      <w:r w:rsidR="00B21E1D" w:rsidRPr="00FC0413">
        <w:rPr>
          <w:rFonts w:asciiTheme="majorHAnsi" w:eastAsia="Arial" w:hAnsiTheme="majorHAnsi" w:cstheme="majorHAnsi"/>
          <w:sz w:val="24"/>
          <w:szCs w:val="24"/>
        </w:rPr>
        <w:t xml:space="preserve"> Con base en los resultados obtenidos en las reuniones de trabajo sostenidas con personal de las unidades administrativas y de la</w:t>
      </w:r>
      <w:r w:rsidR="0060633B">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unidad</w:t>
      </w:r>
      <w:r w:rsidR="0060633B">
        <w:rPr>
          <w:rFonts w:asciiTheme="majorHAnsi" w:eastAsia="Arial" w:hAnsiTheme="majorHAnsi" w:cstheme="majorHAnsi"/>
          <w:sz w:val="24"/>
          <w:szCs w:val="24"/>
        </w:rPr>
        <w:t>es</w:t>
      </w:r>
      <w:r w:rsidR="00B21E1D" w:rsidRPr="00FC0413">
        <w:rPr>
          <w:rFonts w:asciiTheme="majorHAnsi" w:eastAsia="Arial" w:hAnsiTheme="majorHAnsi" w:cstheme="majorHAnsi"/>
          <w:sz w:val="24"/>
          <w:szCs w:val="24"/>
        </w:rPr>
        <w:t xml:space="preserve"> de transparencia de l</w:t>
      </w:r>
      <w:r w:rsidR="0060633B">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 xml:space="preserve">sujetos obligados señalados en el antecedente </w:t>
      </w:r>
      <w:r w:rsidR="003C2A40">
        <w:rPr>
          <w:rFonts w:asciiTheme="majorHAnsi" w:eastAsia="Arial" w:hAnsiTheme="majorHAnsi" w:cstheme="majorHAnsi"/>
          <w:sz w:val="24"/>
          <w:szCs w:val="24"/>
        </w:rPr>
        <w:t>segundo</w:t>
      </w:r>
      <w:r w:rsidR="00B21E1D" w:rsidRPr="00FC0413">
        <w:rPr>
          <w:rFonts w:asciiTheme="majorHAnsi" w:eastAsia="Arial" w:hAnsiTheme="majorHAnsi" w:cstheme="majorHAnsi"/>
          <w:sz w:val="24"/>
          <w:szCs w:val="24"/>
        </w:rPr>
        <w:t xml:space="preserve">; nos allegamos de elementos para </w:t>
      </w:r>
      <w:r w:rsidR="00B21E1D" w:rsidRPr="003C2A40">
        <w:rPr>
          <w:rFonts w:asciiTheme="majorHAnsi" w:eastAsia="Arial" w:hAnsiTheme="majorHAnsi" w:cstheme="majorHAnsi"/>
          <w:sz w:val="24"/>
          <w:szCs w:val="24"/>
        </w:rPr>
        <w:t>reconsiderar la aplicabilidad</w:t>
      </w:r>
      <w:r w:rsidR="0047640A" w:rsidRPr="003C2A40">
        <w:rPr>
          <w:rFonts w:asciiTheme="majorHAnsi" w:eastAsia="Arial" w:hAnsiTheme="majorHAnsi" w:cstheme="majorHAnsi"/>
          <w:sz w:val="24"/>
          <w:szCs w:val="24"/>
        </w:rPr>
        <w:t>, o en su caso de la no aplicabilidad de diversas obligaciones de transparencia</w:t>
      </w:r>
      <w:r w:rsidR="0047640A">
        <w:rPr>
          <w:rFonts w:asciiTheme="majorHAnsi" w:eastAsia="Arial" w:hAnsiTheme="majorHAnsi" w:cstheme="majorHAnsi"/>
          <w:sz w:val="24"/>
          <w:szCs w:val="24"/>
        </w:rPr>
        <w:t xml:space="preserve"> comunes</w:t>
      </w:r>
      <w:r w:rsidR="00B21E1D" w:rsidRPr="00FC0413">
        <w:rPr>
          <w:rFonts w:asciiTheme="majorHAnsi" w:eastAsia="Arial" w:hAnsiTheme="majorHAnsi" w:cstheme="majorHAnsi"/>
          <w:sz w:val="24"/>
          <w:szCs w:val="24"/>
        </w:rPr>
        <w:t>, en tal razón se modifica</w:t>
      </w:r>
      <w:r w:rsidR="003C2A40">
        <w:rPr>
          <w:rFonts w:asciiTheme="majorHAnsi" w:eastAsia="Arial" w:hAnsiTheme="majorHAnsi" w:cstheme="majorHAnsi"/>
          <w:sz w:val="24"/>
          <w:szCs w:val="24"/>
        </w:rPr>
        <w:t>n</w:t>
      </w:r>
      <w:r w:rsidR="00B21E1D" w:rsidRPr="00FC0413">
        <w:rPr>
          <w:rFonts w:asciiTheme="majorHAnsi" w:eastAsia="Arial" w:hAnsiTheme="majorHAnsi" w:cstheme="majorHAnsi"/>
          <w:sz w:val="24"/>
          <w:szCs w:val="24"/>
        </w:rPr>
        <w:t xml:space="preserve"> la</w:t>
      </w:r>
      <w:r w:rsidR="003C2A40">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tabla</w:t>
      </w:r>
      <w:r w:rsidR="003C2A40">
        <w:rPr>
          <w:rFonts w:asciiTheme="majorHAnsi" w:eastAsia="Arial" w:hAnsiTheme="majorHAnsi" w:cstheme="majorHAnsi"/>
          <w:sz w:val="24"/>
          <w:szCs w:val="24"/>
        </w:rPr>
        <w:t>s</w:t>
      </w:r>
      <w:r w:rsidR="00B21E1D" w:rsidRPr="00FC0413">
        <w:rPr>
          <w:rFonts w:asciiTheme="majorHAnsi" w:eastAsia="Arial" w:hAnsiTheme="majorHAnsi" w:cstheme="majorHAnsi"/>
          <w:sz w:val="24"/>
          <w:szCs w:val="24"/>
        </w:rPr>
        <w:t xml:space="preserve"> de aplicabilidad de</w:t>
      </w:r>
      <w:r w:rsidR="0047640A">
        <w:rPr>
          <w:rFonts w:asciiTheme="majorHAnsi" w:eastAsia="Arial" w:hAnsiTheme="majorHAnsi" w:cstheme="majorHAnsi"/>
          <w:sz w:val="24"/>
          <w:szCs w:val="24"/>
        </w:rPr>
        <w:t xml:space="preserve"> </w:t>
      </w:r>
      <w:r w:rsidR="00B21E1D" w:rsidRPr="00FC0413">
        <w:rPr>
          <w:rFonts w:asciiTheme="majorHAnsi" w:eastAsia="Arial" w:hAnsiTheme="majorHAnsi" w:cstheme="majorHAnsi"/>
          <w:sz w:val="24"/>
          <w:szCs w:val="24"/>
        </w:rPr>
        <w:t>l</w:t>
      </w:r>
      <w:r w:rsidR="0047640A">
        <w:rPr>
          <w:rFonts w:asciiTheme="majorHAnsi" w:eastAsia="Arial" w:hAnsiTheme="majorHAnsi" w:cstheme="majorHAnsi"/>
          <w:sz w:val="24"/>
          <w:szCs w:val="24"/>
        </w:rPr>
        <w:t>os</w:t>
      </w:r>
      <w:r w:rsidR="00B21E1D" w:rsidRPr="00FC0413">
        <w:rPr>
          <w:rFonts w:asciiTheme="majorHAnsi" w:eastAsia="Arial" w:hAnsiTheme="majorHAnsi" w:cstheme="majorHAnsi"/>
          <w:sz w:val="24"/>
          <w:szCs w:val="24"/>
        </w:rPr>
        <w:t xml:space="preserve"> </w:t>
      </w:r>
      <w:r w:rsidR="0047640A">
        <w:rPr>
          <w:rFonts w:asciiTheme="majorHAnsi" w:eastAsia="Arial" w:hAnsiTheme="majorHAnsi" w:cstheme="majorHAnsi"/>
          <w:sz w:val="24"/>
          <w:szCs w:val="24"/>
        </w:rPr>
        <w:t>siguientes sujetos obligados</w:t>
      </w:r>
      <w:r w:rsidR="00B21E1D" w:rsidRPr="00FC0413">
        <w:rPr>
          <w:rFonts w:asciiTheme="majorHAnsi" w:eastAsia="Arial" w:hAnsiTheme="majorHAnsi" w:cstheme="majorHAnsi"/>
          <w:sz w:val="24"/>
          <w:szCs w:val="24"/>
        </w:rPr>
        <w:t>, para quedar como sigue:</w:t>
      </w:r>
    </w:p>
    <w:p w14:paraId="28C2A367" w14:textId="77777777" w:rsidR="002972FC" w:rsidRPr="00FC0413" w:rsidRDefault="002972FC" w:rsidP="003C2A40">
      <w:pPr>
        <w:spacing w:after="0" w:line="240" w:lineRule="auto"/>
        <w:jc w:val="both"/>
        <w:rPr>
          <w:rFonts w:asciiTheme="majorHAnsi" w:eastAsia="Arial" w:hAnsiTheme="majorHAnsi" w:cstheme="majorHAnsi"/>
          <w:sz w:val="24"/>
          <w:szCs w:val="24"/>
        </w:rPr>
      </w:pPr>
    </w:p>
    <w:p w14:paraId="5B7944D9" w14:textId="77777777" w:rsidR="008528A6" w:rsidRPr="00FC0413" w:rsidRDefault="008528A6" w:rsidP="003C2A40">
      <w:pPr>
        <w:spacing w:after="0" w:line="240" w:lineRule="auto"/>
        <w:jc w:val="both"/>
        <w:rPr>
          <w:rFonts w:asciiTheme="majorHAnsi" w:eastAsia="Arial" w:hAnsiTheme="majorHAnsi" w:cstheme="majorHAnsi"/>
          <w:b/>
          <w:sz w:val="24"/>
          <w:szCs w:val="24"/>
        </w:rPr>
      </w:pPr>
    </w:p>
    <w:p w14:paraId="6243FC99" w14:textId="653E5272" w:rsidR="002972FC" w:rsidRDefault="008528A6"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De</w:t>
      </w:r>
      <w:r w:rsidR="003C2A40">
        <w:rPr>
          <w:rFonts w:asciiTheme="majorHAnsi" w:eastAsia="Arial" w:hAnsiTheme="majorHAnsi" w:cstheme="majorHAnsi"/>
          <w:b/>
          <w:sz w:val="24"/>
          <w:szCs w:val="24"/>
        </w:rPr>
        <w:t>l</w:t>
      </w:r>
      <w:r w:rsidR="00786A69">
        <w:rPr>
          <w:rFonts w:asciiTheme="majorHAnsi" w:eastAsia="Arial" w:hAnsiTheme="majorHAnsi" w:cstheme="majorHAnsi"/>
          <w:b/>
          <w:sz w:val="24"/>
          <w:szCs w:val="24"/>
        </w:rPr>
        <w:t xml:space="preserve"> </w:t>
      </w:r>
      <w:r w:rsidR="00331361">
        <w:rPr>
          <w:rFonts w:asciiTheme="majorHAnsi" w:eastAsia="Arial" w:hAnsiTheme="majorHAnsi" w:cstheme="majorHAnsi"/>
          <w:b/>
          <w:sz w:val="24"/>
          <w:szCs w:val="24"/>
        </w:rPr>
        <w:t>Poder Ejecutivo</w:t>
      </w:r>
      <w:r w:rsidR="00D9191B">
        <w:rPr>
          <w:rFonts w:asciiTheme="majorHAnsi" w:eastAsia="Arial" w:hAnsiTheme="majorHAnsi" w:cstheme="majorHAnsi"/>
          <w:b/>
          <w:sz w:val="24"/>
          <w:szCs w:val="24"/>
        </w:rPr>
        <w:t>, artículo 70 de la Ley general de transparencia:</w:t>
      </w:r>
    </w:p>
    <w:p w14:paraId="5B656310" w14:textId="77777777" w:rsidR="003C2A40" w:rsidRPr="00FC0413" w:rsidRDefault="003C2A40" w:rsidP="003C2A40">
      <w:pPr>
        <w:spacing w:after="0" w:line="240" w:lineRule="auto"/>
        <w:jc w:val="both"/>
        <w:rPr>
          <w:rFonts w:asciiTheme="majorHAnsi" w:eastAsia="Arial" w:hAnsiTheme="majorHAnsi" w:cstheme="majorHAnsi"/>
          <w:b/>
          <w:sz w:val="24"/>
          <w:szCs w:val="24"/>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FC0413" w14:paraId="0DC39D84" w14:textId="77777777" w:rsidTr="000A4992">
        <w:trPr>
          <w:trHeight w:val="456"/>
          <w:tblHeader/>
          <w:jc w:val="center"/>
        </w:trPr>
        <w:tc>
          <w:tcPr>
            <w:tcW w:w="2750" w:type="dxa"/>
            <w:gridSpan w:val="2"/>
            <w:shd w:val="clear" w:color="auto" w:fill="B4C6E7" w:themeFill="accent5" w:themeFillTint="66"/>
            <w:vAlign w:val="center"/>
          </w:tcPr>
          <w:p w14:paraId="2091D02C" w14:textId="77777777" w:rsidR="00B21E1D" w:rsidRPr="00FC0413"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14EBFC35" w14:textId="77777777" w:rsidR="00B21E1D" w:rsidRPr="00FC0413"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3C373706" w14:textId="77777777" w:rsidR="00B21E1D" w:rsidRPr="00FC0413" w:rsidRDefault="00B21E1D"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2D46BCBE" w14:textId="2389F0E4" w:rsidR="00B21E1D" w:rsidRPr="00FC0413" w:rsidRDefault="006B016E" w:rsidP="003C2A40">
            <w:pPr>
              <w:spacing w:after="0" w:line="240" w:lineRule="auto"/>
              <w:jc w:val="both"/>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B21E1D" w:rsidRPr="00FC0413">
              <w:rPr>
                <w:rFonts w:asciiTheme="majorHAnsi" w:eastAsia="Arial" w:hAnsiTheme="majorHAnsi" w:cstheme="majorHAnsi"/>
                <w:b/>
                <w:sz w:val="24"/>
                <w:szCs w:val="24"/>
              </w:rPr>
              <w:t>undamento Legal</w:t>
            </w:r>
          </w:p>
        </w:tc>
      </w:tr>
      <w:tr w:rsidR="00B21E1D" w:rsidRPr="00FC0413" w14:paraId="725F78EA" w14:textId="77777777" w:rsidTr="000A4992">
        <w:trPr>
          <w:trHeight w:val="2328"/>
          <w:jc w:val="center"/>
        </w:trPr>
        <w:tc>
          <w:tcPr>
            <w:tcW w:w="720" w:type="dxa"/>
            <w:vAlign w:val="center"/>
          </w:tcPr>
          <w:p w14:paraId="247E9849" w14:textId="06D85AC8" w:rsidR="00B21E1D" w:rsidRPr="006D5ED9" w:rsidRDefault="00331361" w:rsidP="003C2A40">
            <w:pPr>
              <w:spacing w:after="0" w:line="240" w:lineRule="auto"/>
              <w:jc w:val="both"/>
              <w:rPr>
                <w:rFonts w:asciiTheme="majorHAnsi" w:eastAsia="Arial" w:hAnsiTheme="majorHAnsi" w:cstheme="majorHAnsi"/>
                <w:sz w:val="24"/>
                <w:szCs w:val="24"/>
              </w:rPr>
            </w:pPr>
            <w:r w:rsidRPr="006D5ED9">
              <w:rPr>
                <w:rFonts w:asciiTheme="majorHAnsi" w:eastAsia="Arial" w:hAnsiTheme="majorHAnsi" w:cstheme="majorHAnsi"/>
                <w:sz w:val="24"/>
                <w:szCs w:val="24"/>
              </w:rPr>
              <w:t>XLII</w:t>
            </w:r>
          </w:p>
        </w:tc>
        <w:tc>
          <w:tcPr>
            <w:tcW w:w="2030" w:type="dxa"/>
            <w:vAlign w:val="center"/>
          </w:tcPr>
          <w:p w14:paraId="27A4FF5D" w14:textId="1F6D6007" w:rsidR="00B21E1D" w:rsidRPr="00FC0413" w:rsidRDefault="00331361" w:rsidP="003C2A40">
            <w:pPr>
              <w:spacing w:after="0" w:line="240" w:lineRule="auto"/>
              <w:jc w:val="both"/>
              <w:rPr>
                <w:rFonts w:asciiTheme="majorHAnsi" w:eastAsia="Arial" w:hAnsiTheme="majorHAnsi" w:cstheme="majorHAnsi"/>
                <w:sz w:val="24"/>
                <w:szCs w:val="24"/>
              </w:rPr>
            </w:pPr>
            <w:r w:rsidRPr="00331361">
              <w:rPr>
                <w:rFonts w:asciiTheme="majorHAnsi" w:eastAsia="Times New Roman" w:hAnsiTheme="majorHAnsi" w:cstheme="majorHAnsi"/>
                <w:sz w:val="24"/>
                <w:szCs w:val="24"/>
                <w:lang w:eastAsia="es-MX"/>
              </w:rPr>
              <w:t>El listado de jubilados y pensionados y el monto que reciben</w:t>
            </w:r>
            <w:r>
              <w:rPr>
                <w:rFonts w:asciiTheme="majorHAnsi" w:eastAsia="Times New Roman" w:hAnsiTheme="majorHAnsi" w:cstheme="majorHAnsi"/>
                <w:sz w:val="24"/>
                <w:szCs w:val="24"/>
                <w:lang w:eastAsia="es-MX"/>
              </w:rPr>
              <w:t>.</w:t>
            </w:r>
          </w:p>
        </w:tc>
        <w:tc>
          <w:tcPr>
            <w:tcW w:w="1740" w:type="dxa"/>
            <w:vAlign w:val="center"/>
          </w:tcPr>
          <w:p w14:paraId="7FE55A43" w14:textId="13FE11D9" w:rsidR="00B21E1D"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Secretaría de Administración y Finanzas</w:t>
            </w:r>
          </w:p>
        </w:tc>
        <w:tc>
          <w:tcPr>
            <w:tcW w:w="1449" w:type="dxa"/>
            <w:vAlign w:val="center"/>
          </w:tcPr>
          <w:p w14:paraId="1CC4C77C" w14:textId="27A1798F" w:rsidR="00B21E1D" w:rsidRPr="006D5ED9" w:rsidRDefault="00331361" w:rsidP="003C2A40">
            <w:pPr>
              <w:spacing w:after="0" w:line="240" w:lineRule="auto"/>
              <w:jc w:val="both"/>
              <w:rPr>
                <w:rFonts w:asciiTheme="majorHAnsi" w:eastAsia="Arial" w:hAnsiTheme="majorHAnsi" w:cstheme="majorHAnsi"/>
                <w:sz w:val="24"/>
                <w:szCs w:val="24"/>
              </w:rPr>
            </w:pPr>
            <w:r w:rsidRPr="006D5ED9">
              <w:rPr>
                <w:rFonts w:asciiTheme="majorHAnsi" w:eastAsia="Arial" w:hAnsiTheme="majorHAnsi" w:cstheme="majorHAnsi"/>
                <w:sz w:val="24"/>
                <w:szCs w:val="24"/>
              </w:rPr>
              <w:t>A</w:t>
            </w:r>
            <w:r w:rsidR="00B21E1D" w:rsidRPr="006D5ED9">
              <w:rPr>
                <w:rFonts w:asciiTheme="majorHAnsi" w:eastAsia="Arial" w:hAnsiTheme="majorHAnsi" w:cstheme="majorHAnsi"/>
                <w:sz w:val="24"/>
                <w:szCs w:val="24"/>
              </w:rPr>
              <w:t>plicable.</w:t>
            </w:r>
          </w:p>
        </w:tc>
        <w:tc>
          <w:tcPr>
            <w:tcW w:w="4726" w:type="dxa"/>
            <w:vAlign w:val="center"/>
          </w:tcPr>
          <w:p w14:paraId="44259F5D" w14:textId="253B33CC" w:rsidR="00B21E1D" w:rsidRPr="006B016E" w:rsidRDefault="004C6B9D" w:rsidP="006D5ED9">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 xml:space="preserve">Le es aplicable, en razón que la Secretaría de Administración y Finanzas </w:t>
            </w:r>
            <w:r w:rsidR="003C2A40">
              <w:rPr>
                <w:rFonts w:asciiTheme="majorHAnsi" w:eastAsia="Times New Roman" w:hAnsiTheme="majorHAnsi" w:cstheme="majorHAnsi"/>
                <w:sz w:val="24"/>
                <w:szCs w:val="24"/>
                <w:lang w:eastAsia="es-MX"/>
              </w:rPr>
              <w:t>es responsable de administrar la nómina de jubilados y pensionados del Gobierno del Estado, distintos a los del ISSTEY</w:t>
            </w:r>
            <w:r w:rsidR="006D5ED9">
              <w:rPr>
                <w:rFonts w:asciiTheme="majorHAnsi" w:eastAsia="Times New Roman" w:hAnsiTheme="majorHAnsi" w:cstheme="majorHAnsi"/>
                <w:sz w:val="24"/>
                <w:szCs w:val="24"/>
                <w:lang w:eastAsia="es-MX"/>
              </w:rPr>
              <w:t>; motivo por el cual este sujeto obligado únicamente publicará el formato 42B y no así el formato 42A, formato reservado para sujetos obligados que no son instituciones de seguridad social, ni que tampoco cuentan con planes privados de pensiones y jubilaciones.</w:t>
            </w:r>
          </w:p>
        </w:tc>
      </w:tr>
    </w:tbl>
    <w:p w14:paraId="034BAD34" w14:textId="77777777" w:rsidR="003C2A40" w:rsidRDefault="003C2A40" w:rsidP="003C2A40">
      <w:pPr>
        <w:spacing w:after="160" w:line="240" w:lineRule="auto"/>
        <w:jc w:val="both"/>
        <w:rPr>
          <w:rFonts w:asciiTheme="majorHAnsi" w:eastAsia="Arial" w:hAnsiTheme="majorHAnsi" w:cstheme="majorHAnsi"/>
          <w:b/>
          <w:bCs/>
          <w:sz w:val="24"/>
          <w:szCs w:val="24"/>
        </w:rPr>
      </w:pPr>
      <w:bookmarkStart w:id="0" w:name="_Hlk139872689"/>
    </w:p>
    <w:p w14:paraId="30020C19" w14:textId="2D53CF7D" w:rsidR="000A0260" w:rsidRDefault="000A0260" w:rsidP="003C2A40">
      <w:pPr>
        <w:spacing w:after="160" w:line="240" w:lineRule="auto"/>
        <w:jc w:val="both"/>
        <w:rPr>
          <w:rFonts w:asciiTheme="majorHAnsi" w:eastAsia="Arial" w:hAnsiTheme="majorHAnsi" w:cstheme="majorHAnsi"/>
          <w:b/>
          <w:sz w:val="24"/>
          <w:szCs w:val="24"/>
        </w:rPr>
      </w:pPr>
      <w:r w:rsidRPr="000A0260">
        <w:rPr>
          <w:rFonts w:asciiTheme="majorHAnsi" w:eastAsia="Arial" w:hAnsiTheme="majorHAnsi" w:cstheme="majorHAnsi"/>
          <w:b/>
          <w:bCs/>
          <w:sz w:val="24"/>
          <w:szCs w:val="24"/>
        </w:rPr>
        <w:lastRenderedPageBreak/>
        <w:t>De</w:t>
      </w:r>
      <w:r w:rsidR="00331361">
        <w:rPr>
          <w:rFonts w:asciiTheme="majorHAnsi" w:eastAsia="Arial" w:hAnsiTheme="majorHAnsi" w:cstheme="majorHAnsi"/>
          <w:b/>
          <w:bCs/>
          <w:sz w:val="24"/>
          <w:szCs w:val="24"/>
        </w:rPr>
        <w:t xml:space="preserve"> los Partidos Políticos</w:t>
      </w:r>
      <w:r w:rsidR="00D9191B">
        <w:rPr>
          <w:rFonts w:asciiTheme="majorHAnsi" w:eastAsia="Arial" w:hAnsiTheme="majorHAnsi" w:cstheme="majorHAnsi"/>
          <w:b/>
          <w:sz w:val="24"/>
          <w:szCs w:val="24"/>
        </w:rPr>
        <w:t>, artículo 70 de la Ley general de transparencia:</w:t>
      </w:r>
    </w:p>
    <w:p w14:paraId="7300E7D3" w14:textId="77777777" w:rsidR="002972FC" w:rsidRPr="000A0260" w:rsidRDefault="002972FC" w:rsidP="003C2A40">
      <w:pPr>
        <w:spacing w:after="160" w:line="240" w:lineRule="auto"/>
        <w:jc w:val="both"/>
        <w:rPr>
          <w:rFonts w:asciiTheme="majorHAnsi" w:eastAsia="Arial" w:hAnsiTheme="majorHAnsi" w:cstheme="majorHAnsi"/>
          <w:b/>
          <w:bCs/>
          <w:sz w:val="24"/>
          <w:szCs w:val="24"/>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0A0260" w:rsidRPr="00FC0413" w14:paraId="31A90B32" w14:textId="77777777" w:rsidTr="00AC01B5">
        <w:trPr>
          <w:trHeight w:val="456"/>
          <w:tblHeader/>
          <w:jc w:val="center"/>
        </w:trPr>
        <w:tc>
          <w:tcPr>
            <w:tcW w:w="2750" w:type="dxa"/>
            <w:gridSpan w:val="2"/>
            <w:shd w:val="clear" w:color="auto" w:fill="B4C6E7" w:themeFill="accent5" w:themeFillTint="66"/>
            <w:vAlign w:val="center"/>
          </w:tcPr>
          <w:bookmarkEnd w:id="0"/>
          <w:p w14:paraId="6C798EA8" w14:textId="77777777" w:rsidR="000A0260" w:rsidRPr="00FC0413"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14:paraId="0E62A7AA" w14:textId="77777777" w:rsidR="000A0260" w:rsidRPr="00FC0413"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14:paraId="79C6D622" w14:textId="77777777" w:rsidR="000A0260" w:rsidRPr="00FC0413" w:rsidRDefault="000A0260" w:rsidP="003C2A40">
            <w:pPr>
              <w:spacing w:after="0" w:line="240" w:lineRule="auto"/>
              <w:jc w:val="both"/>
              <w:rPr>
                <w:rFonts w:asciiTheme="majorHAnsi" w:eastAsia="Arial" w:hAnsiTheme="majorHAnsi" w:cstheme="majorHAnsi"/>
                <w:b/>
                <w:sz w:val="24"/>
                <w:szCs w:val="24"/>
              </w:rPr>
            </w:pPr>
            <w:r w:rsidRPr="00FC0413">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14:paraId="5C11CB17" w14:textId="63FF823B" w:rsidR="000A0260" w:rsidRPr="00FC0413" w:rsidRDefault="001D3280" w:rsidP="003C2A40">
            <w:pPr>
              <w:spacing w:after="0" w:line="240" w:lineRule="auto"/>
              <w:jc w:val="both"/>
              <w:rPr>
                <w:rFonts w:asciiTheme="majorHAnsi" w:eastAsia="Arial" w:hAnsiTheme="majorHAnsi" w:cstheme="majorHAnsi"/>
                <w:b/>
                <w:sz w:val="24"/>
                <w:szCs w:val="24"/>
              </w:rPr>
            </w:pPr>
            <w:r>
              <w:rPr>
                <w:rFonts w:asciiTheme="majorHAnsi" w:eastAsia="Arial" w:hAnsiTheme="majorHAnsi" w:cstheme="majorHAnsi"/>
                <w:b/>
                <w:sz w:val="24"/>
                <w:szCs w:val="24"/>
              </w:rPr>
              <w:t>Motivación y f</w:t>
            </w:r>
            <w:r w:rsidR="000A0260" w:rsidRPr="00FC0413">
              <w:rPr>
                <w:rFonts w:asciiTheme="majorHAnsi" w:eastAsia="Arial" w:hAnsiTheme="majorHAnsi" w:cstheme="majorHAnsi"/>
                <w:b/>
                <w:sz w:val="24"/>
                <w:szCs w:val="24"/>
              </w:rPr>
              <w:t>undamento Legal</w:t>
            </w:r>
          </w:p>
        </w:tc>
      </w:tr>
      <w:tr w:rsidR="000A0260" w:rsidRPr="00FC0413" w14:paraId="076AA001" w14:textId="77777777" w:rsidTr="00BF60A7">
        <w:trPr>
          <w:trHeight w:val="595"/>
          <w:jc w:val="center"/>
        </w:trPr>
        <w:tc>
          <w:tcPr>
            <w:tcW w:w="720" w:type="dxa"/>
            <w:vAlign w:val="center"/>
          </w:tcPr>
          <w:p w14:paraId="3D1F4ED6" w14:textId="7E6EBE3D" w:rsidR="000A0260"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XXXI</w:t>
            </w:r>
          </w:p>
        </w:tc>
        <w:tc>
          <w:tcPr>
            <w:tcW w:w="2030" w:type="dxa"/>
            <w:vAlign w:val="center"/>
          </w:tcPr>
          <w:p w14:paraId="75204121" w14:textId="228A895B" w:rsidR="000A0260" w:rsidRPr="00FC0413" w:rsidRDefault="00331361" w:rsidP="003C2A40">
            <w:pPr>
              <w:spacing w:after="0" w:line="240" w:lineRule="auto"/>
              <w:jc w:val="both"/>
              <w:rPr>
                <w:rFonts w:asciiTheme="majorHAnsi" w:eastAsia="Arial" w:hAnsiTheme="majorHAnsi" w:cstheme="majorHAnsi"/>
                <w:sz w:val="24"/>
                <w:szCs w:val="24"/>
              </w:rPr>
            </w:pPr>
            <w:r w:rsidRPr="00331361">
              <w:rPr>
                <w:rFonts w:asciiTheme="majorHAnsi" w:eastAsia="Arial" w:hAnsiTheme="majorHAnsi" w:cstheme="majorHAnsi"/>
                <w:sz w:val="24"/>
                <w:szCs w:val="24"/>
              </w:rPr>
              <w:t>Informe de avances programáticos o presupuestales, balances generales y su estado financiero</w:t>
            </w:r>
            <w:r>
              <w:rPr>
                <w:rFonts w:asciiTheme="majorHAnsi" w:eastAsia="Arial" w:hAnsiTheme="majorHAnsi" w:cstheme="majorHAnsi"/>
                <w:sz w:val="24"/>
                <w:szCs w:val="24"/>
              </w:rPr>
              <w:t>.</w:t>
            </w:r>
          </w:p>
        </w:tc>
        <w:tc>
          <w:tcPr>
            <w:tcW w:w="1740" w:type="dxa"/>
            <w:vAlign w:val="center"/>
          </w:tcPr>
          <w:p w14:paraId="716F8393" w14:textId="6A40818A" w:rsidR="000A0260" w:rsidRPr="00FC0413" w:rsidRDefault="00331361" w:rsidP="003C2A40">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Partidos Políticos</w:t>
            </w:r>
          </w:p>
        </w:tc>
        <w:tc>
          <w:tcPr>
            <w:tcW w:w="1449" w:type="dxa"/>
            <w:vAlign w:val="center"/>
          </w:tcPr>
          <w:p w14:paraId="5E179084" w14:textId="57ECB9F1" w:rsidR="000A0260" w:rsidRPr="00786A69" w:rsidRDefault="00331361" w:rsidP="003C2A40">
            <w:pPr>
              <w:spacing w:after="0" w:line="240" w:lineRule="auto"/>
              <w:jc w:val="both"/>
              <w:rPr>
                <w:rFonts w:asciiTheme="majorHAnsi" w:eastAsia="Arial" w:hAnsiTheme="majorHAnsi" w:cstheme="majorHAnsi"/>
                <w:sz w:val="24"/>
                <w:szCs w:val="24"/>
                <w:highlight w:val="yellow"/>
              </w:rPr>
            </w:pPr>
            <w:r w:rsidRPr="00331361">
              <w:rPr>
                <w:rFonts w:asciiTheme="majorHAnsi" w:eastAsia="Arial" w:hAnsiTheme="majorHAnsi" w:cstheme="majorHAnsi"/>
                <w:sz w:val="24"/>
                <w:szCs w:val="24"/>
              </w:rPr>
              <w:t>No a</w:t>
            </w:r>
            <w:r w:rsidR="000A0260" w:rsidRPr="00331361">
              <w:rPr>
                <w:rFonts w:asciiTheme="majorHAnsi" w:eastAsia="Arial" w:hAnsiTheme="majorHAnsi" w:cstheme="majorHAnsi"/>
                <w:sz w:val="24"/>
                <w:szCs w:val="24"/>
              </w:rPr>
              <w:t>plicable.</w:t>
            </w:r>
          </w:p>
        </w:tc>
        <w:tc>
          <w:tcPr>
            <w:tcW w:w="4726" w:type="dxa"/>
            <w:vAlign w:val="center"/>
          </w:tcPr>
          <w:p w14:paraId="0301BD4B" w14:textId="4E16ACCA" w:rsidR="00B62EFB" w:rsidRDefault="006065C1" w:rsidP="003C2A40">
            <w:pPr>
              <w:spacing w:after="0" w:line="240" w:lineRule="auto"/>
              <w:jc w:val="both"/>
              <w:rPr>
                <w:rFonts w:asciiTheme="majorHAnsi" w:eastAsia="Times New Roman" w:hAnsiTheme="majorHAnsi" w:cstheme="majorHAnsi"/>
                <w:sz w:val="24"/>
                <w:szCs w:val="24"/>
                <w:lang w:eastAsia="es-MX"/>
              </w:rPr>
            </w:pPr>
            <w:r w:rsidRPr="006065C1">
              <w:rPr>
                <w:rFonts w:asciiTheme="majorHAnsi" w:eastAsia="Times New Roman" w:hAnsiTheme="majorHAnsi" w:cstheme="majorHAnsi"/>
                <w:sz w:val="24"/>
                <w:szCs w:val="24"/>
                <w:lang w:eastAsia="es-MX"/>
              </w:rPr>
              <w:t>No le es aplicable, toda vez que no se encuentra dentro de</w:t>
            </w:r>
            <w:r w:rsidR="00B62EFB">
              <w:rPr>
                <w:rFonts w:asciiTheme="majorHAnsi" w:eastAsia="Times New Roman" w:hAnsiTheme="majorHAnsi" w:cstheme="majorHAnsi"/>
                <w:sz w:val="24"/>
                <w:szCs w:val="24"/>
                <w:lang w:eastAsia="es-MX"/>
              </w:rPr>
              <w:t>l</w:t>
            </w:r>
            <w:r w:rsidRPr="006065C1">
              <w:rPr>
                <w:rFonts w:asciiTheme="majorHAnsi" w:eastAsia="Times New Roman" w:hAnsiTheme="majorHAnsi" w:cstheme="majorHAnsi"/>
                <w:sz w:val="24"/>
                <w:szCs w:val="24"/>
                <w:lang w:eastAsia="es-MX"/>
              </w:rPr>
              <w:t xml:space="preserve"> ámbito de </w:t>
            </w:r>
            <w:r w:rsidR="00B62EFB">
              <w:rPr>
                <w:rFonts w:asciiTheme="majorHAnsi" w:eastAsia="Times New Roman" w:hAnsiTheme="majorHAnsi" w:cstheme="majorHAnsi"/>
                <w:sz w:val="24"/>
                <w:szCs w:val="24"/>
                <w:lang w:eastAsia="es-MX"/>
              </w:rPr>
              <w:t xml:space="preserve">sus </w:t>
            </w:r>
            <w:r w:rsidRPr="006065C1">
              <w:rPr>
                <w:rFonts w:asciiTheme="majorHAnsi" w:eastAsia="Times New Roman" w:hAnsiTheme="majorHAnsi" w:cstheme="majorHAnsi"/>
                <w:sz w:val="24"/>
                <w:szCs w:val="24"/>
                <w:lang w:eastAsia="es-MX"/>
              </w:rPr>
              <w:t>competencias, facultades o funciones</w:t>
            </w:r>
            <w:r w:rsidR="00B62EFB">
              <w:rPr>
                <w:rFonts w:asciiTheme="majorHAnsi" w:eastAsia="Times New Roman" w:hAnsiTheme="majorHAnsi" w:cstheme="majorHAnsi"/>
                <w:sz w:val="24"/>
                <w:szCs w:val="24"/>
                <w:lang w:eastAsia="es-MX"/>
              </w:rPr>
              <w:t>.</w:t>
            </w:r>
          </w:p>
          <w:p w14:paraId="2A7AA7B3" w14:textId="77777777" w:rsidR="00B62EFB" w:rsidRDefault="00B62EFB" w:rsidP="003C2A40">
            <w:pPr>
              <w:spacing w:after="0" w:line="240" w:lineRule="auto"/>
              <w:jc w:val="both"/>
              <w:rPr>
                <w:rFonts w:asciiTheme="majorHAnsi" w:eastAsia="Times New Roman" w:hAnsiTheme="majorHAnsi" w:cstheme="majorHAnsi"/>
                <w:sz w:val="24"/>
                <w:szCs w:val="24"/>
                <w:lang w:eastAsia="es-MX"/>
              </w:rPr>
            </w:pPr>
          </w:p>
          <w:p w14:paraId="49100A5E" w14:textId="7232BC65" w:rsidR="00630931" w:rsidRPr="00D849D1" w:rsidRDefault="00B62EFB" w:rsidP="003C2A40">
            <w:pPr>
              <w:spacing w:after="0" w:line="240" w:lineRule="auto"/>
              <w:jc w:val="both"/>
              <w:rPr>
                <w:rFonts w:asciiTheme="majorHAnsi" w:eastAsia="Times New Roman" w:hAnsiTheme="majorHAnsi" w:cstheme="majorHAnsi"/>
                <w:sz w:val="24"/>
                <w:szCs w:val="24"/>
                <w:lang w:eastAsia="es-MX"/>
              </w:rPr>
            </w:pPr>
            <w:r>
              <w:rPr>
                <w:rFonts w:asciiTheme="majorHAnsi" w:eastAsia="Times New Roman" w:hAnsiTheme="majorHAnsi" w:cstheme="majorHAnsi"/>
                <w:sz w:val="24"/>
                <w:szCs w:val="24"/>
                <w:lang w:eastAsia="es-MX"/>
              </w:rPr>
              <w:t>Lo anterior radica en que los partidos políticos no</w:t>
            </w:r>
            <w:r w:rsidR="00D849D1">
              <w:rPr>
                <w:rFonts w:asciiTheme="majorHAnsi" w:eastAsia="Times New Roman" w:hAnsiTheme="majorHAnsi" w:cstheme="majorHAnsi"/>
                <w:sz w:val="24"/>
                <w:szCs w:val="24"/>
                <w:lang w:eastAsia="es-MX"/>
              </w:rPr>
              <w:t xml:space="preserve"> se encuentra</w:t>
            </w:r>
            <w:r>
              <w:rPr>
                <w:rFonts w:asciiTheme="majorHAnsi" w:eastAsia="Times New Roman" w:hAnsiTheme="majorHAnsi" w:cstheme="majorHAnsi"/>
                <w:sz w:val="24"/>
                <w:szCs w:val="24"/>
                <w:lang w:eastAsia="es-MX"/>
              </w:rPr>
              <w:t>n</w:t>
            </w:r>
            <w:r w:rsidR="00D849D1">
              <w:rPr>
                <w:rFonts w:asciiTheme="majorHAnsi" w:eastAsia="Times New Roman" w:hAnsiTheme="majorHAnsi" w:cstheme="majorHAnsi"/>
                <w:sz w:val="24"/>
                <w:szCs w:val="24"/>
                <w:lang w:eastAsia="es-MX"/>
              </w:rPr>
              <w:t xml:space="preserve"> dentro de</w:t>
            </w:r>
            <w:r>
              <w:rPr>
                <w:rFonts w:asciiTheme="majorHAnsi" w:eastAsia="Times New Roman" w:hAnsiTheme="majorHAnsi" w:cstheme="majorHAnsi"/>
                <w:sz w:val="24"/>
                <w:szCs w:val="24"/>
                <w:lang w:eastAsia="es-MX"/>
              </w:rPr>
              <w:t>l</w:t>
            </w:r>
            <w:r w:rsidR="00D849D1">
              <w:rPr>
                <w:rFonts w:asciiTheme="majorHAnsi" w:eastAsia="Times New Roman" w:hAnsiTheme="majorHAnsi" w:cstheme="majorHAnsi"/>
                <w:sz w:val="24"/>
                <w:szCs w:val="24"/>
                <w:lang w:eastAsia="es-MX"/>
              </w:rPr>
              <w:t xml:space="preserve"> </w:t>
            </w:r>
            <w:r>
              <w:rPr>
                <w:rFonts w:asciiTheme="majorHAnsi" w:eastAsia="Times New Roman" w:hAnsiTheme="majorHAnsi" w:cstheme="majorHAnsi"/>
                <w:sz w:val="24"/>
                <w:szCs w:val="24"/>
                <w:lang w:eastAsia="es-MX"/>
              </w:rPr>
              <w:t>listado</w:t>
            </w:r>
            <w:r w:rsidR="00D849D1">
              <w:rPr>
                <w:rFonts w:asciiTheme="majorHAnsi" w:eastAsia="Times New Roman" w:hAnsiTheme="majorHAnsi" w:cstheme="majorHAnsi"/>
                <w:sz w:val="24"/>
                <w:szCs w:val="24"/>
                <w:lang w:eastAsia="es-MX"/>
              </w:rPr>
              <w:t xml:space="preserve"> de ejecutores del gasto de conformidad </w:t>
            </w:r>
            <w:r>
              <w:rPr>
                <w:rFonts w:asciiTheme="majorHAnsi" w:eastAsia="Times New Roman" w:hAnsiTheme="majorHAnsi" w:cstheme="majorHAnsi"/>
                <w:sz w:val="24"/>
                <w:szCs w:val="24"/>
                <w:lang w:eastAsia="es-MX"/>
              </w:rPr>
              <w:t>con</w:t>
            </w:r>
            <w:r w:rsidR="00D849D1">
              <w:rPr>
                <w:rFonts w:asciiTheme="majorHAnsi" w:eastAsia="Times New Roman" w:hAnsiTheme="majorHAnsi" w:cstheme="majorHAnsi"/>
                <w:sz w:val="24"/>
                <w:szCs w:val="24"/>
                <w:lang w:eastAsia="es-MX"/>
              </w:rPr>
              <w:t xml:space="preserve"> el artículo </w:t>
            </w:r>
            <w:r w:rsidR="00D849D1" w:rsidRPr="00D849D1">
              <w:rPr>
                <w:rFonts w:asciiTheme="majorHAnsi" w:eastAsia="Times New Roman" w:hAnsiTheme="majorHAnsi" w:cstheme="majorHAnsi"/>
                <w:sz w:val="24"/>
                <w:szCs w:val="24"/>
                <w:lang w:eastAsia="es-MX"/>
              </w:rPr>
              <w:t>5 de la Ley del Presupuesto y Contabilidad Gubernamental del Estado de Yucatán</w:t>
            </w:r>
            <w:r w:rsidR="00832E9E">
              <w:rPr>
                <w:rFonts w:asciiTheme="majorHAnsi" w:eastAsia="Times New Roman" w:hAnsiTheme="majorHAnsi" w:cstheme="majorHAnsi"/>
                <w:sz w:val="24"/>
                <w:szCs w:val="24"/>
                <w:lang w:eastAsia="es-MX"/>
              </w:rPr>
              <w:t xml:space="preserve">, y </w:t>
            </w:r>
            <w:r>
              <w:rPr>
                <w:rFonts w:asciiTheme="majorHAnsi" w:eastAsia="Times New Roman" w:hAnsiTheme="majorHAnsi" w:cstheme="majorHAnsi"/>
                <w:sz w:val="24"/>
                <w:szCs w:val="24"/>
                <w:lang w:eastAsia="es-MX"/>
              </w:rPr>
              <w:t>al no estar regidos por estas disposiciones</w:t>
            </w:r>
            <w:r w:rsidR="00832E9E">
              <w:rPr>
                <w:rFonts w:asciiTheme="majorHAnsi" w:eastAsia="Times New Roman" w:hAnsiTheme="majorHAnsi" w:cstheme="majorHAnsi"/>
                <w:sz w:val="24"/>
                <w:szCs w:val="24"/>
                <w:lang w:eastAsia="es-MX"/>
              </w:rPr>
              <w:t xml:space="preserve"> no tienen la obligación de registrar sus finanzas en el </w:t>
            </w:r>
            <w:r>
              <w:rPr>
                <w:rFonts w:asciiTheme="majorHAnsi" w:eastAsia="Times New Roman" w:hAnsiTheme="majorHAnsi" w:cstheme="majorHAnsi"/>
                <w:sz w:val="24"/>
                <w:szCs w:val="24"/>
                <w:lang w:eastAsia="es-MX"/>
              </w:rPr>
              <w:t>sistema de contabilidad gubernamental; en la inteligencia que tampoco cuentan con estados financieros contables, presupuestales y programáticos conforme con lo establecido por el Consejo de Armonización Contable, tal y como refiere la presente obligación.</w:t>
            </w:r>
          </w:p>
        </w:tc>
      </w:tr>
    </w:tbl>
    <w:p w14:paraId="7EFED185" w14:textId="77777777" w:rsidR="000A0260" w:rsidRDefault="000A0260" w:rsidP="003C2A40">
      <w:pPr>
        <w:spacing w:after="160" w:line="240" w:lineRule="auto"/>
        <w:jc w:val="both"/>
        <w:rPr>
          <w:rFonts w:asciiTheme="majorHAnsi" w:eastAsia="Arial" w:hAnsiTheme="majorHAnsi" w:cstheme="majorHAnsi"/>
          <w:sz w:val="24"/>
          <w:szCs w:val="24"/>
        </w:rPr>
      </w:pPr>
    </w:p>
    <w:p w14:paraId="4AEF2C4C" w14:textId="77777777" w:rsidR="002972FC" w:rsidRPr="000A0260" w:rsidRDefault="002972FC" w:rsidP="003C2A40">
      <w:pPr>
        <w:spacing w:after="160" w:line="240" w:lineRule="auto"/>
        <w:jc w:val="both"/>
        <w:rPr>
          <w:rFonts w:asciiTheme="majorHAnsi" w:eastAsia="Arial" w:hAnsiTheme="majorHAnsi" w:cstheme="majorHAnsi"/>
          <w:sz w:val="24"/>
          <w:szCs w:val="24"/>
        </w:rPr>
      </w:pPr>
    </w:p>
    <w:p w14:paraId="7724E41B" w14:textId="77777777" w:rsidR="00C10F91" w:rsidRPr="00FC0413" w:rsidRDefault="00C10F91" w:rsidP="003C2A40">
      <w:pPr>
        <w:spacing w:after="0" w:line="240" w:lineRule="auto"/>
        <w:jc w:val="both"/>
        <w:rPr>
          <w:rFonts w:asciiTheme="majorHAnsi" w:eastAsia="Arial" w:hAnsiTheme="majorHAnsi" w:cstheme="majorHAnsi"/>
          <w:sz w:val="24"/>
          <w:szCs w:val="24"/>
        </w:rPr>
      </w:pPr>
      <w:r w:rsidRPr="00FC0413">
        <w:rPr>
          <w:rFonts w:asciiTheme="majorHAnsi" w:eastAsia="Arial" w:hAnsiTheme="majorHAnsi" w:cstheme="majorHAnsi"/>
          <w:sz w:val="24"/>
          <w:szCs w:val="24"/>
        </w:rPr>
        <w:t>En tal razón, se acuerda:</w:t>
      </w:r>
    </w:p>
    <w:p w14:paraId="5D4FE601" w14:textId="77777777" w:rsidR="00C10F91" w:rsidRPr="00FC0413" w:rsidRDefault="00C10F91" w:rsidP="003C2A40">
      <w:pPr>
        <w:spacing w:after="0" w:line="240" w:lineRule="auto"/>
        <w:jc w:val="both"/>
        <w:rPr>
          <w:rFonts w:asciiTheme="majorHAnsi" w:eastAsia="Arial" w:hAnsiTheme="majorHAnsi" w:cstheme="majorHAnsi"/>
          <w:sz w:val="24"/>
          <w:szCs w:val="24"/>
        </w:rPr>
      </w:pPr>
    </w:p>
    <w:p w14:paraId="5D379A7D" w14:textId="0100BBAF" w:rsidR="00C10F91" w:rsidRDefault="00C10F91"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PRIMERO.-</w:t>
      </w:r>
      <w:proofErr w:type="gramEnd"/>
      <w:r w:rsidRPr="00FC0413">
        <w:rPr>
          <w:rFonts w:asciiTheme="majorHAnsi" w:eastAsia="Arial" w:hAnsiTheme="majorHAnsi" w:cstheme="majorHAnsi"/>
          <w:b/>
          <w:sz w:val="24"/>
          <w:szCs w:val="24"/>
        </w:rPr>
        <w:t xml:space="preserve"> </w:t>
      </w:r>
      <w:r w:rsidR="00C87558" w:rsidRPr="00FC0413">
        <w:rPr>
          <w:rFonts w:asciiTheme="majorHAnsi" w:eastAsia="Arial" w:hAnsiTheme="majorHAnsi" w:cstheme="majorHAnsi"/>
          <w:sz w:val="24"/>
          <w:szCs w:val="24"/>
        </w:rPr>
        <w:t>Se aprueba la</w:t>
      </w:r>
      <w:r w:rsidR="00093D91" w:rsidRPr="00FC0413">
        <w:rPr>
          <w:rFonts w:asciiTheme="majorHAnsi" w:eastAsia="Arial" w:hAnsiTheme="majorHAnsi" w:cstheme="majorHAnsi"/>
          <w:sz w:val="24"/>
          <w:szCs w:val="24"/>
        </w:rPr>
        <w:t xml:space="preserve"> </w:t>
      </w:r>
      <w:r w:rsidR="00C87558" w:rsidRPr="00FC0413">
        <w:rPr>
          <w:rFonts w:asciiTheme="majorHAnsi" w:eastAsia="Arial" w:hAnsiTheme="majorHAnsi" w:cstheme="majorHAnsi"/>
          <w:sz w:val="24"/>
          <w:szCs w:val="24"/>
        </w:rPr>
        <w:t xml:space="preserve">modificación de las </w:t>
      </w:r>
      <w:r w:rsidR="00093D91" w:rsidRPr="00FC0413">
        <w:rPr>
          <w:rFonts w:asciiTheme="majorHAnsi" w:eastAsia="Arial" w:hAnsiTheme="majorHAnsi" w:cstheme="majorHAnsi"/>
          <w:sz w:val="24"/>
          <w:szCs w:val="24"/>
        </w:rPr>
        <w:t xml:space="preserve">tablas de aplicabilidad de las obligaciones de transparencia </w:t>
      </w:r>
      <w:r w:rsidR="00C87558" w:rsidRPr="00FC0413">
        <w:rPr>
          <w:rFonts w:asciiTheme="majorHAnsi" w:eastAsia="Arial" w:hAnsiTheme="majorHAnsi" w:cstheme="majorHAnsi"/>
          <w:sz w:val="24"/>
          <w:szCs w:val="24"/>
        </w:rPr>
        <w:t>comunes</w:t>
      </w:r>
      <w:r w:rsidR="00093D91" w:rsidRPr="00FC0413">
        <w:rPr>
          <w:rFonts w:asciiTheme="majorHAnsi" w:eastAsia="Arial" w:hAnsiTheme="majorHAnsi" w:cstheme="majorHAnsi"/>
          <w:sz w:val="24"/>
          <w:szCs w:val="24"/>
        </w:rPr>
        <w:t xml:space="preserve"> de los sujetos obligados</w:t>
      </w:r>
      <w:r w:rsidR="00CF777C">
        <w:rPr>
          <w:rFonts w:asciiTheme="majorHAnsi" w:eastAsia="Arial" w:hAnsiTheme="majorHAnsi" w:cstheme="majorHAnsi"/>
          <w:sz w:val="24"/>
          <w:szCs w:val="24"/>
        </w:rPr>
        <w:t xml:space="preserve"> señalados</w:t>
      </w:r>
      <w:r w:rsidR="00093D91" w:rsidRPr="00FC0413">
        <w:rPr>
          <w:rFonts w:asciiTheme="majorHAnsi" w:eastAsia="Arial" w:hAnsiTheme="majorHAnsi" w:cstheme="majorHAnsi"/>
          <w:sz w:val="24"/>
          <w:szCs w:val="24"/>
        </w:rPr>
        <w:t xml:space="preserve">, de conformidad con </w:t>
      </w:r>
      <w:r w:rsidR="0054419E" w:rsidRPr="00FC0413">
        <w:rPr>
          <w:rFonts w:asciiTheme="majorHAnsi" w:eastAsia="Arial" w:hAnsiTheme="majorHAnsi" w:cstheme="majorHAnsi"/>
          <w:sz w:val="24"/>
          <w:szCs w:val="24"/>
        </w:rPr>
        <w:t xml:space="preserve">lo señalado en </w:t>
      </w:r>
      <w:r w:rsidR="00CF777C">
        <w:rPr>
          <w:rFonts w:asciiTheme="majorHAnsi" w:eastAsia="Arial" w:hAnsiTheme="majorHAnsi" w:cstheme="majorHAnsi"/>
          <w:sz w:val="24"/>
          <w:szCs w:val="24"/>
        </w:rPr>
        <w:t>el</w:t>
      </w:r>
      <w:r w:rsidR="00093D91" w:rsidRPr="00FC0413">
        <w:rPr>
          <w:rFonts w:asciiTheme="majorHAnsi" w:eastAsia="Arial" w:hAnsiTheme="majorHAnsi" w:cstheme="majorHAnsi"/>
          <w:sz w:val="24"/>
          <w:szCs w:val="24"/>
        </w:rPr>
        <w:t xml:space="preserve"> considerando </w:t>
      </w:r>
      <w:r w:rsidR="00C87558" w:rsidRPr="00FC0413">
        <w:rPr>
          <w:rFonts w:asciiTheme="majorHAnsi" w:eastAsia="Arial" w:hAnsiTheme="majorHAnsi" w:cstheme="majorHAnsi"/>
          <w:sz w:val="24"/>
          <w:szCs w:val="24"/>
        </w:rPr>
        <w:t>cuarto</w:t>
      </w:r>
      <w:r w:rsidR="0054419E" w:rsidRPr="00FC0413">
        <w:rPr>
          <w:rFonts w:asciiTheme="majorHAnsi" w:eastAsia="Arial" w:hAnsiTheme="majorHAnsi" w:cstheme="majorHAnsi"/>
          <w:sz w:val="24"/>
          <w:szCs w:val="24"/>
        </w:rPr>
        <w:t>.</w:t>
      </w:r>
    </w:p>
    <w:p w14:paraId="6AC75912" w14:textId="77777777" w:rsidR="00D50F13" w:rsidRPr="00FC0413" w:rsidRDefault="00D50F13" w:rsidP="003C2A40">
      <w:pPr>
        <w:spacing w:after="0" w:line="240" w:lineRule="auto"/>
        <w:jc w:val="both"/>
        <w:rPr>
          <w:rFonts w:asciiTheme="majorHAnsi" w:eastAsia="Arial" w:hAnsiTheme="majorHAnsi" w:cstheme="majorHAnsi"/>
          <w:sz w:val="24"/>
          <w:szCs w:val="24"/>
        </w:rPr>
      </w:pPr>
    </w:p>
    <w:p w14:paraId="4C576DC5" w14:textId="142CE1D3" w:rsidR="00093D91" w:rsidRDefault="00930275"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SEGUNDO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los sujetos obligados </w:t>
      </w:r>
      <w:r w:rsidR="00C87558" w:rsidRPr="00FC0413">
        <w:rPr>
          <w:rFonts w:asciiTheme="majorHAnsi" w:eastAsia="Arial" w:hAnsiTheme="majorHAnsi" w:cstheme="majorHAnsi"/>
          <w:sz w:val="24"/>
          <w:szCs w:val="24"/>
        </w:rPr>
        <w:t>referidos</w:t>
      </w:r>
      <w:r w:rsidR="00093D91" w:rsidRPr="00FC0413">
        <w:rPr>
          <w:rFonts w:asciiTheme="majorHAnsi" w:eastAsia="Arial" w:hAnsiTheme="majorHAnsi" w:cstheme="majorHAnsi"/>
          <w:sz w:val="24"/>
          <w:szCs w:val="24"/>
        </w:rPr>
        <w:t xml:space="preserve">, modificar sus tablas de aplicabilidad </w:t>
      </w:r>
      <w:r w:rsidR="0004201C" w:rsidRPr="00FC0413">
        <w:rPr>
          <w:rFonts w:asciiTheme="majorHAnsi" w:eastAsia="Arial" w:hAnsiTheme="majorHAnsi" w:cstheme="majorHAnsi"/>
          <w:sz w:val="24"/>
          <w:szCs w:val="24"/>
        </w:rPr>
        <w:t xml:space="preserve">de las obligaciones de transparencia </w:t>
      </w:r>
      <w:r w:rsidR="00C87558" w:rsidRPr="00FC0413">
        <w:rPr>
          <w:rFonts w:asciiTheme="majorHAnsi" w:eastAsia="Arial" w:hAnsiTheme="majorHAnsi" w:cstheme="majorHAnsi"/>
          <w:sz w:val="24"/>
          <w:szCs w:val="24"/>
        </w:rPr>
        <w:t>comunes</w:t>
      </w:r>
      <w:r w:rsidR="0004201C" w:rsidRPr="00FC0413">
        <w:rPr>
          <w:rFonts w:asciiTheme="majorHAnsi" w:eastAsia="Arial" w:hAnsiTheme="majorHAnsi" w:cstheme="majorHAnsi"/>
          <w:sz w:val="24"/>
          <w:szCs w:val="24"/>
        </w:rPr>
        <w:t xml:space="preserve">, </w:t>
      </w:r>
      <w:r w:rsidR="00093D91" w:rsidRPr="00FC0413">
        <w:rPr>
          <w:rFonts w:asciiTheme="majorHAnsi" w:eastAsia="Arial" w:hAnsiTheme="majorHAnsi" w:cstheme="majorHAnsi"/>
          <w:sz w:val="24"/>
          <w:szCs w:val="24"/>
        </w:rPr>
        <w:t xml:space="preserve">de conformidad con lo señalado en </w:t>
      </w:r>
      <w:r w:rsidR="0054419E" w:rsidRPr="00FC0413">
        <w:rPr>
          <w:rFonts w:asciiTheme="majorHAnsi" w:eastAsia="Arial" w:hAnsiTheme="majorHAnsi" w:cstheme="majorHAnsi"/>
          <w:sz w:val="24"/>
          <w:szCs w:val="24"/>
        </w:rPr>
        <w:t xml:space="preserve">los considerandos </w:t>
      </w:r>
      <w:r w:rsidR="005C3E6D" w:rsidRPr="00FC0413">
        <w:rPr>
          <w:rFonts w:asciiTheme="majorHAnsi" w:eastAsia="Arial" w:hAnsiTheme="majorHAnsi" w:cstheme="majorHAnsi"/>
          <w:sz w:val="24"/>
          <w:szCs w:val="24"/>
        </w:rPr>
        <w:t>cuarto</w:t>
      </w:r>
      <w:r w:rsidR="00093D91" w:rsidRPr="00FC0413">
        <w:rPr>
          <w:rFonts w:asciiTheme="majorHAnsi" w:eastAsia="Arial" w:hAnsiTheme="majorHAnsi" w:cstheme="majorHAnsi"/>
          <w:sz w:val="24"/>
          <w:szCs w:val="24"/>
        </w:rPr>
        <w:t>.</w:t>
      </w:r>
    </w:p>
    <w:p w14:paraId="2A0DA930" w14:textId="77777777" w:rsidR="00D50F13" w:rsidRPr="00FC0413" w:rsidRDefault="00D50F13" w:rsidP="003C2A40">
      <w:pPr>
        <w:spacing w:after="0" w:line="240" w:lineRule="auto"/>
        <w:jc w:val="both"/>
        <w:rPr>
          <w:rFonts w:asciiTheme="majorHAnsi" w:eastAsia="Arial" w:hAnsiTheme="majorHAnsi" w:cstheme="majorHAnsi"/>
          <w:sz w:val="24"/>
          <w:szCs w:val="24"/>
        </w:rPr>
      </w:pPr>
    </w:p>
    <w:p w14:paraId="14704BAB" w14:textId="182ED469" w:rsidR="00545E0A" w:rsidRDefault="00930275" w:rsidP="003C2A40">
      <w:pPr>
        <w:spacing w:after="0" w:line="240" w:lineRule="auto"/>
        <w:jc w:val="both"/>
        <w:rPr>
          <w:rFonts w:asciiTheme="majorHAnsi" w:hAnsiTheme="majorHAnsi" w:cstheme="majorHAnsi"/>
          <w:sz w:val="24"/>
          <w:szCs w:val="24"/>
        </w:rPr>
      </w:pPr>
      <w:proofErr w:type="gramStart"/>
      <w:r w:rsidRPr="00FC0413">
        <w:rPr>
          <w:rFonts w:asciiTheme="majorHAnsi" w:eastAsia="Arial" w:hAnsiTheme="majorHAnsi" w:cstheme="majorHAnsi"/>
          <w:b/>
          <w:sz w:val="24"/>
          <w:szCs w:val="24"/>
        </w:rPr>
        <w:t>TERCERO</w:t>
      </w:r>
      <w:r w:rsidR="0050662C" w:rsidRPr="00FC0413">
        <w:rPr>
          <w:rFonts w:asciiTheme="majorHAnsi" w:eastAsia="Arial" w:hAnsiTheme="majorHAnsi" w:cstheme="majorHAnsi"/>
          <w:b/>
          <w:sz w:val="24"/>
          <w:szCs w:val="24"/>
        </w:rPr>
        <w:t>.-</w:t>
      </w:r>
      <w:proofErr w:type="gramEnd"/>
      <w:r w:rsidR="0050662C"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 xml:space="preserve">Se ordena a la </w:t>
      </w:r>
      <w:r w:rsidR="005F18C4">
        <w:rPr>
          <w:rFonts w:asciiTheme="majorHAnsi" w:eastAsia="Arial" w:hAnsiTheme="majorHAnsi" w:cstheme="majorHAnsi"/>
          <w:sz w:val="24"/>
          <w:szCs w:val="24"/>
        </w:rPr>
        <w:t xml:space="preserve">Dirección de Asuntos Jurídicos y Plenarios, para que a través de la </w:t>
      </w:r>
      <w:r w:rsidR="00CF777C">
        <w:rPr>
          <w:rFonts w:asciiTheme="majorHAnsi" w:eastAsia="Arial" w:hAnsiTheme="majorHAnsi" w:cstheme="majorHAnsi"/>
          <w:sz w:val="24"/>
          <w:szCs w:val="24"/>
        </w:rPr>
        <w:t>Subdirección de Asuntos Jurídicos y Fortalecimiento Institucional</w:t>
      </w:r>
      <w:r w:rsidR="00093D91" w:rsidRPr="00FC0413">
        <w:rPr>
          <w:rFonts w:asciiTheme="majorHAnsi" w:eastAsia="Arial" w:hAnsiTheme="majorHAnsi" w:cstheme="majorHAnsi"/>
          <w:sz w:val="24"/>
          <w:szCs w:val="24"/>
        </w:rPr>
        <w:t xml:space="preserve"> del Instituto Estatal de Transparencia, Acceso a la Información Pública y Protección de Datos Personales, notifique a los sujetos obligados </w:t>
      </w:r>
      <w:r w:rsidR="00C87558" w:rsidRPr="00FC0413">
        <w:rPr>
          <w:rFonts w:asciiTheme="majorHAnsi" w:eastAsia="Arial" w:hAnsiTheme="majorHAnsi" w:cstheme="majorHAnsi"/>
          <w:sz w:val="24"/>
          <w:szCs w:val="24"/>
        </w:rPr>
        <w:t xml:space="preserve">referidos en </w:t>
      </w:r>
      <w:r w:rsidR="00CF777C">
        <w:rPr>
          <w:rFonts w:asciiTheme="majorHAnsi" w:eastAsia="Arial" w:hAnsiTheme="majorHAnsi" w:cstheme="majorHAnsi"/>
          <w:sz w:val="24"/>
          <w:szCs w:val="24"/>
        </w:rPr>
        <w:t>el</w:t>
      </w:r>
      <w:r w:rsidR="0054419E" w:rsidRPr="00FC0413">
        <w:rPr>
          <w:rFonts w:asciiTheme="majorHAnsi" w:eastAsia="Arial" w:hAnsiTheme="majorHAnsi" w:cstheme="majorHAnsi"/>
          <w:sz w:val="24"/>
          <w:szCs w:val="24"/>
        </w:rPr>
        <w:t xml:space="preserve"> considerando cuarto</w:t>
      </w:r>
      <w:r w:rsidR="00093D91" w:rsidRPr="00FC0413">
        <w:rPr>
          <w:rFonts w:asciiTheme="majorHAnsi" w:eastAsia="Arial" w:hAnsiTheme="majorHAnsi" w:cstheme="majorHAnsi"/>
          <w:sz w:val="24"/>
          <w:szCs w:val="24"/>
        </w:rPr>
        <w:t xml:space="preserve"> el acuerdo que hoy nos ocupa</w:t>
      </w:r>
      <w:r w:rsidR="00093D91" w:rsidRPr="00FC0413">
        <w:rPr>
          <w:rFonts w:asciiTheme="majorHAnsi" w:hAnsiTheme="majorHAnsi" w:cstheme="majorHAnsi"/>
          <w:sz w:val="24"/>
          <w:szCs w:val="24"/>
        </w:rPr>
        <w:t>.</w:t>
      </w:r>
    </w:p>
    <w:p w14:paraId="1C802578" w14:textId="77777777" w:rsidR="00D50F13" w:rsidRPr="00FC0413" w:rsidRDefault="00D50F13" w:rsidP="003C2A40">
      <w:pPr>
        <w:spacing w:after="0" w:line="240" w:lineRule="auto"/>
        <w:jc w:val="both"/>
        <w:rPr>
          <w:rFonts w:asciiTheme="majorHAnsi" w:eastAsia="Arial" w:hAnsiTheme="majorHAnsi" w:cstheme="majorHAnsi"/>
          <w:sz w:val="24"/>
          <w:szCs w:val="24"/>
        </w:rPr>
      </w:pPr>
    </w:p>
    <w:p w14:paraId="141944A8" w14:textId="77777777" w:rsidR="0085476E" w:rsidRPr="00FC0413" w:rsidRDefault="00930275"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CUARTO</w:t>
      </w:r>
      <w:r w:rsidR="0085476E" w:rsidRPr="00FC0413">
        <w:rPr>
          <w:rFonts w:asciiTheme="majorHAnsi" w:eastAsia="Arial" w:hAnsiTheme="majorHAnsi" w:cstheme="majorHAnsi"/>
          <w:b/>
          <w:sz w:val="24"/>
          <w:szCs w:val="24"/>
        </w:rPr>
        <w:t>.-</w:t>
      </w:r>
      <w:proofErr w:type="gramEnd"/>
      <w:r w:rsidR="0085476E" w:rsidRPr="00FC0413">
        <w:rPr>
          <w:rFonts w:asciiTheme="majorHAnsi" w:eastAsia="Arial" w:hAnsiTheme="majorHAnsi" w:cstheme="majorHAnsi"/>
          <w:b/>
          <w:sz w:val="24"/>
          <w:szCs w:val="24"/>
        </w:rPr>
        <w:t xml:space="preserve"> </w:t>
      </w:r>
      <w:r w:rsidR="00093D91" w:rsidRPr="00FC0413">
        <w:rPr>
          <w:rFonts w:asciiTheme="majorHAnsi" w:eastAsia="Arial" w:hAnsiTheme="majorHAnsi" w:cstheme="majorHAnsi"/>
          <w:sz w:val="24"/>
          <w:szCs w:val="24"/>
        </w:rPr>
        <w:t>Publíquese en el sitio de internet de este órgano garante.</w:t>
      </w:r>
    </w:p>
    <w:p w14:paraId="1A0BE4FD" w14:textId="77777777" w:rsidR="00D50F13" w:rsidRDefault="00D50F13" w:rsidP="003C2A40">
      <w:pPr>
        <w:spacing w:after="0" w:line="240" w:lineRule="auto"/>
        <w:jc w:val="both"/>
        <w:rPr>
          <w:rFonts w:asciiTheme="majorHAnsi" w:eastAsia="Arial" w:hAnsiTheme="majorHAnsi" w:cstheme="majorHAnsi"/>
          <w:b/>
          <w:sz w:val="24"/>
          <w:szCs w:val="24"/>
        </w:rPr>
      </w:pPr>
    </w:p>
    <w:p w14:paraId="458E49F9" w14:textId="7B2A1F9E" w:rsidR="00093D91" w:rsidRPr="00FC0413" w:rsidRDefault="00093D91" w:rsidP="003C2A40">
      <w:pPr>
        <w:spacing w:after="0" w:line="240" w:lineRule="auto"/>
        <w:jc w:val="both"/>
        <w:rPr>
          <w:rFonts w:asciiTheme="majorHAnsi" w:eastAsia="Arial" w:hAnsiTheme="majorHAnsi" w:cstheme="majorHAnsi"/>
          <w:sz w:val="24"/>
          <w:szCs w:val="24"/>
        </w:rPr>
      </w:pPr>
      <w:proofErr w:type="gramStart"/>
      <w:r w:rsidRPr="00FC0413">
        <w:rPr>
          <w:rFonts w:asciiTheme="majorHAnsi" w:eastAsia="Arial" w:hAnsiTheme="majorHAnsi" w:cstheme="majorHAnsi"/>
          <w:b/>
          <w:sz w:val="24"/>
          <w:szCs w:val="24"/>
        </w:rPr>
        <w:t>QUINTO.-</w:t>
      </w:r>
      <w:proofErr w:type="gramEnd"/>
      <w:r w:rsidRPr="00FC0413">
        <w:rPr>
          <w:rFonts w:asciiTheme="majorHAnsi" w:eastAsia="Arial" w:hAnsiTheme="majorHAnsi" w:cstheme="majorHAnsi"/>
          <w:b/>
          <w:sz w:val="24"/>
          <w:szCs w:val="24"/>
        </w:rPr>
        <w:t xml:space="preserve"> </w:t>
      </w:r>
      <w:r w:rsidRPr="00FC0413">
        <w:rPr>
          <w:rFonts w:asciiTheme="majorHAnsi" w:eastAsia="Arial" w:hAnsiTheme="majorHAnsi" w:cstheme="majorHAnsi"/>
          <w:sz w:val="24"/>
          <w:szCs w:val="24"/>
        </w:rPr>
        <w:t>Cúmplase.</w:t>
      </w:r>
    </w:p>
    <w:p w14:paraId="7EB8A208" w14:textId="77777777" w:rsidR="00BB4AFB" w:rsidRDefault="00BB4AFB" w:rsidP="003C2A40">
      <w:pPr>
        <w:spacing w:after="0" w:line="240" w:lineRule="auto"/>
        <w:jc w:val="both"/>
        <w:rPr>
          <w:rFonts w:asciiTheme="majorHAnsi" w:eastAsia="Arial" w:hAnsiTheme="majorHAnsi" w:cstheme="majorHAnsi"/>
          <w:sz w:val="24"/>
          <w:szCs w:val="24"/>
        </w:rPr>
      </w:pPr>
    </w:p>
    <w:p w14:paraId="045ED6E2" w14:textId="77777777" w:rsidR="008859BE" w:rsidRPr="00FC0413" w:rsidRDefault="008859BE" w:rsidP="003C2A40">
      <w:pPr>
        <w:spacing w:after="0" w:line="240" w:lineRule="auto"/>
        <w:jc w:val="both"/>
        <w:rPr>
          <w:rFonts w:asciiTheme="majorHAnsi" w:eastAsia="Arial" w:hAnsiTheme="majorHAnsi" w:cstheme="majorHAnsi"/>
          <w:sz w:val="24"/>
          <w:szCs w:val="24"/>
        </w:rPr>
      </w:pPr>
    </w:p>
    <w:p w14:paraId="0C2CFF2D" w14:textId="77777777" w:rsidR="000E0AFA" w:rsidRPr="00FC0413" w:rsidRDefault="000E0AFA" w:rsidP="003C2A40">
      <w:pPr>
        <w:spacing w:after="0" w:line="240" w:lineRule="auto"/>
        <w:jc w:val="both"/>
        <w:rPr>
          <w:rFonts w:asciiTheme="majorHAnsi" w:eastAsia="Arial" w:hAnsiTheme="majorHAnsi" w:cstheme="majorHAnsi"/>
          <w:sz w:val="24"/>
          <w:szCs w:val="24"/>
        </w:rPr>
      </w:pPr>
    </w:p>
    <w:tbl>
      <w:tblPr>
        <w:tblW w:w="10041" w:type="dxa"/>
        <w:tblInd w:w="-593" w:type="dxa"/>
        <w:tblLook w:val="04A0" w:firstRow="1" w:lastRow="0" w:firstColumn="1" w:lastColumn="0" w:noHBand="0" w:noVBand="1"/>
      </w:tblPr>
      <w:tblGrid>
        <w:gridCol w:w="5020"/>
        <w:gridCol w:w="5021"/>
      </w:tblGrid>
      <w:tr w:rsidR="00FC0413" w14:paraId="187E5299" w14:textId="77777777" w:rsidTr="00D50F13">
        <w:trPr>
          <w:trHeight w:val="859"/>
        </w:trPr>
        <w:tc>
          <w:tcPr>
            <w:tcW w:w="10041" w:type="dxa"/>
            <w:gridSpan w:val="2"/>
            <w:hideMark/>
          </w:tcPr>
          <w:p w14:paraId="18964B45"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MTRA. MARÍA GILDA SEGOVIA CHAB</w:t>
            </w:r>
          </w:p>
          <w:p w14:paraId="58D257C7"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COMISIONADA PRESIDENTA</w:t>
            </w:r>
          </w:p>
        </w:tc>
      </w:tr>
      <w:tr w:rsidR="00FC0413" w14:paraId="68A3AF0D" w14:textId="77777777" w:rsidTr="00D50F13">
        <w:trPr>
          <w:trHeight w:val="859"/>
        </w:trPr>
        <w:tc>
          <w:tcPr>
            <w:tcW w:w="5020" w:type="dxa"/>
          </w:tcPr>
          <w:p w14:paraId="36EA2AA2" w14:textId="77777777" w:rsidR="00FC0413" w:rsidRDefault="00FC0413" w:rsidP="00D50F13">
            <w:pPr>
              <w:pStyle w:val="Sinespaciado"/>
              <w:jc w:val="center"/>
              <w:rPr>
                <w:rFonts w:ascii="Calibri Light" w:hAnsi="Calibri Light"/>
                <w:b/>
              </w:rPr>
            </w:pPr>
          </w:p>
          <w:p w14:paraId="50725F3E" w14:textId="77777777" w:rsidR="00FC0413" w:rsidRDefault="00FC0413" w:rsidP="00D50F13">
            <w:pPr>
              <w:pStyle w:val="Sinespaciado"/>
              <w:jc w:val="center"/>
              <w:rPr>
                <w:rFonts w:ascii="Calibri Light" w:hAnsi="Calibri Light"/>
                <w:b/>
              </w:rPr>
            </w:pPr>
          </w:p>
          <w:p w14:paraId="4EBCB7EC" w14:textId="77777777" w:rsidR="00FC0413" w:rsidRDefault="00FC0413" w:rsidP="00D50F13">
            <w:pPr>
              <w:pStyle w:val="Sinespaciado"/>
              <w:jc w:val="center"/>
              <w:rPr>
                <w:rFonts w:ascii="Calibri Light" w:hAnsi="Calibri Light"/>
                <w:b/>
              </w:rPr>
            </w:pPr>
          </w:p>
          <w:p w14:paraId="38E8AFE0" w14:textId="77777777" w:rsidR="00FC0413" w:rsidRDefault="00FC0413" w:rsidP="00D50F13">
            <w:pPr>
              <w:pStyle w:val="Sinespaciado"/>
              <w:jc w:val="center"/>
              <w:rPr>
                <w:rFonts w:ascii="Calibri Light" w:hAnsi="Calibri Light"/>
                <w:b/>
              </w:rPr>
            </w:pPr>
          </w:p>
          <w:p w14:paraId="51B007BB" w14:textId="77777777" w:rsidR="00FC0413" w:rsidRDefault="00FC0413" w:rsidP="00D50F13">
            <w:pPr>
              <w:pStyle w:val="Sinespaciado"/>
              <w:jc w:val="center"/>
              <w:rPr>
                <w:rFonts w:ascii="Calibri Light" w:hAnsi="Calibri Light"/>
                <w:b/>
              </w:rPr>
            </w:pPr>
          </w:p>
          <w:p w14:paraId="2B68F46D" w14:textId="0C119DAB" w:rsidR="00FC0413" w:rsidRDefault="00FC0413" w:rsidP="00D50F13">
            <w:pPr>
              <w:pStyle w:val="Sinespaciado"/>
              <w:jc w:val="center"/>
              <w:rPr>
                <w:rFonts w:ascii="Calibri Light" w:hAnsi="Calibri Light" w:cs="Calibri Light"/>
                <w:b/>
              </w:rPr>
            </w:pPr>
            <w:r>
              <w:rPr>
                <w:rFonts w:ascii="Calibri Light" w:hAnsi="Calibri Light" w:cs="Calibri Light"/>
                <w:b/>
              </w:rPr>
              <w:t>DR. ALDRIN MARTIN BRICEÑO CONRADO</w:t>
            </w:r>
          </w:p>
          <w:p w14:paraId="1A6DDF4F" w14:textId="7CC45518" w:rsidR="00FC0413" w:rsidRDefault="00FC0413" w:rsidP="00D50F13">
            <w:pPr>
              <w:pStyle w:val="Sinespaciado"/>
              <w:jc w:val="center"/>
              <w:rPr>
                <w:rFonts w:ascii="Calibri Light" w:hAnsi="Calibri Light" w:cs="Calibri Light"/>
                <w:b/>
              </w:rPr>
            </w:pPr>
            <w:r>
              <w:rPr>
                <w:rFonts w:ascii="Calibri Light" w:hAnsi="Calibri Light" w:cs="Calibri Light"/>
                <w:b/>
              </w:rPr>
              <w:t>COMISIONADO</w:t>
            </w:r>
          </w:p>
        </w:tc>
        <w:tc>
          <w:tcPr>
            <w:tcW w:w="5021" w:type="dxa"/>
          </w:tcPr>
          <w:p w14:paraId="091F7EAF" w14:textId="77777777" w:rsidR="00FC0413" w:rsidRDefault="00FC0413" w:rsidP="00D50F13">
            <w:pPr>
              <w:pStyle w:val="Sinespaciado"/>
              <w:jc w:val="center"/>
              <w:rPr>
                <w:rFonts w:ascii="Calibri Light" w:hAnsi="Calibri Light" w:cs="Calibri Light"/>
                <w:b/>
              </w:rPr>
            </w:pPr>
          </w:p>
          <w:p w14:paraId="76315BC9" w14:textId="77777777" w:rsidR="003C2A40" w:rsidRDefault="003C2A40" w:rsidP="00D50F13">
            <w:pPr>
              <w:pStyle w:val="Sinespaciado"/>
              <w:jc w:val="center"/>
              <w:rPr>
                <w:rFonts w:ascii="Calibri Light" w:hAnsi="Calibri Light" w:cs="Calibri Light"/>
                <w:b/>
              </w:rPr>
            </w:pPr>
          </w:p>
          <w:p w14:paraId="03B6221C" w14:textId="77777777" w:rsidR="003C2A40" w:rsidRDefault="003C2A40" w:rsidP="00D50F13">
            <w:pPr>
              <w:pStyle w:val="Sinespaciado"/>
              <w:jc w:val="center"/>
              <w:rPr>
                <w:rFonts w:ascii="Calibri Light" w:hAnsi="Calibri Light" w:cs="Calibri Light"/>
                <w:b/>
              </w:rPr>
            </w:pPr>
          </w:p>
          <w:p w14:paraId="184BC4A9" w14:textId="77777777" w:rsidR="00FC0413" w:rsidRDefault="00FC0413" w:rsidP="00D50F13">
            <w:pPr>
              <w:pStyle w:val="Sinespaciado"/>
              <w:jc w:val="center"/>
              <w:rPr>
                <w:rFonts w:ascii="Calibri Light" w:hAnsi="Calibri Light" w:cs="Calibri Light"/>
                <w:b/>
              </w:rPr>
            </w:pPr>
          </w:p>
          <w:p w14:paraId="2FB5483F" w14:textId="77777777" w:rsidR="003C2A40" w:rsidRDefault="003C2A40" w:rsidP="00D50F13">
            <w:pPr>
              <w:pStyle w:val="Sinespaciado"/>
              <w:jc w:val="center"/>
              <w:rPr>
                <w:rFonts w:ascii="Calibri Light" w:hAnsi="Calibri Light" w:cs="Calibri Light"/>
                <w:b/>
              </w:rPr>
            </w:pPr>
          </w:p>
          <w:p w14:paraId="2A4E8281" w14:textId="7D47347B" w:rsidR="00FC0413" w:rsidRDefault="00FC0413" w:rsidP="00D50F13">
            <w:pPr>
              <w:pStyle w:val="Sinespaciado"/>
              <w:jc w:val="center"/>
              <w:rPr>
                <w:rFonts w:ascii="Calibri Light" w:hAnsi="Calibri Light" w:cs="Calibri Light"/>
                <w:b/>
              </w:rPr>
            </w:pPr>
            <w:r>
              <w:rPr>
                <w:rFonts w:ascii="Calibri Light" w:hAnsi="Calibri Light" w:cs="Calibri Light"/>
                <w:b/>
              </w:rPr>
              <w:t>DR. CARLOS FERNANDO PAVÓN DURÁN</w:t>
            </w:r>
          </w:p>
          <w:p w14:paraId="20F16B07" w14:textId="77777777" w:rsidR="00FC0413" w:rsidRDefault="00FC0413" w:rsidP="00D50F13">
            <w:pPr>
              <w:pStyle w:val="Sinespaciado"/>
              <w:jc w:val="center"/>
              <w:rPr>
                <w:rFonts w:ascii="Calibri Light" w:hAnsi="Calibri Light" w:cs="Calibri Light"/>
                <w:b/>
              </w:rPr>
            </w:pPr>
            <w:r>
              <w:rPr>
                <w:rFonts w:ascii="Calibri Light" w:hAnsi="Calibri Light" w:cs="Calibri Light"/>
                <w:b/>
              </w:rPr>
              <w:t>COMISIONADO</w:t>
            </w:r>
          </w:p>
        </w:tc>
      </w:tr>
    </w:tbl>
    <w:p w14:paraId="6A7F78CF" w14:textId="77777777" w:rsidR="00FC0413" w:rsidRDefault="00FC0413" w:rsidP="003C2A40">
      <w:pPr>
        <w:spacing w:line="240" w:lineRule="auto"/>
        <w:jc w:val="both"/>
        <w:rPr>
          <w:rFonts w:ascii="Arial" w:hAnsi="Arial" w:cs="Arial"/>
          <w:b/>
          <w:bCs/>
          <w:lang w:val="es-ES" w:eastAsia="ar-SA"/>
        </w:rPr>
      </w:pPr>
    </w:p>
    <w:p w14:paraId="2D882764" w14:textId="77777777" w:rsidR="008A416E" w:rsidRPr="00FC0413" w:rsidRDefault="008A416E" w:rsidP="003C2A40">
      <w:pPr>
        <w:spacing w:after="0" w:line="240" w:lineRule="auto"/>
        <w:jc w:val="both"/>
        <w:rPr>
          <w:rFonts w:asciiTheme="majorHAnsi" w:hAnsiTheme="majorHAnsi" w:cstheme="majorHAnsi"/>
          <w:b/>
          <w:sz w:val="24"/>
          <w:szCs w:val="24"/>
        </w:rPr>
      </w:pPr>
    </w:p>
    <w:sectPr w:rsidR="008A416E" w:rsidRPr="00FC041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5C55" w14:textId="77777777" w:rsidR="00C53D88" w:rsidRDefault="00C53D88">
      <w:pPr>
        <w:spacing w:after="0" w:line="240" w:lineRule="auto"/>
      </w:pPr>
      <w:r>
        <w:separator/>
      </w:r>
    </w:p>
  </w:endnote>
  <w:endnote w:type="continuationSeparator" w:id="0">
    <w:p w14:paraId="0696D1CA" w14:textId="77777777" w:rsidR="00C53D88" w:rsidRDefault="00C5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EndPr/>
    <w:sdtContent>
      <w:p w14:paraId="6C2A8C7C" w14:textId="77777777" w:rsidR="00E108F4" w:rsidRDefault="00E31254" w:rsidP="00BB4AFB">
        <w:pPr>
          <w:pStyle w:val="Piedepgina"/>
          <w:jc w:val="right"/>
        </w:pPr>
        <w:r>
          <w:fldChar w:fldCharType="begin"/>
        </w:r>
        <w:r w:rsidR="00E108F4">
          <w:instrText xml:space="preserve"> PAGE   \* MERGEFORMAT </w:instrText>
        </w:r>
        <w:r>
          <w:fldChar w:fldCharType="separate"/>
        </w:r>
        <w:r w:rsidR="00F6631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619B7" w14:textId="77777777" w:rsidR="00C53D88" w:rsidRDefault="00C53D88">
      <w:pPr>
        <w:spacing w:after="0" w:line="240" w:lineRule="auto"/>
      </w:pPr>
      <w:r>
        <w:separator/>
      </w:r>
    </w:p>
  </w:footnote>
  <w:footnote w:type="continuationSeparator" w:id="0">
    <w:p w14:paraId="60D33B12" w14:textId="77777777" w:rsidR="00C53D88" w:rsidRDefault="00C5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109EE"/>
    <w:rsid w:val="00110C15"/>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3E09"/>
    <w:rsid w:val="001744A7"/>
    <w:rsid w:val="00176082"/>
    <w:rsid w:val="001809D9"/>
    <w:rsid w:val="00181101"/>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972FC"/>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1361"/>
    <w:rsid w:val="00332C69"/>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A40"/>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57AD0"/>
    <w:rsid w:val="0046034C"/>
    <w:rsid w:val="004607DB"/>
    <w:rsid w:val="004634F1"/>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B71"/>
    <w:rsid w:val="005F2FB9"/>
    <w:rsid w:val="005F3418"/>
    <w:rsid w:val="00601076"/>
    <w:rsid w:val="006029DC"/>
    <w:rsid w:val="00604B18"/>
    <w:rsid w:val="00604FFA"/>
    <w:rsid w:val="0060633B"/>
    <w:rsid w:val="006065C1"/>
    <w:rsid w:val="00606985"/>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55A2"/>
    <w:rsid w:val="00647639"/>
    <w:rsid w:val="006476EF"/>
    <w:rsid w:val="00652091"/>
    <w:rsid w:val="00657BBD"/>
    <w:rsid w:val="00657BBF"/>
    <w:rsid w:val="00660632"/>
    <w:rsid w:val="006656F6"/>
    <w:rsid w:val="00670F83"/>
    <w:rsid w:val="00671C05"/>
    <w:rsid w:val="00673CCF"/>
    <w:rsid w:val="006772C5"/>
    <w:rsid w:val="00677BA1"/>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D5ED9"/>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2E9E"/>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B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E614C"/>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491B"/>
    <w:rsid w:val="00B46B78"/>
    <w:rsid w:val="00B5141E"/>
    <w:rsid w:val="00B523F3"/>
    <w:rsid w:val="00B5250D"/>
    <w:rsid w:val="00B54AE7"/>
    <w:rsid w:val="00B56B19"/>
    <w:rsid w:val="00B60444"/>
    <w:rsid w:val="00B62EFB"/>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4B6"/>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0F13"/>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179C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631B"/>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1068</Words>
  <Characters>5875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SAJYFI</cp:lastModifiedBy>
  <cp:revision>15</cp:revision>
  <cp:lastPrinted>2023-07-14T17:43:00Z</cp:lastPrinted>
  <dcterms:created xsi:type="dcterms:W3CDTF">2023-07-07T20:16:00Z</dcterms:created>
  <dcterms:modified xsi:type="dcterms:W3CDTF">2023-07-14T17:43:00Z</dcterms:modified>
</cp:coreProperties>
</file>