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24280" w14:textId="072959F3" w:rsidR="002D5EF7" w:rsidRPr="00AB5E5F" w:rsidRDefault="00F73917" w:rsidP="00F50FE0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AB5E5F">
        <w:rPr>
          <w:rFonts w:asciiTheme="majorHAnsi" w:hAnsiTheme="majorHAnsi" w:cstheme="majorHAnsi"/>
          <w:b/>
          <w:bCs/>
          <w:sz w:val="24"/>
          <w:szCs w:val="24"/>
        </w:rPr>
        <w:t xml:space="preserve">Protocolo para la prevención, atención y sanción del hostigamiento sexual y acoso sexual en el </w:t>
      </w:r>
      <w:r w:rsidR="002D5EF7" w:rsidRPr="00AB5E5F">
        <w:rPr>
          <w:rFonts w:asciiTheme="majorHAnsi" w:hAnsiTheme="majorHAnsi" w:cstheme="majorHAnsi"/>
          <w:b/>
          <w:bCs/>
          <w:sz w:val="24"/>
          <w:szCs w:val="24"/>
        </w:rPr>
        <w:t>Inaip</w:t>
      </w:r>
      <w:r w:rsidRPr="00AB5E5F">
        <w:rPr>
          <w:rFonts w:asciiTheme="majorHAnsi" w:hAnsiTheme="majorHAnsi" w:cstheme="majorHAnsi"/>
          <w:b/>
          <w:bCs/>
          <w:sz w:val="24"/>
          <w:szCs w:val="24"/>
        </w:rPr>
        <w:t xml:space="preserve"> Yucatán</w:t>
      </w:r>
    </w:p>
    <w:p w14:paraId="586C7154" w14:textId="77777777" w:rsidR="002D5EF7" w:rsidRPr="00AB5E5F" w:rsidRDefault="002D5EF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6AC28D30" w14:textId="44AF65C5" w:rsidR="00AB68FD" w:rsidRPr="00AB5E5F" w:rsidRDefault="00F73917" w:rsidP="00F50FE0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AB5E5F">
        <w:rPr>
          <w:rFonts w:asciiTheme="majorHAnsi" w:hAnsiTheme="majorHAnsi" w:cstheme="majorHAnsi"/>
          <w:b/>
          <w:bCs/>
          <w:sz w:val="24"/>
          <w:szCs w:val="24"/>
        </w:rPr>
        <w:t>Capítulo I</w:t>
      </w:r>
    </w:p>
    <w:p w14:paraId="0778477D" w14:textId="0008C036" w:rsidR="002D5EF7" w:rsidRPr="00AB5E5F" w:rsidRDefault="00F73917" w:rsidP="00F50FE0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AB5E5F">
        <w:rPr>
          <w:rFonts w:asciiTheme="majorHAnsi" w:hAnsiTheme="majorHAnsi" w:cstheme="majorHAnsi"/>
          <w:b/>
          <w:bCs/>
          <w:sz w:val="24"/>
          <w:szCs w:val="24"/>
        </w:rPr>
        <w:t>Disposiciones generales</w:t>
      </w:r>
    </w:p>
    <w:p w14:paraId="7E9EF674" w14:textId="77777777" w:rsidR="002D5EF7" w:rsidRPr="00AB5E5F" w:rsidRDefault="002D5EF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p w14:paraId="6581A057" w14:textId="77777777" w:rsidR="002D5EF7" w:rsidRPr="00AB5E5F" w:rsidRDefault="00F73917" w:rsidP="00F50FE0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B5E5F">
        <w:rPr>
          <w:rFonts w:asciiTheme="majorHAnsi" w:hAnsiTheme="majorHAnsi" w:cstheme="majorHAnsi"/>
          <w:b/>
          <w:bCs/>
          <w:sz w:val="24"/>
          <w:szCs w:val="24"/>
        </w:rPr>
        <w:t xml:space="preserve">1. Objeto </w:t>
      </w:r>
    </w:p>
    <w:p w14:paraId="499550D9" w14:textId="5F0EB9BF" w:rsidR="002D5EF7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 xml:space="preserve">Este protocolo tiene por objeto implementar de </w:t>
      </w:r>
      <w:r w:rsidR="008543CE" w:rsidRPr="00AB5E5F">
        <w:rPr>
          <w:rFonts w:asciiTheme="majorHAnsi" w:hAnsiTheme="majorHAnsi" w:cstheme="majorHAnsi"/>
          <w:sz w:val="24"/>
          <w:szCs w:val="24"/>
        </w:rPr>
        <w:t xml:space="preserve">manera </w:t>
      </w:r>
      <w:r w:rsidRPr="00AB5E5F">
        <w:rPr>
          <w:rFonts w:asciiTheme="majorHAnsi" w:hAnsiTheme="majorHAnsi" w:cstheme="majorHAnsi"/>
          <w:sz w:val="24"/>
          <w:szCs w:val="24"/>
        </w:rPr>
        <w:t>efectiva, los procedimientos de actuación para prevenir</w:t>
      </w:r>
      <w:r w:rsidR="006902AC" w:rsidRPr="00AB5E5F">
        <w:rPr>
          <w:rFonts w:asciiTheme="majorHAnsi" w:hAnsiTheme="majorHAnsi" w:cstheme="majorHAnsi"/>
          <w:sz w:val="24"/>
          <w:szCs w:val="24"/>
        </w:rPr>
        <w:t>,</w:t>
      </w:r>
      <w:r w:rsidRPr="00AB5E5F">
        <w:rPr>
          <w:rFonts w:asciiTheme="majorHAnsi" w:hAnsiTheme="majorHAnsi" w:cstheme="majorHAnsi"/>
          <w:sz w:val="24"/>
          <w:szCs w:val="24"/>
        </w:rPr>
        <w:t xml:space="preserve"> atender y sancionar el hostigamiento sexual y el acoso sexual </w:t>
      </w:r>
      <w:r w:rsidR="002D5EF7" w:rsidRPr="00AB5E5F">
        <w:rPr>
          <w:rFonts w:asciiTheme="majorHAnsi" w:hAnsiTheme="majorHAnsi" w:cstheme="majorHAnsi"/>
          <w:sz w:val="24"/>
          <w:szCs w:val="24"/>
        </w:rPr>
        <w:t>al interior del Inaip Yucatán</w:t>
      </w:r>
      <w:r w:rsidRPr="00AB5E5F">
        <w:rPr>
          <w:rFonts w:asciiTheme="majorHAnsi" w:hAnsiTheme="majorHAnsi" w:cstheme="majorHAnsi"/>
          <w:sz w:val="24"/>
          <w:szCs w:val="24"/>
        </w:rPr>
        <w:t>.</w:t>
      </w:r>
    </w:p>
    <w:p w14:paraId="76762964" w14:textId="77777777" w:rsidR="00F50FE0" w:rsidRPr="00AB5E5F" w:rsidRDefault="00F50FE0" w:rsidP="00F50FE0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25B15D6A" w14:textId="3F3F3236" w:rsidR="002D5EF7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b/>
          <w:bCs/>
          <w:sz w:val="24"/>
          <w:szCs w:val="24"/>
        </w:rPr>
        <w:t>2. Objetivos específicos</w:t>
      </w:r>
      <w:r w:rsidR="002D5EF7" w:rsidRPr="00AB5E5F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Pr="00AB5E5F">
        <w:rPr>
          <w:rFonts w:asciiTheme="majorHAnsi" w:hAnsiTheme="majorHAnsi" w:cstheme="majorHAnsi"/>
          <w:sz w:val="24"/>
          <w:szCs w:val="24"/>
        </w:rPr>
        <w:t xml:space="preserve"> Este protocolo tendrá los siguientes objetivos: </w:t>
      </w:r>
    </w:p>
    <w:p w14:paraId="65EA4CD2" w14:textId="77777777" w:rsidR="006902AC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 xml:space="preserve">I. Establecer medidas específicas para prevenir conductas de hostigamiento sexual y acoso sexual en </w:t>
      </w:r>
      <w:r w:rsidR="006902AC" w:rsidRPr="00AB5E5F">
        <w:rPr>
          <w:rFonts w:asciiTheme="majorHAnsi" w:hAnsiTheme="majorHAnsi" w:cstheme="majorHAnsi"/>
          <w:sz w:val="24"/>
          <w:szCs w:val="24"/>
        </w:rPr>
        <w:t>el Inaip Yucatán,</w:t>
      </w:r>
      <w:r w:rsidRPr="00AB5E5F">
        <w:rPr>
          <w:rFonts w:asciiTheme="majorHAnsi" w:hAnsiTheme="majorHAnsi" w:cstheme="majorHAnsi"/>
          <w:sz w:val="24"/>
          <w:szCs w:val="24"/>
        </w:rPr>
        <w:t xml:space="preserve"> y promover una cultura institucional de igualdad de género y un clima laboral libre de violencia. </w:t>
      </w:r>
    </w:p>
    <w:p w14:paraId="417A78E2" w14:textId="2B9F3D75" w:rsidR="006902AC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>II. Definir mecanismos para orientar</w:t>
      </w:r>
      <w:r w:rsidR="008543CE" w:rsidRPr="00AB5E5F">
        <w:rPr>
          <w:rFonts w:asciiTheme="majorHAnsi" w:hAnsiTheme="majorHAnsi" w:cstheme="majorHAnsi"/>
          <w:sz w:val="24"/>
          <w:szCs w:val="24"/>
        </w:rPr>
        <w:t>,</w:t>
      </w:r>
      <w:r w:rsidRPr="00AB5E5F">
        <w:rPr>
          <w:rFonts w:asciiTheme="majorHAnsi" w:hAnsiTheme="majorHAnsi" w:cstheme="majorHAnsi"/>
          <w:sz w:val="24"/>
          <w:szCs w:val="24"/>
        </w:rPr>
        <w:t xml:space="preserve"> y en su caso, acompañar ante las autoridades competentes a la presunta víctima de hostigamiento sexual y acoso sexual.</w:t>
      </w:r>
    </w:p>
    <w:p w14:paraId="4AAC0ADA" w14:textId="77777777" w:rsidR="006902AC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 xml:space="preserve">III. Establecer el procedimiento que permita brindar a la presunta víctima de hostigamiento sexual y acoso sexual un acompañamiento especializado, que propicie el adecuado acceso a la justicia. </w:t>
      </w:r>
    </w:p>
    <w:p w14:paraId="574002E3" w14:textId="46DA0D84" w:rsidR="006902AC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 xml:space="preserve">IV. Señalar las vías e instancias competentes al interior </w:t>
      </w:r>
      <w:r w:rsidR="006902AC" w:rsidRPr="00AB5E5F">
        <w:rPr>
          <w:rFonts w:asciiTheme="majorHAnsi" w:hAnsiTheme="majorHAnsi" w:cstheme="majorHAnsi"/>
          <w:sz w:val="24"/>
          <w:szCs w:val="24"/>
        </w:rPr>
        <w:t>del Inaip Yucatán</w:t>
      </w:r>
      <w:r w:rsidRPr="00AB5E5F">
        <w:rPr>
          <w:rFonts w:asciiTheme="majorHAnsi" w:hAnsiTheme="majorHAnsi" w:cstheme="majorHAnsi"/>
          <w:sz w:val="24"/>
          <w:szCs w:val="24"/>
        </w:rPr>
        <w:t>, que pueden conocer</w:t>
      </w:r>
      <w:r w:rsidR="008543CE" w:rsidRPr="00AB5E5F">
        <w:rPr>
          <w:rFonts w:asciiTheme="majorHAnsi" w:hAnsiTheme="majorHAnsi" w:cstheme="majorHAnsi"/>
          <w:sz w:val="24"/>
          <w:szCs w:val="24"/>
        </w:rPr>
        <w:t>,</w:t>
      </w:r>
      <w:r w:rsidRPr="00AB5E5F">
        <w:rPr>
          <w:rFonts w:asciiTheme="majorHAnsi" w:hAnsiTheme="majorHAnsi" w:cstheme="majorHAnsi"/>
          <w:sz w:val="24"/>
          <w:szCs w:val="24"/>
        </w:rPr>
        <w:t xml:space="preserve"> y en su caso, investigar o sancionar el hostigamiento sexual y acoso sexual. </w:t>
      </w:r>
    </w:p>
    <w:p w14:paraId="6A7C9BA9" w14:textId="6925360A" w:rsidR="002D5EF7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 xml:space="preserve">V. Contar con el registro de los casos de hostigamiento sexual y acoso sexual en el </w:t>
      </w:r>
      <w:r w:rsidR="008543CE" w:rsidRPr="00AB5E5F">
        <w:rPr>
          <w:rFonts w:asciiTheme="majorHAnsi" w:hAnsiTheme="majorHAnsi" w:cstheme="majorHAnsi"/>
          <w:sz w:val="24"/>
          <w:szCs w:val="24"/>
        </w:rPr>
        <w:t>Inaip Yucatán</w:t>
      </w:r>
      <w:r w:rsidRPr="00AB5E5F">
        <w:rPr>
          <w:rFonts w:asciiTheme="majorHAnsi" w:hAnsiTheme="majorHAnsi" w:cstheme="majorHAnsi"/>
          <w:sz w:val="24"/>
          <w:szCs w:val="24"/>
        </w:rPr>
        <w:t>, que permitan su análisis para implementar acciones de mejora que las inhiban y erradiquen.</w:t>
      </w:r>
    </w:p>
    <w:p w14:paraId="6F496C66" w14:textId="77777777" w:rsidR="00F50FE0" w:rsidRPr="00AB5E5F" w:rsidRDefault="00F50FE0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68053A2C" w14:textId="2E1ED11F" w:rsidR="006902AC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b/>
          <w:bCs/>
          <w:sz w:val="24"/>
          <w:szCs w:val="24"/>
        </w:rPr>
        <w:t>3. Definiciones</w:t>
      </w:r>
      <w:r w:rsidR="006902AC" w:rsidRPr="00AB5E5F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6902AC" w:rsidRPr="00AB5E5F">
        <w:rPr>
          <w:rFonts w:asciiTheme="majorHAnsi" w:hAnsiTheme="majorHAnsi" w:cstheme="majorHAnsi"/>
          <w:sz w:val="24"/>
          <w:szCs w:val="24"/>
        </w:rPr>
        <w:t xml:space="preserve"> </w:t>
      </w:r>
      <w:r w:rsidRPr="00AB5E5F">
        <w:rPr>
          <w:rFonts w:asciiTheme="majorHAnsi" w:hAnsiTheme="majorHAnsi" w:cstheme="majorHAnsi"/>
          <w:sz w:val="24"/>
          <w:szCs w:val="24"/>
        </w:rPr>
        <w:t xml:space="preserve">Para los efectos de este protocolo, se entenderá por: </w:t>
      </w:r>
    </w:p>
    <w:p w14:paraId="18A2ECB5" w14:textId="77777777" w:rsidR="006902AC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 xml:space="preserve">I. Acoso sexual: la forma de violencia con connotación lasciva en la que, si bien no existe la subordinación, hay un ejercicio abusivo de poder que conlleva a un estado de indefensión y de riesgo para la víctima, independientemente de que se realice en uno o varios eventos. </w:t>
      </w:r>
    </w:p>
    <w:p w14:paraId="1682368C" w14:textId="1C8915B5" w:rsidR="006902AC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 xml:space="preserve">II. Capacitación: el proceso mediante el cual el </w:t>
      </w:r>
      <w:r w:rsidR="00174BE4" w:rsidRPr="00AB5E5F">
        <w:rPr>
          <w:rFonts w:asciiTheme="majorHAnsi" w:hAnsiTheme="majorHAnsi" w:cstheme="majorHAnsi"/>
          <w:sz w:val="24"/>
          <w:szCs w:val="24"/>
        </w:rPr>
        <w:t>servidor público</w:t>
      </w:r>
      <w:r w:rsidRPr="00AB5E5F">
        <w:rPr>
          <w:rFonts w:asciiTheme="majorHAnsi" w:hAnsiTheme="majorHAnsi" w:cstheme="majorHAnsi"/>
          <w:sz w:val="24"/>
          <w:szCs w:val="24"/>
        </w:rPr>
        <w:t xml:space="preserve"> es inducido, preparado, formado y actualizado para el eficiente desempeño de sus funciones y su desarrollo profesional y, cuando corresponda, para contribuir a la certificación de capacidades profesionales o competencias.</w:t>
      </w:r>
    </w:p>
    <w:p w14:paraId="1063987A" w14:textId="2B111B59" w:rsidR="006902AC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  <w:highlight w:val="green"/>
        </w:rPr>
      </w:pPr>
      <w:r w:rsidRPr="00AB5E5F">
        <w:rPr>
          <w:rFonts w:asciiTheme="majorHAnsi" w:hAnsiTheme="majorHAnsi" w:cstheme="majorHAnsi"/>
          <w:sz w:val="24"/>
          <w:szCs w:val="24"/>
        </w:rPr>
        <w:t>III. Comité: el comité de ética</w:t>
      </w:r>
      <w:r w:rsidR="00D270EB" w:rsidRPr="00AB5E5F">
        <w:rPr>
          <w:rFonts w:asciiTheme="majorHAnsi" w:hAnsiTheme="majorHAnsi" w:cstheme="majorHAnsi"/>
          <w:sz w:val="24"/>
          <w:szCs w:val="24"/>
        </w:rPr>
        <w:t xml:space="preserve"> del Inaip Yucatán</w:t>
      </w:r>
      <w:r w:rsidRPr="00AB5E5F">
        <w:rPr>
          <w:rFonts w:asciiTheme="majorHAnsi" w:hAnsiTheme="majorHAnsi" w:cstheme="majorHAnsi"/>
          <w:sz w:val="24"/>
          <w:szCs w:val="24"/>
        </w:rPr>
        <w:t>.</w:t>
      </w:r>
    </w:p>
    <w:p w14:paraId="0C1C2DF1" w14:textId="0FDC5224" w:rsidR="006902AC" w:rsidRPr="00AB5E5F" w:rsidRDefault="00607BED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>IV</w:t>
      </w:r>
      <w:r w:rsidR="00F73917" w:rsidRPr="00AB5E5F">
        <w:rPr>
          <w:rFonts w:asciiTheme="majorHAnsi" w:hAnsiTheme="majorHAnsi" w:cstheme="majorHAnsi"/>
          <w:sz w:val="24"/>
          <w:szCs w:val="24"/>
        </w:rPr>
        <w:t>. Conflicto de interés: la afectación del desempeño imparcial y objetivo de las funciones de los servidores públicos en razón de intereses personales, familiares o de negocios.</w:t>
      </w:r>
    </w:p>
    <w:p w14:paraId="1F86A4EE" w14:textId="1247F0A5" w:rsidR="006902AC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lastRenderedPageBreak/>
        <w:t xml:space="preserve">V. Denuncia: la manifestación de hechos presuntamente irregulares que implican hostigamiento sexual o acoso sexual que se hacen del conocimiento de la autoridad por la presunta víctima o por un tercero, en los que se encuentran involucradas servidoras y servidores públicos en ejercicio de sus funciones. </w:t>
      </w:r>
    </w:p>
    <w:p w14:paraId="5262C14E" w14:textId="0C3007D0" w:rsidR="006902AC" w:rsidRPr="00AB5E5F" w:rsidRDefault="00D270EB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>VI</w:t>
      </w:r>
      <w:r w:rsidR="00F73917" w:rsidRPr="00AB5E5F">
        <w:rPr>
          <w:rFonts w:asciiTheme="majorHAnsi" w:hAnsiTheme="majorHAnsi" w:cstheme="majorHAnsi"/>
          <w:sz w:val="24"/>
          <w:szCs w:val="24"/>
        </w:rPr>
        <w:t xml:space="preserve">. Formación: el proceso educativo, aplicado de manera sistemática y organizada, a través del cual se adquieren conocimientos, aptitudes, actitudes y habilidades para optimizar y potencializar el desempeño y desarrollo de servidoras y servidores públicos. </w:t>
      </w:r>
    </w:p>
    <w:p w14:paraId="30774464" w14:textId="1F3AF55B" w:rsidR="006902AC" w:rsidRPr="00AB5E5F" w:rsidRDefault="00607BED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>VII</w:t>
      </w:r>
      <w:r w:rsidR="00F73917" w:rsidRPr="00AB5E5F">
        <w:rPr>
          <w:rFonts w:asciiTheme="majorHAnsi" w:hAnsiTheme="majorHAnsi" w:cstheme="majorHAnsi"/>
          <w:sz w:val="24"/>
          <w:szCs w:val="24"/>
        </w:rPr>
        <w:t xml:space="preserve">. Hostigamiento sexual: el ejercicio del poder, en una relación de subordinación real de la víctima frente al agresor en </w:t>
      </w:r>
      <w:r w:rsidR="00D270EB" w:rsidRPr="00AB5E5F">
        <w:rPr>
          <w:rFonts w:asciiTheme="majorHAnsi" w:hAnsiTheme="majorHAnsi" w:cstheme="majorHAnsi"/>
          <w:sz w:val="24"/>
          <w:szCs w:val="24"/>
        </w:rPr>
        <w:t xml:space="preserve">el </w:t>
      </w:r>
      <w:r w:rsidR="00F73917" w:rsidRPr="00AB5E5F">
        <w:rPr>
          <w:rFonts w:asciiTheme="majorHAnsi" w:hAnsiTheme="majorHAnsi" w:cstheme="majorHAnsi"/>
          <w:sz w:val="24"/>
          <w:szCs w:val="24"/>
        </w:rPr>
        <w:t xml:space="preserve">ámbito laboral, sean estas conductas verbales, físicas o ambas, relacionadas con la sexualidad de connotación lasciva. </w:t>
      </w:r>
    </w:p>
    <w:p w14:paraId="68237AF6" w14:textId="6155D951" w:rsidR="006902AC" w:rsidRPr="00AB5E5F" w:rsidRDefault="00607BED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>VIII</w:t>
      </w:r>
      <w:r w:rsidR="00F73917" w:rsidRPr="00AB5E5F">
        <w:rPr>
          <w:rFonts w:asciiTheme="majorHAnsi" w:hAnsiTheme="majorHAnsi" w:cstheme="majorHAnsi"/>
          <w:sz w:val="24"/>
          <w:szCs w:val="24"/>
        </w:rPr>
        <w:t>. In</w:t>
      </w:r>
      <w:r w:rsidR="00D270EB" w:rsidRPr="00AB5E5F">
        <w:rPr>
          <w:rFonts w:asciiTheme="majorHAnsi" w:hAnsiTheme="majorHAnsi" w:cstheme="majorHAnsi"/>
          <w:sz w:val="24"/>
          <w:szCs w:val="24"/>
        </w:rPr>
        <w:t>aip Yucatán</w:t>
      </w:r>
      <w:r w:rsidR="00F73917" w:rsidRPr="00AB5E5F">
        <w:rPr>
          <w:rFonts w:asciiTheme="majorHAnsi" w:hAnsiTheme="majorHAnsi" w:cstheme="majorHAnsi"/>
          <w:sz w:val="24"/>
          <w:szCs w:val="24"/>
        </w:rPr>
        <w:t xml:space="preserve">: el </w:t>
      </w:r>
      <w:r w:rsidR="00D270EB" w:rsidRPr="00AB5E5F">
        <w:rPr>
          <w:rFonts w:asciiTheme="majorHAnsi" w:hAnsiTheme="majorHAnsi" w:cstheme="majorHAnsi"/>
          <w:sz w:val="24"/>
          <w:szCs w:val="24"/>
        </w:rPr>
        <w:t>Instituto Estatal de Transparencia, Acceso a la Información Pública y Protección de Datos Personales</w:t>
      </w:r>
      <w:r w:rsidR="00F73917" w:rsidRPr="00AB5E5F">
        <w:rPr>
          <w:rFonts w:asciiTheme="majorHAnsi" w:hAnsiTheme="majorHAnsi" w:cstheme="majorHAnsi"/>
          <w:sz w:val="24"/>
          <w:szCs w:val="24"/>
        </w:rPr>
        <w:t>.</w:t>
      </w:r>
    </w:p>
    <w:p w14:paraId="549626B9" w14:textId="60438A9F" w:rsidR="00D270EB" w:rsidRPr="00AB5E5F" w:rsidRDefault="00607BED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>I</w:t>
      </w:r>
      <w:r w:rsidR="00F73917" w:rsidRPr="00AB5E5F">
        <w:rPr>
          <w:rFonts w:asciiTheme="majorHAnsi" w:hAnsiTheme="majorHAnsi" w:cstheme="majorHAnsi"/>
          <w:sz w:val="24"/>
          <w:szCs w:val="24"/>
        </w:rPr>
        <w:t xml:space="preserve">X. </w:t>
      </w:r>
      <w:r w:rsidR="00D270EB" w:rsidRPr="00AB5E5F">
        <w:rPr>
          <w:rFonts w:asciiTheme="majorHAnsi" w:hAnsiTheme="majorHAnsi" w:cstheme="majorHAnsi"/>
          <w:sz w:val="24"/>
          <w:szCs w:val="24"/>
        </w:rPr>
        <w:t>Órgano de Control Interno: Órgano de Control Interno del Inaip Yucatán.</w:t>
      </w:r>
    </w:p>
    <w:p w14:paraId="7CC1FCA3" w14:textId="50C63BD9" w:rsidR="006902AC" w:rsidRPr="00AB5E5F" w:rsidRDefault="00D270EB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 xml:space="preserve">X. </w:t>
      </w:r>
      <w:r w:rsidR="00F73917" w:rsidRPr="00AB5E5F">
        <w:rPr>
          <w:rFonts w:asciiTheme="majorHAnsi" w:hAnsiTheme="majorHAnsi" w:cstheme="majorHAnsi"/>
          <w:sz w:val="24"/>
          <w:szCs w:val="24"/>
        </w:rPr>
        <w:t xml:space="preserve">Perspectiva de género: La visión científica, analítica y política sobre las mujeres y los hombres, que busca eliminar las causas de la opresión de género como la desigualdad, la injusticia y la jerarquización de las personas basada en el género. </w:t>
      </w:r>
    </w:p>
    <w:p w14:paraId="34C874FF" w14:textId="04A8C48B" w:rsidR="006902AC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>X</w:t>
      </w:r>
      <w:r w:rsidR="00D270EB" w:rsidRPr="00AB5E5F">
        <w:rPr>
          <w:rFonts w:asciiTheme="majorHAnsi" w:hAnsiTheme="majorHAnsi" w:cstheme="majorHAnsi"/>
          <w:sz w:val="24"/>
          <w:szCs w:val="24"/>
        </w:rPr>
        <w:t>I</w:t>
      </w:r>
      <w:r w:rsidRPr="00AB5E5F">
        <w:rPr>
          <w:rFonts w:asciiTheme="majorHAnsi" w:hAnsiTheme="majorHAnsi" w:cstheme="majorHAnsi"/>
          <w:sz w:val="24"/>
          <w:szCs w:val="24"/>
        </w:rPr>
        <w:t xml:space="preserve">. Presunta víctima: la persona que ha sido afectada directa o indirectamente en su esfera jurídica al ser objeto de un presunto hostigamiento sexual o acoso sexual. </w:t>
      </w:r>
    </w:p>
    <w:p w14:paraId="0AABAE29" w14:textId="6D35B5E9" w:rsidR="006902AC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>XI</w:t>
      </w:r>
      <w:r w:rsidR="00607BED" w:rsidRPr="00AB5E5F">
        <w:rPr>
          <w:rFonts w:asciiTheme="majorHAnsi" w:hAnsiTheme="majorHAnsi" w:cstheme="majorHAnsi"/>
          <w:sz w:val="24"/>
          <w:szCs w:val="24"/>
        </w:rPr>
        <w:t>I</w:t>
      </w:r>
      <w:r w:rsidRPr="00AB5E5F">
        <w:rPr>
          <w:rFonts w:asciiTheme="majorHAnsi" w:hAnsiTheme="majorHAnsi" w:cstheme="majorHAnsi"/>
          <w:sz w:val="24"/>
          <w:szCs w:val="24"/>
        </w:rPr>
        <w:t>. Primer contacto: el momento dentro de</w:t>
      </w:r>
      <w:r w:rsidR="00D270EB" w:rsidRPr="00AB5E5F">
        <w:rPr>
          <w:rFonts w:asciiTheme="majorHAnsi" w:hAnsiTheme="majorHAnsi" w:cstheme="majorHAnsi"/>
          <w:sz w:val="24"/>
          <w:szCs w:val="24"/>
        </w:rPr>
        <w:t>l Inaip Yucatán</w:t>
      </w:r>
      <w:r w:rsidRPr="00AB5E5F">
        <w:rPr>
          <w:rFonts w:asciiTheme="majorHAnsi" w:hAnsiTheme="majorHAnsi" w:cstheme="majorHAnsi"/>
          <w:sz w:val="24"/>
          <w:szCs w:val="24"/>
        </w:rPr>
        <w:t xml:space="preserve">, preferentemente ante la persona consejera, en que la presunta víctima de hostigamiento sexual y acoso sexual, recibe orientación precisa y libre de prejuicios, sobre las vías e instancias en dónde se atienda su caso. </w:t>
      </w:r>
    </w:p>
    <w:p w14:paraId="4B78402B" w14:textId="686571AD" w:rsidR="00D270EB" w:rsidRPr="00AB5E5F" w:rsidRDefault="00607BED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>XIII</w:t>
      </w:r>
      <w:r w:rsidR="00F73917" w:rsidRPr="00AB5E5F">
        <w:rPr>
          <w:rFonts w:asciiTheme="majorHAnsi" w:hAnsiTheme="majorHAnsi" w:cstheme="majorHAnsi"/>
          <w:sz w:val="24"/>
          <w:szCs w:val="24"/>
        </w:rPr>
        <w:t xml:space="preserve">. Registro: el Registro de los casos de hostigamiento sexual y acoso sexual en el servicio público </w:t>
      </w:r>
      <w:r w:rsidR="00D270EB" w:rsidRPr="00AB5E5F">
        <w:rPr>
          <w:rFonts w:asciiTheme="majorHAnsi" w:hAnsiTheme="majorHAnsi" w:cstheme="majorHAnsi"/>
          <w:sz w:val="24"/>
          <w:szCs w:val="24"/>
        </w:rPr>
        <w:t>al Interior del Inaip Yucatán</w:t>
      </w:r>
      <w:r w:rsidR="00F73917" w:rsidRPr="00AB5E5F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288F5684" w14:textId="662C67AA" w:rsidR="006902AC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>X</w:t>
      </w:r>
      <w:r w:rsidR="00607BED" w:rsidRPr="00AB5E5F">
        <w:rPr>
          <w:rFonts w:asciiTheme="majorHAnsi" w:hAnsiTheme="majorHAnsi" w:cstheme="majorHAnsi"/>
          <w:sz w:val="24"/>
          <w:szCs w:val="24"/>
        </w:rPr>
        <w:t>I</w:t>
      </w:r>
      <w:r w:rsidR="00D270EB" w:rsidRPr="00AB5E5F">
        <w:rPr>
          <w:rFonts w:asciiTheme="majorHAnsi" w:hAnsiTheme="majorHAnsi" w:cstheme="majorHAnsi"/>
          <w:sz w:val="24"/>
          <w:szCs w:val="24"/>
        </w:rPr>
        <w:t>V</w:t>
      </w:r>
      <w:r w:rsidRPr="00AB5E5F">
        <w:rPr>
          <w:rFonts w:asciiTheme="majorHAnsi" w:hAnsiTheme="majorHAnsi" w:cstheme="majorHAnsi"/>
          <w:sz w:val="24"/>
          <w:szCs w:val="24"/>
        </w:rPr>
        <w:t xml:space="preserve">. Sensibilización: la primera etapa de la formación en materia de prevención, atención y sanción del hostigamiento sexual y acoso sexual, en la que se incluyen los conocimientos generales, normativos y su relación con la perspectiva de género. </w:t>
      </w:r>
    </w:p>
    <w:p w14:paraId="22CC023B" w14:textId="078DE89B" w:rsidR="006902AC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>X</w:t>
      </w:r>
      <w:r w:rsidR="00D270EB" w:rsidRPr="00AB5E5F">
        <w:rPr>
          <w:rFonts w:asciiTheme="majorHAnsi" w:hAnsiTheme="majorHAnsi" w:cstheme="majorHAnsi"/>
          <w:sz w:val="24"/>
          <w:szCs w:val="24"/>
        </w:rPr>
        <w:t>V</w:t>
      </w:r>
      <w:r w:rsidRPr="00AB5E5F">
        <w:rPr>
          <w:rFonts w:asciiTheme="majorHAnsi" w:hAnsiTheme="majorHAnsi" w:cstheme="majorHAnsi"/>
          <w:sz w:val="24"/>
          <w:szCs w:val="24"/>
        </w:rPr>
        <w:t xml:space="preserve">. Servidora o servidor público: la persona que desempeñe un empleo, cargo o comisión de cualquier naturaleza en </w:t>
      </w:r>
      <w:r w:rsidR="00BF28B4" w:rsidRPr="00AB5E5F">
        <w:rPr>
          <w:rFonts w:asciiTheme="majorHAnsi" w:hAnsiTheme="majorHAnsi" w:cstheme="majorHAnsi"/>
          <w:sz w:val="24"/>
          <w:szCs w:val="24"/>
        </w:rPr>
        <w:t>el Inaip Yucatán</w:t>
      </w:r>
      <w:r w:rsidRPr="00AB5E5F">
        <w:rPr>
          <w:rFonts w:asciiTheme="majorHAnsi" w:hAnsiTheme="majorHAnsi" w:cstheme="majorHAnsi"/>
          <w:sz w:val="24"/>
          <w:szCs w:val="24"/>
        </w:rPr>
        <w:t>.</w:t>
      </w:r>
    </w:p>
    <w:p w14:paraId="4DC94700" w14:textId="77777777" w:rsidR="00F50FE0" w:rsidRPr="00AB5E5F" w:rsidRDefault="00F50FE0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14FACFBB" w14:textId="6ED07299" w:rsidR="006902AC" w:rsidRPr="00AB5E5F" w:rsidRDefault="00F73917" w:rsidP="00F50FE0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B5E5F">
        <w:rPr>
          <w:rFonts w:asciiTheme="majorHAnsi" w:hAnsiTheme="majorHAnsi" w:cstheme="majorHAnsi"/>
          <w:b/>
          <w:bCs/>
          <w:sz w:val="24"/>
          <w:szCs w:val="24"/>
        </w:rPr>
        <w:t>4. Aplicación</w:t>
      </w:r>
    </w:p>
    <w:p w14:paraId="0FC9E0F3" w14:textId="53970795" w:rsidR="00C329A3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 xml:space="preserve">La aplicación de este protocolo deberá realizarse sin perjuicio del cumplimiento de las disposiciones jurídicas que </w:t>
      </w:r>
      <w:r w:rsidR="00F50FE0" w:rsidRPr="00AB5E5F">
        <w:rPr>
          <w:rFonts w:asciiTheme="majorHAnsi" w:hAnsiTheme="majorHAnsi" w:cstheme="majorHAnsi"/>
          <w:sz w:val="24"/>
          <w:szCs w:val="24"/>
        </w:rPr>
        <w:t>el Inaip Yucatán</w:t>
      </w:r>
      <w:r w:rsidRPr="00AB5E5F">
        <w:rPr>
          <w:rFonts w:asciiTheme="majorHAnsi" w:hAnsiTheme="majorHAnsi" w:cstheme="majorHAnsi"/>
          <w:sz w:val="24"/>
          <w:szCs w:val="24"/>
        </w:rPr>
        <w:t xml:space="preserve"> tiene que observar en los procedimientos para la imposición de sanciones en materia laboral</w:t>
      </w:r>
      <w:r w:rsidR="00F50FE0" w:rsidRPr="00AB5E5F">
        <w:rPr>
          <w:rFonts w:asciiTheme="majorHAnsi" w:hAnsiTheme="majorHAnsi" w:cstheme="majorHAnsi"/>
          <w:sz w:val="24"/>
          <w:szCs w:val="24"/>
        </w:rPr>
        <w:t xml:space="preserve"> o</w:t>
      </w:r>
      <w:r w:rsidRPr="00AB5E5F">
        <w:rPr>
          <w:rFonts w:asciiTheme="majorHAnsi" w:hAnsiTheme="majorHAnsi" w:cstheme="majorHAnsi"/>
          <w:sz w:val="24"/>
          <w:szCs w:val="24"/>
        </w:rPr>
        <w:t xml:space="preserve"> administrativa. La inobservancia de alguna de las previsiones contenidas en este protocolo, no afectará por sí misma la validez jurídica de los actos a que se refiere este artículo.</w:t>
      </w:r>
    </w:p>
    <w:p w14:paraId="7D17170D" w14:textId="77777777" w:rsidR="00F50FE0" w:rsidRPr="00AB5E5F" w:rsidRDefault="00F50FE0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2485A0C6" w14:textId="3DB5A8BC" w:rsidR="00F50FE0" w:rsidRPr="00AB5E5F" w:rsidRDefault="00F73917" w:rsidP="00F50FE0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B5E5F">
        <w:rPr>
          <w:rFonts w:asciiTheme="majorHAnsi" w:hAnsiTheme="majorHAnsi" w:cstheme="majorHAnsi"/>
          <w:b/>
          <w:bCs/>
          <w:sz w:val="24"/>
          <w:szCs w:val="24"/>
        </w:rPr>
        <w:lastRenderedPageBreak/>
        <w:t xml:space="preserve">5. Promoción de acciones </w:t>
      </w:r>
    </w:p>
    <w:p w14:paraId="2B1DB5C4" w14:textId="0B00B541" w:rsidR="00C329A3" w:rsidRPr="00AB5E5F" w:rsidRDefault="00F50FE0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>El Inaip Yucatán</w:t>
      </w:r>
      <w:r w:rsidR="00F73917" w:rsidRPr="00AB5E5F">
        <w:rPr>
          <w:rFonts w:asciiTheme="majorHAnsi" w:hAnsiTheme="majorHAnsi" w:cstheme="majorHAnsi"/>
          <w:sz w:val="24"/>
          <w:szCs w:val="24"/>
        </w:rPr>
        <w:t xml:space="preserve"> llevará a cabo acciones para promover el respeto, la prevención, la protección, la sanción y el ejercicio efectivo de los derechos de las personas, especialmente cuando estas sean presuntas víctimas de hostigamiento sexual o acoso sexual en el desempeño o con motivo de su empleo, cargo, comisión o funciones en el servicio público o al acudir a solicitar un trámite o un servicio público a</w:t>
      </w:r>
      <w:r w:rsidRPr="00AB5E5F">
        <w:rPr>
          <w:rFonts w:asciiTheme="majorHAnsi" w:hAnsiTheme="majorHAnsi" w:cstheme="majorHAnsi"/>
          <w:sz w:val="24"/>
          <w:szCs w:val="24"/>
        </w:rPr>
        <w:t>l Inaip Yucatán</w:t>
      </w:r>
      <w:r w:rsidR="00F73917" w:rsidRPr="00AB5E5F">
        <w:rPr>
          <w:rFonts w:asciiTheme="majorHAnsi" w:hAnsiTheme="majorHAnsi" w:cstheme="majorHAnsi"/>
          <w:sz w:val="24"/>
          <w:szCs w:val="24"/>
        </w:rPr>
        <w:t>.</w:t>
      </w:r>
    </w:p>
    <w:p w14:paraId="1036B66C" w14:textId="77777777" w:rsidR="00F50FE0" w:rsidRPr="00AB5E5F" w:rsidRDefault="00F50FE0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7A82D5A7" w14:textId="79DC36FE" w:rsidR="00F50FE0" w:rsidRPr="00AB5E5F" w:rsidRDefault="00F73917" w:rsidP="00F50FE0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B5E5F">
        <w:rPr>
          <w:rFonts w:asciiTheme="majorHAnsi" w:hAnsiTheme="majorHAnsi" w:cstheme="majorHAnsi"/>
          <w:b/>
          <w:bCs/>
          <w:sz w:val="24"/>
          <w:szCs w:val="24"/>
        </w:rPr>
        <w:t>6. Información reservada</w:t>
      </w:r>
    </w:p>
    <w:p w14:paraId="0FAFE38D" w14:textId="6654E1F6" w:rsidR="00F50FE0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 xml:space="preserve">La información que se obtenga, genere o resguarde por </w:t>
      </w:r>
      <w:r w:rsidR="00F50FE0" w:rsidRPr="00AB5E5F">
        <w:rPr>
          <w:rFonts w:asciiTheme="majorHAnsi" w:hAnsiTheme="majorHAnsi" w:cstheme="majorHAnsi"/>
          <w:sz w:val="24"/>
          <w:szCs w:val="24"/>
        </w:rPr>
        <w:t>el Inaip Yucatán</w:t>
      </w:r>
      <w:r w:rsidRPr="00AB5E5F">
        <w:rPr>
          <w:rFonts w:asciiTheme="majorHAnsi" w:hAnsiTheme="majorHAnsi" w:cstheme="majorHAnsi"/>
          <w:sz w:val="24"/>
          <w:szCs w:val="24"/>
        </w:rPr>
        <w:t xml:space="preserve"> con motivo de la aplicación de este protocolo, estará sujeta a lo establecido en las</w:t>
      </w:r>
      <w:r w:rsidR="00F50FE0" w:rsidRPr="00AB5E5F">
        <w:rPr>
          <w:rFonts w:asciiTheme="majorHAnsi" w:hAnsiTheme="majorHAnsi" w:cstheme="majorHAnsi"/>
          <w:sz w:val="24"/>
          <w:szCs w:val="24"/>
        </w:rPr>
        <w:t xml:space="preserve"> leyes generales y estatales de </w:t>
      </w:r>
      <w:r w:rsidRPr="00AB5E5F">
        <w:rPr>
          <w:rFonts w:asciiTheme="majorHAnsi" w:hAnsiTheme="majorHAnsi" w:cstheme="majorHAnsi"/>
          <w:sz w:val="24"/>
          <w:szCs w:val="24"/>
        </w:rPr>
        <w:t xml:space="preserve">las materias de transparencia, acceso a la información pública, protección de datos personales, archivos y demás disposiciones legales aplicables. </w:t>
      </w:r>
    </w:p>
    <w:p w14:paraId="1A019F68" w14:textId="77777777" w:rsidR="00F50FE0" w:rsidRPr="00AB5E5F" w:rsidRDefault="00F50FE0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03AB4E70" w14:textId="1B51539E" w:rsidR="00F50FE0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 xml:space="preserve">El nombre de la presunta víctima por hostigamiento sexual o acoso sexual tendrá el carácter de información confidencial para evitar que se agrave su condición o se exponga a sufrir un nuevo daño por este tipo de conductas, así como el nombre de la persona denunciada, en tanto no se emita una resolución. </w:t>
      </w:r>
    </w:p>
    <w:p w14:paraId="64D67D6A" w14:textId="77777777" w:rsidR="00F50FE0" w:rsidRPr="00AB5E5F" w:rsidRDefault="00F50FE0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60BA8D44" w14:textId="4B4D0570" w:rsidR="00F50FE0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 xml:space="preserve">La información que se genere con base en su agrupación para fines estadísticos, de análisis, proyecciones o que resulte meramente informativa, será pública siempre y cuando se asegure la disociación de datos personales. </w:t>
      </w:r>
    </w:p>
    <w:p w14:paraId="06878671" w14:textId="77777777" w:rsidR="00F50FE0" w:rsidRPr="00AB5E5F" w:rsidRDefault="00F50FE0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3F00CC7C" w14:textId="139642A6" w:rsidR="00F50FE0" w:rsidRPr="00AB5E5F" w:rsidRDefault="00F73917" w:rsidP="00F50FE0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B5E5F">
        <w:rPr>
          <w:rFonts w:asciiTheme="majorHAnsi" w:hAnsiTheme="majorHAnsi" w:cstheme="majorHAnsi"/>
          <w:b/>
          <w:bCs/>
          <w:sz w:val="24"/>
          <w:szCs w:val="24"/>
        </w:rPr>
        <w:t xml:space="preserve">7. Interpretación </w:t>
      </w:r>
    </w:p>
    <w:p w14:paraId="44A76686" w14:textId="77777777" w:rsidR="00F50FE0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 xml:space="preserve">En la interpretación y aplicación de este protocolo, se priorizará la no revictimización y se deberán considerar los siguientes principios: </w:t>
      </w:r>
    </w:p>
    <w:p w14:paraId="4642E972" w14:textId="200E57C4" w:rsidR="00F50FE0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 xml:space="preserve">I. </w:t>
      </w:r>
      <w:r w:rsidR="00AB5E5F">
        <w:rPr>
          <w:rFonts w:asciiTheme="majorHAnsi" w:hAnsiTheme="majorHAnsi" w:cstheme="majorHAnsi"/>
          <w:sz w:val="24"/>
          <w:szCs w:val="24"/>
        </w:rPr>
        <w:t>Cero</w:t>
      </w:r>
      <w:r w:rsidRPr="00AB5E5F">
        <w:rPr>
          <w:rFonts w:asciiTheme="majorHAnsi" w:hAnsiTheme="majorHAnsi" w:cstheme="majorHAnsi"/>
          <w:sz w:val="24"/>
          <w:szCs w:val="24"/>
        </w:rPr>
        <w:t xml:space="preserve"> tolerancia </w:t>
      </w:r>
      <w:r w:rsidR="00AB5E5F">
        <w:rPr>
          <w:rFonts w:asciiTheme="majorHAnsi" w:hAnsiTheme="majorHAnsi" w:cstheme="majorHAnsi"/>
          <w:sz w:val="24"/>
          <w:szCs w:val="24"/>
        </w:rPr>
        <w:t>a</w:t>
      </w:r>
      <w:r w:rsidRPr="00AB5E5F">
        <w:rPr>
          <w:rFonts w:asciiTheme="majorHAnsi" w:hAnsiTheme="majorHAnsi" w:cstheme="majorHAnsi"/>
          <w:sz w:val="24"/>
          <w:szCs w:val="24"/>
        </w:rPr>
        <w:t xml:space="preserve"> las conductas de hostigamiento sexual y acoso sexual. </w:t>
      </w:r>
    </w:p>
    <w:p w14:paraId="6E3CED9C" w14:textId="7BA36411" w:rsidR="00F50FE0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 xml:space="preserve">II. Igualdad de género. </w:t>
      </w:r>
    </w:p>
    <w:p w14:paraId="4CA562CE" w14:textId="77777777" w:rsidR="00F50FE0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 xml:space="preserve">III. Confidencialidad. </w:t>
      </w:r>
    </w:p>
    <w:p w14:paraId="5BDA5089" w14:textId="77777777" w:rsidR="00F50FE0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 xml:space="preserve">IV. Presunción de inocencia. </w:t>
      </w:r>
    </w:p>
    <w:p w14:paraId="69DD9468" w14:textId="77777777" w:rsidR="00F50FE0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 xml:space="preserve">V. Respeto, protección y garantía de la dignidad. </w:t>
      </w:r>
    </w:p>
    <w:p w14:paraId="500D56F7" w14:textId="77777777" w:rsidR="00F50FE0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 xml:space="preserve">VI. Prohibición de represalias. </w:t>
      </w:r>
    </w:p>
    <w:p w14:paraId="40EA775D" w14:textId="77777777" w:rsidR="00F50FE0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 xml:space="preserve">VII. Integridad personal. </w:t>
      </w:r>
    </w:p>
    <w:p w14:paraId="4AECE5AC" w14:textId="77777777" w:rsidR="00F50FE0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 xml:space="preserve">VIII. Debida diligencia. </w:t>
      </w:r>
    </w:p>
    <w:p w14:paraId="499B9BAF" w14:textId="77777777" w:rsidR="00F50FE0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 xml:space="preserve">IX. Pro persona. </w:t>
      </w:r>
    </w:p>
    <w:p w14:paraId="0332FDA0" w14:textId="77777777" w:rsidR="00F50FE0" w:rsidRPr="00AB5E5F" w:rsidRDefault="00F50FE0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174647FA" w14:textId="183D5001" w:rsidR="00F50FE0" w:rsidRPr="00AB5E5F" w:rsidRDefault="00F73917" w:rsidP="00F50FE0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B5E5F">
        <w:rPr>
          <w:rFonts w:asciiTheme="majorHAnsi" w:hAnsiTheme="majorHAnsi" w:cstheme="majorHAnsi"/>
          <w:b/>
          <w:bCs/>
          <w:sz w:val="24"/>
          <w:szCs w:val="24"/>
        </w:rPr>
        <w:t xml:space="preserve">8. Salvaguarda </w:t>
      </w:r>
    </w:p>
    <w:p w14:paraId="268C09B4" w14:textId="51608E08" w:rsidR="00C260AA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lastRenderedPageBreak/>
        <w:t>En el desempeño de los empleos, cargos, comisiones o funciones del servicio público dentro de</w:t>
      </w:r>
      <w:r w:rsidR="00C260AA" w:rsidRPr="00AB5E5F">
        <w:rPr>
          <w:rFonts w:asciiTheme="majorHAnsi" w:hAnsiTheme="majorHAnsi" w:cstheme="majorHAnsi"/>
          <w:sz w:val="24"/>
          <w:szCs w:val="24"/>
        </w:rPr>
        <w:t>l Inaip Yucatán,</w:t>
      </w:r>
      <w:r w:rsidRPr="00AB5E5F">
        <w:rPr>
          <w:rFonts w:asciiTheme="majorHAnsi" w:hAnsiTheme="majorHAnsi" w:cstheme="majorHAnsi"/>
          <w:sz w:val="24"/>
          <w:szCs w:val="24"/>
        </w:rPr>
        <w:t xml:space="preserve"> se deberá velar por la salvaguarda de la integridad y dignidad de las personas. Entre otras acciones de naturaleza análoga, la servidora o servidor público deberá abstenerse en el ejercicio de sus funciones de realizar las conductas de hostigamiento sexual y acoso sexual descritas en este protocolo y en </w:t>
      </w:r>
      <w:r w:rsidR="008543CE" w:rsidRPr="00AB5E5F">
        <w:rPr>
          <w:rFonts w:asciiTheme="majorHAnsi" w:hAnsiTheme="majorHAnsi" w:cstheme="majorHAnsi"/>
          <w:sz w:val="24"/>
          <w:szCs w:val="24"/>
        </w:rPr>
        <w:t>los</w:t>
      </w:r>
      <w:r w:rsidRPr="00AB5E5F">
        <w:rPr>
          <w:rFonts w:asciiTheme="majorHAnsi" w:hAnsiTheme="majorHAnsi" w:cstheme="majorHAnsi"/>
          <w:sz w:val="24"/>
          <w:szCs w:val="24"/>
        </w:rPr>
        <w:t xml:space="preserve"> código</w:t>
      </w:r>
      <w:r w:rsidR="008543CE" w:rsidRPr="00AB5E5F">
        <w:rPr>
          <w:rFonts w:asciiTheme="majorHAnsi" w:hAnsiTheme="majorHAnsi" w:cstheme="majorHAnsi"/>
          <w:sz w:val="24"/>
          <w:szCs w:val="24"/>
        </w:rPr>
        <w:t>s</w:t>
      </w:r>
      <w:r w:rsidRPr="00AB5E5F">
        <w:rPr>
          <w:rFonts w:asciiTheme="majorHAnsi" w:hAnsiTheme="majorHAnsi" w:cstheme="majorHAnsi"/>
          <w:sz w:val="24"/>
          <w:szCs w:val="24"/>
        </w:rPr>
        <w:t xml:space="preserve"> de ética</w:t>
      </w:r>
      <w:r w:rsidR="008543CE" w:rsidRPr="00AB5E5F">
        <w:rPr>
          <w:rFonts w:asciiTheme="majorHAnsi" w:hAnsiTheme="majorHAnsi" w:cstheme="majorHAnsi"/>
          <w:sz w:val="24"/>
          <w:szCs w:val="24"/>
        </w:rPr>
        <w:t xml:space="preserve"> y de conducta</w:t>
      </w:r>
      <w:r w:rsidRPr="00AB5E5F">
        <w:rPr>
          <w:rFonts w:asciiTheme="majorHAnsi" w:hAnsiTheme="majorHAnsi" w:cstheme="majorHAnsi"/>
          <w:sz w:val="24"/>
          <w:szCs w:val="24"/>
        </w:rPr>
        <w:t>.</w:t>
      </w:r>
    </w:p>
    <w:p w14:paraId="3DF63270" w14:textId="77777777" w:rsidR="00C260AA" w:rsidRPr="00AB5E5F" w:rsidRDefault="00C260AA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0E9BD196" w14:textId="359F67C8" w:rsidR="00C260AA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 xml:space="preserve">Cualquier persona podrá presentar denuncias ante el comité cuando se vulnere </w:t>
      </w:r>
      <w:r w:rsidR="00CC483B" w:rsidRPr="00AB5E5F">
        <w:rPr>
          <w:rFonts w:asciiTheme="majorHAnsi" w:hAnsiTheme="majorHAnsi" w:cstheme="majorHAnsi"/>
          <w:sz w:val="24"/>
          <w:szCs w:val="24"/>
        </w:rPr>
        <w:t>el</w:t>
      </w:r>
      <w:r w:rsidRPr="00AB5E5F">
        <w:rPr>
          <w:rFonts w:asciiTheme="majorHAnsi" w:hAnsiTheme="majorHAnsi" w:cstheme="majorHAnsi"/>
          <w:sz w:val="24"/>
          <w:szCs w:val="24"/>
        </w:rPr>
        <w:t xml:space="preserve"> código de ética.</w:t>
      </w:r>
    </w:p>
    <w:p w14:paraId="1FE9B22A" w14:textId="77777777" w:rsidR="00C260AA" w:rsidRPr="00AB5E5F" w:rsidRDefault="00C260AA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0AEB80A0" w14:textId="77777777" w:rsidR="00C260AA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b/>
          <w:bCs/>
          <w:sz w:val="24"/>
          <w:szCs w:val="24"/>
        </w:rPr>
        <w:t>9. Supletoriedad</w:t>
      </w:r>
      <w:r w:rsidRPr="00AB5E5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3E30043" w14:textId="6D05A076" w:rsidR="005658B1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>En todo caso, se observarán las previsiones, reglas y pautas de actuación contenidas en la Ley de Acceso de las Mujeres a una Vida Libre de Violencia del Estado de Yucatán, la Ley para la Igualdad entre Mujeres y Hombres en Yucatán, la Ley para Prevenir y Eliminar la Discriminación en el Estado de Yucatán, y las disposiciones jurídicas aplicables en materia de responsabilidades administrativas.</w:t>
      </w:r>
    </w:p>
    <w:p w14:paraId="5FEFC26B" w14:textId="77777777" w:rsidR="005658B1" w:rsidRPr="00AB5E5F" w:rsidRDefault="005658B1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06EF6C5C" w14:textId="2A1CA6B2" w:rsidR="00AB68FD" w:rsidRPr="00AB5E5F" w:rsidRDefault="00F73917" w:rsidP="00F50FE0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B5E5F">
        <w:rPr>
          <w:rFonts w:asciiTheme="majorHAnsi" w:hAnsiTheme="majorHAnsi" w:cstheme="majorHAnsi"/>
          <w:b/>
          <w:bCs/>
          <w:sz w:val="24"/>
          <w:szCs w:val="24"/>
        </w:rPr>
        <w:t>10. Interpretación</w:t>
      </w:r>
    </w:p>
    <w:p w14:paraId="63192059" w14:textId="4CD0C506" w:rsidR="00AB68FD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>La interpretación para efectos administrativos y la atención de los casos no previstos en el protocolo</w:t>
      </w:r>
      <w:r w:rsidR="00AB68FD" w:rsidRPr="00AB5E5F">
        <w:rPr>
          <w:rFonts w:asciiTheme="majorHAnsi" w:hAnsiTheme="majorHAnsi" w:cstheme="majorHAnsi"/>
          <w:sz w:val="24"/>
          <w:szCs w:val="24"/>
        </w:rPr>
        <w:t>,</w:t>
      </w:r>
      <w:r w:rsidRPr="00AB5E5F">
        <w:rPr>
          <w:rFonts w:asciiTheme="majorHAnsi" w:hAnsiTheme="majorHAnsi" w:cstheme="majorHAnsi"/>
          <w:sz w:val="24"/>
          <w:szCs w:val="24"/>
        </w:rPr>
        <w:t xml:space="preserve"> </w:t>
      </w:r>
      <w:r w:rsidR="00AB68FD" w:rsidRPr="00AB5E5F">
        <w:rPr>
          <w:rFonts w:asciiTheme="majorHAnsi" w:hAnsiTheme="majorHAnsi" w:cstheme="majorHAnsi"/>
          <w:sz w:val="24"/>
          <w:szCs w:val="24"/>
        </w:rPr>
        <w:t xml:space="preserve">le </w:t>
      </w:r>
      <w:r w:rsidRPr="00AB5E5F">
        <w:rPr>
          <w:rFonts w:asciiTheme="majorHAnsi" w:hAnsiTheme="majorHAnsi" w:cstheme="majorHAnsi"/>
          <w:sz w:val="24"/>
          <w:szCs w:val="24"/>
        </w:rPr>
        <w:t xml:space="preserve">corresponderán </w:t>
      </w:r>
      <w:r w:rsidR="00AB68FD" w:rsidRPr="00AB5E5F">
        <w:rPr>
          <w:rFonts w:asciiTheme="majorHAnsi" w:hAnsiTheme="majorHAnsi" w:cstheme="majorHAnsi"/>
          <w:sz w:val="24"/>
          <w:szCs w:val="24"/>
        </w:rPr>
        <w:t>al Pleno del Inaip Yucatán</w:t>
      </w:r>
      <w:r w:rsidRPr="00AB5E5F">
        <w:rPr>
          <w:rFonts w:asciiTheme="majorHAnsi" w:hAnsiTheme="majorHAnsi" w:cstheme="majorHAnsi"/>
          <w:sz w:val="24"/>
          <w:szCs w:val="24"/>
        </w:rPr>
        <w:t>.</w:t>
      </w:r>
    </w:p>
    <w:p w14:paraId="1722CF4E" w14:textId="77777777" w:rsidR="00AB68FD" w:rsidRPr="00AB5E5F" w:rsidRDefault="00AB68FD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654FA557" w14:textId="3B86EE99" w:rsidR="00AB68FD" w:rsidRPr="00AB5E5F" w:rsidRDefault="00F73917" w:rsidP="00F50FE0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B5E5F">
        <w:rPr>
          <w:rFonts w:asciiTheme="majorHAnsi" w:hAnsiTheme="majorHAnsi" w:cstheme="majorHAnsi"/>
          <w:b/>
          <w:bCs/>
          <w:sz w:val="24"/>
          <w:szCs w:val="24"/>
        </w:rPr>
        <w:t>11. Promoción y vigilancia</w:t>
      </w:r>
    </w:p>
    <w:p w14:paraId="26339A3D" w14:textId="09CEA032" w:rsidR="00AB68FD" w:rsidRPr="00AB5E5F" w:rsidRDefault="00AB68FD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 xml:space="preserve">La </w:t>
      </w:r>
      <w:r w:rsidR="00256A73">
        <w:rPr>
          <w:rFonts w:asciiTheme="majorHAnsi" w:hAnsiTheme="majorHAnsi" w:cstheme="majorHAnsi"/>
          <w:sz w:val="24"/>
          <w:szCs w:val="24"/>
        </w:rPr>
        <w:t>Unidad de Igualdad de Género</w:t>
      </w:r>
      <w:r w:rsidRPr="00AB5E5F">
        <w:rPr>
          <w:rFonts w:asciiTheme="majorHAnsi" w:hAnsiTheme="majorHAnsi" w:cstheme="majorHAnsi"/>
          <w:sz w:val="24"/>
          <w:szCs w:val="24"/>
        </w:rPr>
        <w:t xml:space="preserve"> del Inaip Yucatán,</w:t>
      </w:r>
      <w:r w:rsidR="00F73917" w:rsidRPr="00AB5E5F">
        <w:rPr>
          <w:rFonts w:asciiTheme="majorHAnsi" w:hAnsiTheme="majorHAnsi" w:cstheme="majorHAnsi"/>
          <w:sz w:val="24"/>
          <w:szCs w:val="24"/>
        </w:rPr>
        <w:t xml:space="preserve"> promoverá la observancia del protocolo </w:t>
      </w:r>
      <w:r w:rsidRPr="00AB5E5F">
        <w:rPr>
          <w:rFonts w:asciiTheme="majorHAnsi" w:hAnsiTheme="majorHAnsi" w:cstheme="majorHAnsi"/>
          <w:sz w:val="24"/>
          <w:szCs w:val="24"/>
        </w:rPr>
        <w:t>y el Órgano de Control Interno</w:t>
      </w:r>
      <w:r w:rsidR="00F73917" w:rsidRPr="00AB5E5F">
        <w:rPr>
          <w:rFonts w:asciiTheme="majorHAnsi" w:hAnsiTheme="majorHAnsi" w:cstheme="majorHAnsi"/>
          <w:sz w:val="24"/>
          <w:szCs w:val="24"/>
        </w:rPr>
        <w:t xml:space="preserve">, vigilará su observancia. </w:t>
      </w:r>
    </w:p>
    <w:p w14:paraId="32DA22D6" w14:textId="77777777" w:rsidR="00AB68FD" w:rsidRPr="00AB5E5F" w:rsidRDefault="00AB68FD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4237D493" w14:textId="77777777" w:rsidR="00AB68FD" w:rsidRPr="00AB5E5F" w:rsidRDefault="00F73917" w:rsidP="00AB68FD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AB5E5F">
        <w:rPr>
          <w:rFonts w:asciiTheme="majorHAnsi" w:hAnsiTheme="majorHAnsi" w:cstheme="majorHAnsi"/>
          <w:b/>
          <w:bCs/>
          <w:sz w:val="24"/>
          <w:szCs w:val="24"/>
        </w:rPr>
        <w:t>Capítulo II</w:t>
      </w:r>
    </w:p>
    <w:p w14:paraId="7B7319C6" w14:textId="06E5BD2A" w:rsidR="00AB68FD" w:rsidRPr="00AB5E5F" w:rsidRDefault="00F73917" w:rsidP="00AB68FD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AB5E5F">
        <w:rPr>
          <w:rFonts w:asciiTheme="majorHAnsi" w:hAnsiTheme="majorHAnsi" w:cstheme="majorHAnsi"/>
          <w:b/>
          <w:bCs/>
          <w:sz w:val="24"/>
          <w:szCs w:val="24"/>
        </w:rPr>
        <w:t>Prevención de conductas de hostigamiento sexual y acoso sexual</w:t>
      </w:r>
    </w:p>
    <w:p w14:paraId="59D4AACB" w14:textId="77777777" w:rsidR="00AB68FD" w:rsidRPr="00AB5E5F" w:rsidRDefault="00AB68FD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5F028DDA" w14:textId="77777777" w:rsidR="00AB68FD" w:rsidRPr="00AB5E5F" w:rsidRDefault="00F73917" w:rsidP="00AB68FD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AB5E5F">
        <w:rPr>
          <w:rFonts w:asciiTheme="majorHAnsi" w:hAnsiTheme="majorHAnsi" w:cstheme="majorHAnsi"/>
          <w:b/>
          <w:bCs/>
          <w:sz w:val="24"/>
          <w:szCs w:val="24"/>
        </w:rPr>
        <w:t xml:space="preserve">Sección primera </w:t>
      </w:r>
    </w:p>
    <w:p w14:paraId="44898331" w14:textId="4ACABEB2" w:rsidR="00AB68FD" w:rsidRPr="00AB5E5F" w:rsidRDefault="00F73917" w:rsidP="00AB68FD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AB5E5F">
        <w:rPr>
          <w:rFonts w:asciiTheme="majorHAnsi" w:hAnsiTheme="majorHAnsi" w:cstheme="majorHAnsi"/>
          <w:b/>
          <w:bCs/>
          <w:sz w:val="24"/>
          <w:szCs w:val="24"/>
        </w:rPr>
        <w:t>Acciones específicas de prevención</w:t>
      </w:r>
    </w:p>
    <w:p w14:paraId="03506EAD" w14:textId="77777777" w:rsidR="00AB68FD" w:rsidRPr="00AB5E5F" w:rsidRDefault="00AB68FD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0BD0A136" w14:textId="0D3D6D71" w:rsidR="00AB68FD" w:rsidRPr="00AB5E5F" w:rsidRDefault="00F73917" w:rsidP="00F50FE0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B5E5F">
        <w:rPr>
          <w:rFonts w:asciiTheme="majorHAnsi" w:hAnsiTheme="majorHAnsi" w:cstheme="majorHAnsi"/>
          <w:b/>
          <w:bCs/>
          <w:sz w:val="24"/>
          <w:szCs w:val="24"/>
        </w:rPr>
        <w:t>12. Acciones</w:t>
      </w:r>
    </w:p>
    <w:p w14:paraId="12FA1405" w14:textId="77777777" w:rsidR="001C65EA" w:rsidRPr="00AB5E5F" w:rsidRDefault="001C65EA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>El Inaip Yucatán</w:t>
      </w:r>
      <w:r w:rsidR="00F73917" w:rsidRPr="00AB5E5F">
        <w:rPr>
          <w:rFonts w:asciiTheme="majorHAnsi" w:hAnsiTheme="majorHAnsi" w:cstheme="majorHAnsi"/>
          <w:sz w:val="24"/>
          <w:szCs w:val="24"/>
        </w:rPr>
        <w:t xml:space="preserve"> para prevenir y atender el hostigamiento sexual y acoso sexual, realizarán, al menos, las siguientes acciones: </w:t>
      </w:r>
    </w:p>
    <w:p w14:paraId="27C9CC65" w14:textId="77777777" w:rsidR="001C65EA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 xml:space="preserve">I. Adoptar, un pronunciamiento de "Cero Tolerancia" a las conductas de hostigamiento sexual y acoso sexual, que deberá comunicarse a las servidoras y los servidores públicos, a través de los medios o canales de comunicación institucionales que resulten idóneos para dejar constancia de su conocimiento. </w:t>
      </w:r>
    </w:p>
    <w:p w14:paraId="79E8C1EA" w14:textId="77777777" w:rsidR="001C65EA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lastRenderedPageBreak/>
        <w:t xml:space="preserve">II. Asegurar que la totalidad del personal reciba, al menos, una sesión anual de sensibilización sobre hostigamiento sexual y acoso sexual. </w:t>
      </w:r>
    </w:p>
    <w:p w14:paraId="2C72D22D" w14:textId="6DB1CD46" w:rsidR="001C65EA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>III. Brindar facilidades para el proceso formativo de sensibilización de las y los integrantes del comité, así como para la c</w:t>
      </w:r>
      <w:r w:rsidR="00607BED" w:rsidRPr="00AB5E5F">
        <w:rPr>
          <w:rFonts w:asciiTheme="majorHAnsi" w:hAnsiTheme="majorHAnsi" w:cstheme="majorHAnsi"/>
          <w:sz w:val="24"/>
          <w:szCs w:val="24"/>
        </w:rPr>
        <w:t>apacitación</w:t>
      </w:r>
      <w:r w:rsidRPr="00AB5E5F">
        <w:rPr>
          <w:rFonts w:asciiTheme="majorHAnsi" w:hAnsiTheme="majorHAnsi" w:cstheme="majorHAnsi"/>
          <w:sz w:val="24"/>
          <w:szCs w:val="24"/>
        </w:rPr>
        <w:t xml:space="preserve"> de las personas consejeras</w:t>
      </w:r>
      <w:r w:rsidR="007630F8">
        <w:rPr>
          <w:rFonts w:asciiTheme="majorHAnsi" w:hAnsiTheme="majorHAnsi" w:cstheme="majorHAnsi"/>
          <w:sz w:val="24"/>
          <w:szCs w:val="24"/>
        </w:rPr>
        <w:t xml:space="preserve"> e integrantes de la Unidad de Igualdad de Género</w:t>
      </w:r>
      <w:r w:rsidRPr="00AB5E5F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56A329DC" w14:textId="77777777" w:rsidR="001C65EA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 xml:space="preserve">IV. Promover una cultura institucional de igualdad de género y un clima laboral libre de violencia, y documentar la campaña de difusión </w:t>
      </w:r>
      <w:r w:rsidR="001C65EA" w:rsidRPr="00AB5E5F">
        <w:rPr>
          <w:rFonts w:asciiTheme="majorHAnsi" w:hAnsiTheme="majorHAnsi" w:cstheme="majorHAnsi"/>
          <w:sz w:val="24"/>
          <w:szCs w:val="24"/>
        </w:rPr>
        <w:t xml:space="preserve">al Interior del Inaip Yucatán, </w:t>
      </w:r>
      <w:r w:rsidRPr="00AB5E5F">
        <w:rPr>
          <w:rFonts w:asciiTheme="majorHAnsi" w:hAnsiTheme="majorHAnsi" w:cstheme="majorHAnsi"/>
          <w:sz w:val="24"/>
          <w:szCs w:val="24"/>
        </w:rPr>
        <w:t xml:space="preserve">que anualmente se lleve a cabo, entre otros, para prevenir y erradicar el hostigamiento sexual y acoso sexual. </w:t>
      </w:r>
    </w:p>
    <w:p w14:paraId="5E8AB697" w14:textId="77777777" w:rsidR="001C65EA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 xml:space="preserve">V. Contar con el número necesario de personas consejeras para la atención del primer contacto. </w:t>
      </w:r>
    </w:p>
    <w:p w14:paraId="2B7013AE" w14:textId="77777777" w:rsidR="001C65EA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 xml:space="preserve">VI. Adoptar medidas cautelares para proteger a la presunta víctima. </w:t>
      </w:r>
    </w:p>
    <w:p w14:paraId="40CC3D6B" w14:textId="77777777" w:rsidR="001C65EA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 xml:space="preserve">VII. Prevenir e identificar conductas que impliquen hostigamiento sexual y acoso sexual. </w:t>
      </w:r>
    </w:p>
    <w:p w14:paraId="2D30369A" w14:textId="1F7256D7" w:rsidR="00AB68FD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>VIII. Proporcionar a la</w:t>
      </w:r>
      <w:r w:rsidR="007630F8">
        <w:rPr>
          <w:rFonts w:asciiTheme="majorHAnsi" w:hAnsiTheme="majorHAnsi" w:cstheme="majorHAnsi"/>
          <w:sz w:val="24"/>
          <w:szCs w:val="24"/>
        </w:rPr>
        <w:t>s</w:t>
      </w:r>
      <w:r w:rsidRPr="00AB5E5F">
        <w:rPr>
          <w:rFonts w:asciiTheme="majorHAnsi" w:hAnsiTheme="majorHAnsi" w:cstheme="majorHAnsi"/>
          <w:sz w:val="24"/>
          <w:szCs w:val="24"/>
        </w:rPr>
        <w:t xml:space="preserve"> persona</w:t>
      </w:r>
      <w:r w:rsidR="007630F8">
        <w:rPr>
          <w:rFonts w:asciiTheme="majorHAnsi" w:hAnsiTheme="majorHAnsi" w:cstheme="majorHAnsi"/>
          <w:sz w:val="24"/>
          <w:szCs w:val="24"/>
        </w:rPr>
        <w:t>s</w:t>
      </w:r>
      <w:r w:rsidRPr="00AB5E5F">
        <w:rPr>
          <w:rFonts w:asciiTheme="majorHAnsi" w:hAnsiTheme="majorHAnsi" w:cstheme="majorHAnsi"/>
          <w:sz w:val="24"/>
          <w:szCs w:val="24"/>
        </w:rPr>
        <w:t xml:space="preserve"> consejera</w:t>
      </w:r>
      <w:r w:rsidR="007630F8">
        <w:rPr>
          <w:rFonts w:asciiTheme="majorHAnsi" w:hAnsiTheme="majorHAnsi" w:cstheme="majorHAnsi"/>
          <w:sz w:val="24"/>
          <w:szCs w:val="24"/>
        </w:rPr>
        <w:t>s e integrantes de la Unidad de Igualdad de Género,</w:t>
      </w:r>
      <w:r w:rsidRPr="00AB5E5F">
        <w:rPr>
          <w:rFonts w:asciiTheme="majorHAnsi" w:hAnsiTheme="majorHAnsi" w:cstheme="majorHAnsi"/>
          <w:sz w:val="24"/>
          <w:szCs w:val="24"/>
        </w:rPr>
        <w:t xml:space="preserve"> las herramientas para llevar a cabo sus actividades con oportunidad en los casos de hostigamiento sexual y acoso sexual. </w:t>
      </w:r>
    </w:p>
    <w:p w14:paraId="290A5099" w14:textId="77777777" w:rsidR="00AB68FD" w:rsidRPr="00AB5E5F" w:rsidRDefault="00AB68FD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4B50CD1B" w14:textId="765D0CE8" w:rsidR="00AB68FD" w:rsidRPr="00AB5E5F" w:rsidRDefault="00F73917" w:rsidP="00F50FE0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B5E5F">
        <w:rPr>
          <w:rFonts w:asciiTheme="majorHAnsi" w:hAnsiTheme="majorHAnsi" w:cstheme="majorHAnsi"/>
          <w:b/>
          <w:bCs/>
          <w:sz w:val="24"/>
          <w:szCs w:val="24"/>
        </w:rPr>
        <w:t>13. Seguimiento</w:t>
      </w:r>
    </w:p>
    <w:p w14:paraId="28B2283F" w14:textId="0F5C3AEB" w:rsidR="006A11E1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 xml:space="preserve">La </w:t>
      </w:r>
      <w:r w:rsidR="00256A73">
        <w:rPr>
          <w:rFonts w:asciiTheme="majorHAnsi" w:hAnsiTheme="majorHAnsi" w:cstheme="majorHAnsi"/>
          <w:sz w:val="24"/>
          <w:szCs w:val="24"/>
        </w:rPr>
        <w:t>Unidad de Igualdad de Género</w:t>
      </w:r>
      <w:r w:rsidRPr="00AB5E5F">
        <w:rPr>
          <w:rFonts w:asciiTheme="majorHAnsi" w:hAnsiTheme="majorHAnsi" w:cstheme="majorHAnsi"/>
          <w:sz w:val="24"/>
          <w:szCs w:val="24"/>
        </w:rPr>
        <w:t xml:space="preserve"> dará seguimiento a la planeación, ejecución y evaluación de las acciones específicas de prevención y atención de conductas de hostigamiento sexual y acoso sexual, y hará público el reporte de sus resultados. </w:t>
      </w:r>
    </w:p>
    <w:p w14:paraId="13E663E9" w14:textId="77777777" w:rsidR="006A11E1" w:rsidRPr="00AB5E5F" w:rsidRDefault="006A11E1" w:rsidP="00F50FE0">
      <w:pPr>
        <w:spacing w:after="0"/>
        <w:jc w:val="both"/>
        <w:rPr>
          <w:rFonts w:asciiTheme="majorHAnsi" w:hAnsiTheme="majorHAnsi" w:cstheme="majorHAnsi"/>
          <w:sz w:val="24"/>
          <w:szCs w:val="24"/>
          <w:highlight w:val="yellow"/>
        </w:rPr>
      </w:pPr>
    </w:p>
    <w:p w14:paraId="21DDABA6" w14:textId="500ED0D3" w:rsidR="006A11E1" w:rsidRPr="00AB5E5F" w:rsidRDefault="00F73917" w:rsidP="006A11E1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AB5E5F">
        <w:rPr>
          <w:rFonts w:asciiTheme="majorHAnsi" w:hAnsiTheme="majorHAnsi" w:cstheme="majorHAnsi"/>
          <w:b/>
          <w:bCs/>
          <w:sz w:val="24"/>
          <w:szCs w:val="24"/>
        </w:rPr>
        <w:t>Sección segunda</w:t>
      </w:r>
    </w:p>
    <w:p w14:paraId="775CB081" w14:textId="636E2077" w:rsidR="00AB68FD" w:rsidRPr="00AB5E5F" w:rsidRDefault="00F73917" w:rsidP="006A11E1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AB5E5F">
        <w:rPr>
          <w:rFonts w:asciiTheme="majorHAnsi" w:hAnsiTheme="majorHAnsi" w:cstheme="majorHAnsi"/>
          <w:b/>
          <w:bCs/>
          <w:sz w:val="24"/>
          <w:szCs w:val="24"/>
        </w:rPr>
        <w:t>Persona consejera</w:t>
      </w:r>
    </w:p>
    <w:p w14:paraId="373C7945" w14:textId="77777777" w:rsidR="00AB68FD" w:rsidRPr="00AB5E5F" w:rsidRDefault="00AB68FD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30A625BE" w14:textId="77777777" w:rsidR="00AB68FD" w:rsidRPr="00AB5E5F" w:rsidRDefault="00F73917" w:rsidP="00F50FE0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B5E5F">
        <w:rPr>
          <w:rFonts w:asciiTheme="majorHAnsi" w:hAnsiTheme="majorHAnsi" w:cstheme="majorHAnsi"/>
          <w:b/>
          <w:bCs/>
          <w:sz w:val="24"/>
          <w:szCs w:val="24"/>
        </w:rPr>
        <w:t xml:space="preserve">14. Designación </w:t>
      </w:r>
    </w:p>
    <w:p w14:paraId="15EE6A03" w14:textId="77777777" w:rsidR="00C030B9" w:rsidRPr="00AB5E5F" w:rsidRDefault="00C030B9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>El Pleno del Inaip Yucatán</w:t>
      </w:r>
      <w:r w:rsidR="00F73917" w:rsidRPr="00AB5E5F">
        <w:rPr>
          <w:rFonts w:asciiTheme="majorHAnsi" w:hAnsiTheme="majorHAnsi" w:cstheme="majorHAnsi"/>
          <w:sz w:val="24"/>
          <w:szCs w:val="24"/>
        </w:rPr>
        <w:t xml:space="preserve">, previa convocatoria, entre las servidoras y los servidores públicos, </w:t>
      </w:r>
      <w:r w:rsidRPr="00AB5E5F">
        <w:rPr>
          <w:rFonts w:asciiTheme="majorHAnsi" w:hAnsiTheme="majorHAnsi" w:cstheme="majorHAnsi"/>
          <w:sz w:val="24"/>
          <w:szCs w:val="24"/>
        </w:rPr>
        <w:t xml:space="preserve">designará </w:t>
      </w:r>
      <w:r w:rsidR="00F73917" w:rsidRPr="00AB5E5F">
        <w:rPr>
          <w:rFonts w:asciiTheme="majorHAnsi" w:hAnsiTheme="majorHAnsi" w:cstheme="majorHAnsi"/>
          <w:sz w:val="24"/>
          <w:szCs w:val="24"/>
        </w:rPr>
        <w:t>a las personas consejeras que se desempeñarán</w:t>
      </w:r>
      <w:r w:rsidRPr="00AB5E5F">
        <w:rPr>
          <w:rFonts w:asciiTheme="majorHAnsi" w:hAnsiTheme="majorHAnsi" w:cstheme="majorHAnsi"/>
          <w:sz w:val="24"/>
          <w:szCs w:val="24"/>
        </w:rPr>
        <w:t xml:space="preserve"> al Interior del Instituto.</w:t>
      </w:r>
      <w:r w:rsidR="00F73917" w:rsidRPr="00AB5E5F">
        <w:rPr>
          <w:rFonts w:asciiTheme="majorHAnsi" w:hAnsiTheme="majorHAnsi" w:cstheme="majorHAnsi"/>
          <w:sz w:val="24"/>
          <w:szCs w:val="24"/>
        </w:rPr>
        <w:t xml:space="preserve"> </w:t>
      </w:r>
      <w:r w:rsidRPr="00AB5E5F">
        <w:rPr>
          <w:rFonts w:asciiTheme="majorHAnsi" w:hAnsiTheme="majorHAnsi" w:cstheme="majorHAnsi"/>
          <w:sz w:val="24"/>
          <w:szCs w:val="24"/>
        </w:rPr>
        <w:t>D</w:t>
      </w:r>
      <w:r w:rsidR="00F73917" w:rsidRPr="00AB5E5F">
        <w:rPr>
          <w:rFonts w:asciiTheme="majorHAnsi" w:hAnsiTheme="majorHAnsi" w:cstheme="majorHAnsi"/>
          <w:sz w:val="24"/>
          <w:szCs w:val="24"/>
        </w:rPr>
        <w:t xml:space="preserve">e igual manera mantendrá actualizado el directorio de dichas personas y publicará sus nombres en sus medios electrónicos públicos. </w:t>
      </w:r>
    </w:p>
    <w:p w14:paraId="37481A18" w14:textId="77777777" w:rsidR="00C030B9" w:rsidRPr="00AB5E5F" w:rsidRDefault="00C030B9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113AD14E" w14:textId="7665B7C6" w:rsidR="00AB68FD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 xml:space="preserve">La persona consejera designada </w:t>
      </w:r>
      <w:bookmarkStart w:id="1" w:name="_Hlk40351116"/>
      <w:r w:rsidRPr="00AB5E5F">
        <w:rPr>
          <w:rFonts w:asciiTheme="majorHAnsi" w:hAnsiTheme="majorHAnsi" w:cstheme="majorHAnsi"/>
          <w:sz w:val="24"/>
          <w:szCs w:val="24"/>
        </w:rPr>
        <w:t>orientará y acompañará a la presunta víctima de hostigamiento sexual o acoso sexual ante las autoridades competentes</w:t>
      </w:r>
      <w:bookmarkEnd w:id="1"/>
      <w:r w:rsidRPr="00AB5E5F">
        <w:rPr>
          <w:rFonts w:asciiTheme="majorHAnsi" w:hAnsiTheme="majorHAnsi" w:cstheme="majorHAnsi"/>
          <w:sz w:val="24"/>
          <w:szCs w:val="24"/>
        </w:rPr>
        <w:t xml:space="preserve">. Para tal efecto, </w:t>
      </w:r>
      <w:r w:rsidR="00C030B9" w:rsidRPr="00AB5E5F">
        <w:rPr>
          <w:rFonts w:asciiTheme="majorHAnsi" w:hAnsiTheme="majorHAnsi" w:cstheme="majorHAnsi"/>
          <w:sz w:val="24"/>
          <w:szCs w:val="24"/>
        </w:rPr>
        <w:t>se le</w:t>
      </w:r>
      <w:r w:rsidRPr="00AB5E5F">
        <w:rPr>
          <w:rFonts w:asciiTheme="majorHAnsi" w:hAnsiTheme="majorHAnsi" w:cstheme="majorHAnsi"/>
          <w:sz w:val="24"/>
          <w:szCs w:val="24"/>
        </w:rPr>
        <w:t xml:space="preserve"> proveerá </w:t>
      </w:r>
      <w:r w:rsidR="00C030B9" w:rsidRPr="00AB5E5F">
        <w:rPr>
          <w:rFonts w:asciiTheme="majorHAnsi" w:hAnsiTheme="majorHAnsi" w:cstheme="majorHAnsi"/>
          <w:sz w:val="24"/>
          <w:szCs w:val="24"/>
        </w:rPr>
        <w:t xml:space="preserve">de </w:t>
      </w:r>
      <w:r w:rsidRPr="00AB5E5F">
        <w:rPr>
          <w:rFonts w:asciiTheme="majorHAnsi" w:hAnsiTheme="majorHAnsi" w:cstheme="majorHAnsi"/>
          <w:sz w:val="24"/>
          <w:szCs w:val="24"/>
        </w:rPr>
        <w:t>las condiciones de operación que aseguren el cumplimiento de sus funciones.</w:t>
      </w:r>
    </w:p>
    <w:p w14:paraId="7793666F" w14:textId="0DB0D0E6" w:rsidR="00AB68FD" w:rsidRPr="00AB5E5F" w:rsidRDefault="00AB68FD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534AD016" w14:textId="09230008" w:rsidR="008543CE" w:rsidRPr="00AB5E5F" w:rsidRDefault="008543CE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 xml:space="preserve">El </w:t>
      </w:r>
      <w:r w:rsidR="00AB1DE4" w:rsidRPr="00AB5E5F">
        <w:rPr>
          <w:rFonts w:asciiTheme="majorHAnsi" w:hAnsiTheme="majorHAnsi" w:cstheme="majorHAnsi"/>
          <w:sz w:val="24"/>
          <w:szCs w:val="24"/>
        </w:rPr>
        <w:t>cargo de persona consejera, será de carácter honorífico, por lo tanto, quien lo ocupe no devengará retribución alguna por su desempeño.</w:t>
      </w:r>
    </w:p>
    <w:p w14:paraId="22F0DF3C" w14:textId="77777777" w:rsidR="008543CE" w:rsidRPr="00AB5E5F" w:rsidRDefault="008543CE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15951727" w14:textId="641DEB99" w:rsidR="00C030B9" w:rsidRPr="00AB5E5F" w:rsidRDefault="00F73917" w:rsidP="00F50FE0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B5E5F">
        <w:rPr>
          <w:rFonts w:asciiTheme="majorHAnsi" w:hAnsiTheme="majorHAnsi" w:cstheme="majorHAnsi"/>
          <w:b/>
          <w:bCs/>
          <w:sz w:val="24"/>
          <w:szCs w:val="24"/>
        </w:rPr>
        <w:lastRenderedPageBreak/>
        <w:t>15. Pautas de conducta</w:t>
      </w:r>
    </w:p>
    <w:p w14:paraId="13A25944" w14:textId="52E48509" w:rsidR="00331423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 xml:space="preserve">Las personas consejeras deberán contar con la </w:t>
      </w:r>
      <w:r w:rsidR="00607BED" w:rsidRPr="00AB5E5F">
        <w:rPr>
          <w:rFonts w:asciiTheme="majorHAnsi" w:hAnsiTheme="majorHAnsi" w:cstheme="majorHAnsi"/>
          <w:sz w:val="24"/>
          <w:szCs w:val="24"/>
        </w:rPr>
        <w:t>capacitación</w:t>
      </w:r>
      <w:r w:rsidRPr="00AB5E5F">
        <w:rPr>
          <w:rFonts w:asciiTheme="majorHAnsi" w:hAnsiTheme="majorHAnsi" w:cstheme="majorHAnsi"/>
          <w:sz w:val="24"/>
          <w:szCs w:val="24"/>
        </w:rPr>
        <w:t xml:space="preserve"> a que se refiere el numeral 22 </w:t>
      </w:r>
      <w:r w:rsidR="00331423" w:rsidRPr="00AB5E5F">
        <w:rPr>
          <w:rFonts w:asciiTheme="majorHAnsi" w:hAnsiTheme="majorHAnsi" w:cstheme="majorHAnsi"/>
          <w:sz w:val="24"/>
          <w:szCs w:val="24"/>
        </w:rPr>
        <w:t xml:space="preserve">del presente; </w:t>
      </w:r>
      <w:r w:rsidRPr="00AB5E5F">
        <w:rPr>
          <w:rFonts w:asciiTheme="majorHAnsi" w:hAnsiTheme="majorHAnsi" w:cstheme="majorHAnsi"/>
          <w:sz w:val="24"/>
          <w:szCs w:val="24"/>
        </w:rPr>
        <w:t xml:space="preserve">y procurar actuar bajo las siguientes pautas de conducta: </w:t>
      </w:r>
    </w:p>
    <w:p w14:paraId="082C8B93" w14:textId="77777777" w:rsidR="00331423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 xml:space="preserve">I. Generar confianza en las personas que expongan hechos o conductas de hostigamiento sexual y acoso sexual. </w:t>
      </w:r>
    </w:p>
    <w:p w14:paraId="05EB33CC" w14:textId="77777777" w:rsidR="00331423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 xml:space="preserve">II. Respetar la expresión de sentimientos sin proferir juicios de valor. </w:t>
      </w:r>
    </w:p>
    <w:p w14:paraId="3F906F77" w14:textId="77777777" w:rsidR="00331423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 xml:space="preserve">III. Actuar con empatía ante la situación que enfrenta la persona. </w:t>
      </w:r>
    </w:p>
    <w:p w14:paraId="5B7E4142" w14:textId="77777777" w:rsidR="00331423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 xml:space="preserve">IV. Mostrar tranquilidad y proyectar seguridad. </w:t>
      </w:r>
    </w:p>
    <w:p w14:paraId="5E2D6F00" w14:textId="77777777" w:rsidR="00331423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 xml:space="preserve">V. Tener equilibrio entre distancia y cercanía emocional. </w:t>
      </w:r>
    </w:p>
    <w:p w14:paraId="279B4406" w14:textId="77777777" w:rsidR="00331423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 xml:space="preserve">VI. Transmitir mensajes claros mediante lenguaje accesible, claro y simple. </w:t>
      </w:r>
    </w:p>
    <w:p w14:paraId="6F60D8B8" w14:textId="77777777" w:rsidR="00331423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 xml:space="preserve">VII. Comunicar a la presunta víctima con precisión y claridad que no tiene injerencia en la resolución de la problemática planteada. </w:t>
      </w:r>
    </w:p>
    <w:p w14:paraId="3AF6D99D" w14:textId="7166FE88" w:rsidR="00D4574A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>VIII. Expresar con pertinencia el alcance de su función y del acompañamiento que puede otorgar.</w:t>
      </w:r>
    </w:p>
    <w:p w14:paraId="4B0A2DD2" w14:textId="77777777" w:rsidR="00D4574A" w:rsidRPr="00AB5E5F" w:rsidRDefault="00D4574A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0DBF177C" w14:textId="77777777" w:rsidR="00D4574A" w:rsidRPr="00AB5E5F" w:rsidRDefault="00F73917" w:rsidP="00F50FE0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B5E5F">
        <w:rPr>
          <w:rFonts w:asciiTheme="majorHAnsi" w:hAnsiTheme="majorHAnsi" w:cstheme="majorHAnsi"/>
          <w:b/>
          <w:bCs/>
          <w:sz w:val="24"/>
          <w:szCs w:val="24"/>
        </w:rPr>
        <w:t xml:space="preserve">16. Funciones </w:t>
      </w:r>
    </w:p>
    <w:p w14:paraId="7CE901A0" w14:textId="77777777" w:rsidR="00331423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 xml:space="preserve">La persona consejera, en la aplicación del protocolo, tendrá las siguientes funciones: </w:t>
      </w:r>
    </w:p>
    <w:p w14:paraId="4DC012EA" w14:textId="77777777" w:rsidR="00331423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 xml:space="preserve">I. Dar atención de primer contacto y, en caso de urgencia, auxiliar a la presunta víctima para que reciba atención especializada que corresponda. </w:t>
      </w:r>
    </w:p>
    <w:p w14:paraId="70B26120" w14:textId="77777777" w:rsidR="00331423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 xml:space="preserve">II. Proporcionar la información pertinente, completa, clara y precisa a las personas que le consulten sobre conductas relacionadas con el hostigamiento sexual y acoso sexual, en su caso, orientarlas sobre las instancias que son competentes para conocer los hechos. </w:t>
      </w:r>
    </w:p>
    <w:p w14:paraId="3B18AC00" w14:textId="77777777" w:rsidR="00331423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 xml:space="preserve">III. Apoyar y auxiliar a la presunta víctima en la narrativa de los hechos ante el comité </w:t>
      </w:r>
      <w:proofErr w:type="spellStart"/>
      <w:r w:rsidR="00331423" w:rsidRPr="00AB5E5F">
        <w:rPr>
          <w:rFonts w:asciiTheme="majorHAnsi" w:hAnsiTheme="majorHAnsi" w:cstheme="majorHAnsi"/>
          <w:sz w:val="24"/>
          <w:szCs w:val="24"/>
        </w:rPr>
        <w:t>ú</w:t>
      </w:r>
      <w:proofErr w:type="spellEnd"/>
      <w:r w:rsidR="00331423" w:rsidRPr="00AB5E5F">
        <w:rPr>
          <w:rFonts w:asciiTheme="majorHAnsi" w:hAnsiTheme="majorHAnsi" w:cstheme="majorHAnsi"/>
          <w:sz w:val="24"/>
          <w:szCs w:val="24"/>
        </w:rPr>
        <w:t xml:space="preserve"> órgano de control interno</w:t>
      </w:r>
      <w:r w:rsidRPr="00AB5E5F">
        <w:rPr>
          <w:rFonts w:asciiTheme="majorHAnsi" w:hAnsiTheme="majorHAnsi" w:cstheme="majorHAnsi"/>
          <w:sz w:val="24"/>
          <w:szCs w:val="24"/>
        </w:rPr>
        <w:t xml:space="preserve"> en la toma de la declaración respectiva. </w:t>
      </w:r>
    </w:p>
    <w:p w14:paraId="4A1257A3" w14:textId="77777777" w:rsidR="00331423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 xml:space="preserve">IV. Atender los exhortos o llamados del comité, para otorgar asesoría u opinión sobre casos de hostigamiento sexual y acoso sexual. </w:t>
      </w:r>
    </w:p>
    <w:p w14:paraId="106B89AA" w14:textId="77777777" w:rsidR="00331423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 xml:space="preserve">V. Excusarse de intervenir en el supuesto de que pudiera actualizarse un conflicto de interés en términos de las disposiciones jurídicas aplicables. </w:t>
      </w:r>
    </w:p>
    <w:p w14:paraId="6B35C361" w14:textId="756B71F4" w:rsidR="00331423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>VI. Hacer del conocimiento por escrito al órgano de control interno, cuando el comité o alguna servidora o servidor público se niegue a realizar acciones derivadas de la aplicación de este protocolo</w:t>
      </w:r>
      <w:r w:rsidR="00331423" w:rsidRPr="00AB5E5F">
        <w:rPr>
          <w:rFonts w:asciiTheme="majorHAnsi" w:hAnsiTheme="majorHAnsi" w:cstheme="majorHAnsi"/>
          <w:sz w:val="24"/>
          <w:szCs w:val="24"/>
        </w:rPr>
        <w:t>.</w:t>
      </w:r>
    </w:p>
    <w:p w14:paraId="290F87F6" w14:textId="77777777" w:rsidR="00331423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 xml:space="preserve">VII. Brindar atención a la presunta víctima conforme al protocolo y a las demás disposiciones legales aplicables. </w:t>
      </w:r>
    </w:p>
    <w:p w14:paraId="46CEC398" w14:textId="77777777" w:rsidR="00331423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 xml:space="preserve">VIII. Turnar, en un plazo no mayor a tres días hábiles, al comité o al órgano de control interno, las denuncias de las que tenga conocimiento en la atención directa del primer contacto. </w:t>
      </w:r>
    </w:p>
    <w:p w14:paraId="7CD2C201" w14:textId="77777777" w:rsidR="00331423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lastRenderedPageBreak/>
        <w:t xml:space="preserve">IX. Analizar si de la narrativa de los hechos de la presunta víctima se identifican conductas de hostigamiento sexual y acoso sexual descritas en este protocolo para orientar y acompañar adecuadamente a la presunta víctima. </w:t>
      </w:r>
    </w:p>
    <w:p w14:paraId="715ECAF8" w14:textId="1EC4ECAE" w:rsidR="00D4574A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 xml:space="preserve">X. Dar seguimiento respecto al desahogo y atención de las denuncias previstas en el protocolo. </w:t>
      </w:r>
    </w:p>
    <w:p w14:paraId="20D1ABBE" w14:textId="77777777" w:rsidR="00D4574A" w:rsidRPr="00AB5E5F" w:rsidRDefault="00D4574A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748D3A34" w14:textId="68FECE68" w:rsidR="00331423" w:rsidRPr="00AB5E5F" w:rsidRDefault="00F73917" w:rsidP="00F50FE0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B5E5F">
        <w:rPr>
          <w:rFonts w:asciiTheme="majorHAnsi" w:hAnsiTheme="majorHAnsi" w:cstheme="majorHAnsi"/>
          <w:b/>
          <w:bCs/>
          <w:sz w:val="24"/>
          <w:szCs w:val="24"/>
        </w:rPr>
        <w:t>17. Registro de las personas consejeras</w:t>
      </w:r>
    </w:p>
    <w:p w14:paraId="13763B2E" w14:textId="358BE717" w:rsidR="00D4574A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 xml:space="preserve">El </w:t>
      </w:r>
      <w:r w:rsidR="00331423" w:rsidRPr="00AB5E5F">
        <w:rPr>
          <w:rFonts w:asciiTheme="majorHAnsi" w:hAnsiTheme="majorHAnsi" w:cstheme="majorHAnsi"/>
          <w:sz w:val="24"/>
          <w:szCs w:val="24"/>
        </w:rPr>
        <w:t>Inaip Yucatán</w:t>
      </w:r>
      <w:r w:rsidRPr="00AB5E5F">
        <w:rPr>
          <w:rFonts w:asciiTheme="majorHAnsi" w:hAnsiTheme="majorHAnsi" w:cstheme="majorHAnsi"/>
          <w:sz w:val="24"/>
          <w:szCs w:val="24"/>
        </w:rPr>
        <w:t xml:space="preserve"> llevará un registro de las personas consejeras en activo, y propiciará la colaboración entre </w:t>
      </w:r>
      <w:r w:rsidR="00331423" w:rsidRPr="00AB5E5F">
        <w:rPr>
          <w:rFonts w:asciiTheme="majorHAnsi" w:hAnsiTheme="majorHAnsi" w:cstheme="majorHAnsi"/>
          <w:sz w:val="24"/>
          <w:szCs w:val="24"/>
        </w:rPr>
        <w:t>ellas</w:t>
      </w:r>
      <w:r w:rsidR="00001D38" w:rsidRPr="00AB5E5F">
        <w:rPr>
          <w:rFonts w:asciiTheme="majorHAnsi" w:hAnsiTheme="majorHAnsi" w:cstheme="majorHAnsi"/>
          <w:sz w:val="24"/>
          <w:szCs w:val="24"/>
        </w:rPr>
        <w:t>, y con las personas consejeras de otros entes públicos</w:t>
      </w:r>
      <w:r w:rsidRPr="00AB5E5F">
        <w:rPr>
          <w:rFonts w:asciiTheme="majorHAnsi" w:hAnsiTheme="majorHAnsi" w:cstheme="majorHAnsi"/>
          <w:sz w:val="24"/>
          <w:szCs w:val="24"/>
        </w:rPr>
        <w:t>, con el fin de que la experiencia de estas, pueda auxiliar a cualquiera de ellas en la atención de casos de hostigamiento sexual y acoso sexual.</w:t>
      </w:r>
    </w:p>
    <w:p w14:paraId="6EA17F91" w14:textId="77777777" w:rsidR="00D4574A" w:rsidRPr="00AB5E5F" w:rsidRDefault="00D4574A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6E2CAA04" w14:textId="77777777" w:rsidR="00331423" w:rsidRPr="00AB5E5F" w:rsidRDefault="00F73917" w:rsidP="00F50FE0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B5E5F">
        <w:rPr>
          <w:rFonts w:asciiTheme="majorHAnsi" w:hAnsiTheme="majorHAnsi" w:cstheme="majorHAnsi"/>
          <w:b/>
          <w:bCs/>
          <w:sz w:val="24"/>
          <w:szCs w:val="24"/>
        </w:rPr>
        <w:t xml:space="preserve">18. Capacitación progresiva </w:t>
      </w:r>
    </w:p>
    <w:p w14:paraId="34950A97" w14:textId="15B82F27" w:rsidR="001242A0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 xml:space="preserve">Las personas consejeras deberán capacitarse de manera progresiva de acuerdo a las capacidades profesionales o competencias que determine el </w:t>
      </w:r>
      <w:r w:rsidR="001242A0" w:rsidRPr="00AB5E5F">
        <w:rPr>
          <w:rFonts w:asciiTheme="majorHAnsi" w:hAnsiTheme="majorHAnsi" w:cstheme="majorHAnsi"/>
          <w:sz w:val="24"/>
          <w:szCs w:val="24"/>
        </w:rPr>
        <w:t>Inaip Yucatán, o bien la Secretaría de las Mujeres del Estado de Yucatán</w:t>
      </w:r>
      <w:r w:rsidR="00F213B3" w:rsidRPr="00AB5E5F">
        <w:rPr>
          <w:rFonts w:asciiTheme="majorHAnsi" w:hAnsiTheme="majorHAnsi" w:cstheme="majorHAnsi"/>
          <w:sz w:val="24"/>
          <w:szCs w:val="24"/>
        </w:rPr>
        <w:t>, o cualquier otro ente público especializado en la materia.</w:t>
      </w:r>
    </w:p>
    <w:p w14:paraId="010C7BAB" w14:textId="77777777" w:rsidR="001242A0" w:rsidRPr="00AB5E5F" w:rsidRDefault="001242A0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7930DFE7" w14:textId="630AAA09" w:rsidR="001242A0" w:rsidRPr="00AB5E5F" w:rsidRDefault="00F73917" w:rsidP="001242A0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AB5E5F">
        <w:rPr>
          <w:rFonts w:asciiTheme="majorHAnsi" w:hAnsiTheme="majorHAnsi" w:cstheme="majorHAnsi"/>
          <w:b/>
          <w:bCs/>
          <w:sz w:val="24"/>
          <w:szCs w:val="24"/>
        </w:rPr>
        <w:t>Sección tercera</w:t>
      </w:r>
    </w:p>
    <w:p w14:paraId="2657C690" w14:textId="53791023" w:rsidR="00D4574A" w:rsidRPr="00AB5E5F" w:rsidRDefault="00F73917" w:rsidP="001242A0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AB5E5F">
        <w:rPr>
          <w:rFonts w:asciiTheme="majorHAnsi" w:hAnsiTheme="majorHAnsi" w:cstheme="majorHAnsi"/>
          <w:b/>
          <w:bCs/>
          <w:sz w:val="24"/>
          <w:szCs w:val="24"/>
        </w:rPr>
        <w:t>Acciones de capacitación</w:t>
      </w:r>
      <w:r w:rsidR="00607BED" w:rsidRPr="00AB5E5F">
        <w:rPr>
          <w:rFonts w:asciiTheme="majorHAnsi" w:hAnsiTheme="majorHAnsi" w:cstheme="majorHAnsi"/>
          <w:b/>
          <w:bCs/>
          <w:sz w:val="24"/>
          <w:szCs w:val="24"/>
        </w:rPr>
        <w:t xml:space="preserve"> y</w:t>
      </w:r>
      <w:r w:rsidRPr="00AB5E5F">
        <w:rPr>
          <w:rFonts w:asciiTheme="majorHAnsi" w:hAnsiTheme="majorHAnsi" w:cstheme="majorHAnsi"/>
          <w:b/>
          <w:bCs/>
          <w:sz w:val="24"/>
          <w:szCs w:val="24"/>
        </w:rPr>
        <w:t xml:space="preserve"> formación</w:t>
      </w:r>
    </w:p>
    <w:p w14:paraId="3146C0C7" w14:textId="77777777" w:rsidR="00D4574A" w:rsidRPr="00AB5E5F" w:rsidRDefault="00D4574A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79677D0A" w14:textId="77777777" w:rsidR="00D4574A" w:rsidRPr="00AB5E5F" w:rsidRDefault="00F73917" w:rsidP="00F50FE0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B5E5F">
        <w:rPr>
          <w:rFonts w:asciiTheme="majorHAnsi" w:hAnsiTheme="majorHAnsi" w:cstheme="majorHAnsi"/>
          <w:b/>
          <w:bCs/>
          <w:sz w:val="24"/>
          <w:szCs w:val="24"/>
        </w:rPr>
        <w:t xml:space="preserve">19. Inclusión en los programas anuales de capacitación </w:t>
      </w:r>
    </w:p>
    <w:p w14:paraId="23D2EA9A" w14:textId="734060FD" w:rsidR="00D4574A" w:rsidRPr="00AB5E5F" w:rsidRDefault="001242A0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>El Inaip Yucatán</w:t>
      </w:r>
      <w:r w:rsidR="00F73917" w:rsidRPr="00AB5E5F">
        <w:rPr>
          <w:rFonts w:asciiTheme="majorHAnsi" w:hAnsiTheme="majorHAnsi" w:cstheme="majorHAnsi"/>
          <w:sz w:val="24"/>
          <w:szCs w:val="24"/>
        </w:rPr>
        <w:t xml:space="preserve"> deberá incluir en su programa anual de capacitación, cursos de sensibilización</w:t>
      </w:r>
      <w:r w:rsidR="00D175DA">
        <w:rPr>
          <w:rFonts w:asciiTheme="majorHAnsi" w:hAnsiTheme="majorHAnsi" w:cstheme="majorHAnsi"/>
          <w:sz w:val="24"/>
          <w:szCs w:val="24"/>
        </w:rPr>
        <w:t xml:space="preserve"> y contención emocional</w:t>
      </w:r>
      <w:r w:rsidR="00F73917" w:rsidRPr="00AB5E5F">
        <w:rPr>
          <w:rFonts w:asciiTheme="majorHAnsi" w:hAnsiTheme="majorHAnsi" w:cstheme="majorHAnsi"/>
          <w:sz w:val="24"/>
          <w:szCs w:val="24"/>
        </w:rPr>
        <w:t xml:space="preserve">, </w:t>
      </w:r>
      <w:r w:rsidR="00D175DA">
        <w:rPr>
          <w:rFonts w:asciiTheme="majorHAnsi" w:hAnsiTheme="majorHAnsi" w:cstheme="majorHAnsi"/>
          <w:sz w:val="24"/>
          <w:szCs w:val="24"/>
        </w:rPr>
        <w:t xml:space="preserve">así como </w:t>
      </w:r>
      <w:r w:rsidR="00F73917" w:rsidRPr="00AB5E5F">
        <w:rPr>
          <w:rFonts w:asciiTheme="majorHAnsi" w:hAnsiTheme="majorHAnsi" w:cstheme="majorHAnsi"/>
          <w:sz w:val="24"/>
          <w:szCs w:val="24"/>
        </w:rPr>
        <w:t xml:space="preserve">capacitación y formación a las personas que intervengan en el protocolo. </w:t>
      </w:r>
    </w:p>
    <w:p w14:paraId="36636A7D" w14:textId="77777777" w:rsidR="00D4574A" w:rsidRPr="00AB5E5F" w:rsidRDefault="00D4574A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563FB570" w14:textId="77777777" w:rsidR="00D4574A" w:rsidRPr="00AB5E5F" w:rsidRDefault="00F73917" w:rsidP="00F50FE0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B5E5F">
        <w:rPr>
          <w:rFonts w:asciiTheme="majorHAnsi" w:hAnsiTheme="majorHAnsi" w:cstheme="majorHAnsi"/>
          <w:b/>
          <w:bCs/>
          <w:sz w:val="24"/>
          <w:szCs w:val="24"/>
        </w:rPr>
        <w:t xml:space="preserve">20. Acciones de sensibilización, capacitación y formación </w:t>
      </w:r>
    </w:p>
    <w:p w14:paraId="74099450" w14:textId="19DE662D" w:rsidR="00D4574A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 xml:space="preserve">Las acciones de sensibilización, </w:t>
      </w:r>
      <w:r w:rsidR="00D175DA">
        <w:rPr>
          <w:rFonts w:asciiTheme="majorHAnsi" w:hAnsiTheme="majorHAnsi" w:cstheme="majorHAnsi"/>
          <w:sz w:val="24"/>
          <w:szCs w:val="24"/>
        </w:rPr>
        <w:t xml:space="preserve">contención emocional, </w:t>
      </w:r>
      <w:r w:rsidRPr="00AB5E5F">
        <w:rPr>
          <w:rFonts w:asciiTheme="majorHAnsi" w:hAnsiTheme="majorHAnsi" w:cstheme="majorHAnsi"/>
          <w:sz w:val="24"/>
          <w:szCs w:val="24"/>
        </w:rPr>
        <w:t xml:space="preserve">capacitación y formación que implemente </w:t>
      </w:r>
      <w:r w:rsidR="001242A0" w:rsidRPr="00AB5E5F">
        <w:rPr>
          <w:rFonts w:asciiTheme="majorHAnsi" w:hAnsiTheme="majorHAnsi" w:cstheme="majorHAnsi"/>
          <w:sz w:val="24"/>
          <w:szCs w:val="24"/>
        </w:rPr>
        <w:t>el Inaip Yucatán,</w:t>
      </w:r>
      <w:r w:rsidRPr="00AB5E5F">
        <w:rPr>
          <w:rFonts w:asciiTheme="majorHAnsi" w:hAnsiTheme="majorHAnsi" w:cstheme="majorHAnsi"/>
          <w:sz w:val="24"/>
          <w:szCs w:val="24"/>
        </w:rPr>
        <w:t xml:space="preserve"> deberán impartirse conforme a los contenidos que </w:t>
      </w:r>
      <w:r w:rsidR="001242A0" w:rsidRPr="00AB5E5F">
        <w:rPr>
          <w:rFonts w:asciiTheme="majorHAnsi" w:hAnsiTheme="majorHAnsi" w:cstheme="majorHAnsi"/>
          <w:sz w:val="24"/>
          <w:szCs w:val="24"/>
        </w:rPr>
        <w:t>sugiera la Secretaría de las Mujeres, o cualquier otro ente público especializado en la materia</w:t>
      </w:r>
      <w:r w:rsidRPr="00AB5E5F">
        <w:rPr>
          <w:rFonts w:asciiTheme="majorHAnsi" w:hAnsiTheme="majorHAnsi" w:cstheme="majorHAnsi"/>
          <w:sz w:val="24"/>
          <w:szCs w:val="24"/>
        </w:rPr>
        <w:t>.</w:t>
      </w:r>
    </w:p>
    <w:p w14:paraId="3EFE6801" w14:textId="77777777" w:rsidR="00D4574A" w:rsidRPr="00AB5E5F" w:rsidRDefault="00D4574A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2630238C" w14:textId="4C41AE02" w:rsidR="001242A0" w:rsidRPr="00AB5E5F" w:rsidRDefault="00F73917" w:rsidP="00F50FE0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B5E5F">
        <w:rPr>
          <w:rFonts w:asciiTheme="majorHAnsi" w:hAnsiTheme="majorHAnsi" w:cstheme="majorHAnsi"/>
          <w:b/>
          <w:bCs/>
          <w:sz w:val="24"/>
          <w:szCs w:val="24"/>
        </w:rPr>
        <w:t>21. Cursos por parte del instituto</w:t>
      </w:r>
    </w:p>
    <w:p w14:paraId="020CF73C" w14:textId="5F78CEDF" w:rsidR="00D4574A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 xml:space="preserve">El </w:t>
      </w:r>
      <w:r w:rsidR="00001D38" w:rsidRPr="00AB5E5F">
        <w:rPr>
          <w:rFonts w:asciiTheme="majorHAnsi" w:hAnsiTheme="majorHAnsi" w:cstheme="majorHAnsi"/>
          <w:sz w:val="24"/>
          <w:szCs w:val="24"/>
        </w:rPr>
        <w:t>Inaip Yucatán</w:t>
      </w:r>
      <w:r w:rsidRPr="00AB5E5F">
        <w:rPr>
          <w:rFonts w:asciiTheme="majorHAnsi" w:hAnsiTheme="majorHAnsi" w:cstheme="majorHAnsi"/>
          <w:sz w:val="24"/>
          <w:szCs w:val="24"/>
        </w:rPr>
        <w:t xml:space="preserve"> podrá </w:t>
      </w:r>
      <w:r w:rsidR="00001D38" w:rsidRPr="00AB5E5F">
        <w:rPr>
          <w:rFonts w:asciiTheme="majorHAnsi" w:hAnsiTheme="majorHAnsi" w:cstheme="majorHAnsi"/>
          <w:sz w:val="24"/>
          <w:szCs w:val="24"/>
        </w:rPr>
        <w:t>celebrar convenios con otros entes públicos</w:t>
      </w:r>
      <w:r w:rsidRPr="00AB5E5F">
        <w:rPr>
          <w:rFonts w:asciiTheme="majorHAnsi" w:hAnsiTheme="majorHAnsi" w:cstheme="majorHAnsi"/>
          <w:sz w:val="24"/>
          <w:szCs w:val="24"/>
        </w:rPr>
        <w:t xml:space="preserve">, </w:t>
      </w:r>
      <w:r w:rsidR="00001D38" w:rsidRPr="00AB5E5F">
        <w:rPr>
          <w:rFonts w:asciiTheme="majorHAnsi" w:hAnsiTheme="majorHAnsi" w:cstheme="majorHAnsi"/>
          <w:sz w:val="24"/>
          <w:szCs w:val="24"/>
        </w:rPr>
        <w:t xml:space="preserve">para allegarse </w:t>
      </w:r>
      <w:r w:rsidR="00396004" w:rsidRPr="00AB5E5F">
        <w:rPr>
          <w:rFonts w:asciiTheme="majorHAnsi" w:hAnsiTheme="majorHAnsi" w:cstheme="majorHAnsi"/>
          <w:sz w:val="24"/>
          <w:szCs w:val="24"/>
        </w:rPr>
        <w:t xml:space="preserve">de </w:t>
      </w:r>
      <w:r w:rsidRPr="00AB5E5F">
        <w:rPr>
          <w:rFonts w:asciiTheme="majorHAnsi" w:hAnsiTheme="majorHAnsi" w:cstheme="majorHAnsi"/>
          <w:sz w:val="24"/>
          <w:szCs w:val="24"/>
        </w:rPr>
        <w:t>cursos en materia de hostigamiento sexual y acoso sexual</w:t>
      </w:r>
      <w:r w:rsidR="00396004" w:rsidRPr="00AB5E5F">
        <w:rPr>
          <w:rFonts w:asciiTheme="majorHAnsi" w:hAnsiTheme="majorHAnsi" w:cstheme="majorHAnsi"/>
          <w:sz w:val="24"/>
          <w:szCs w:val="24"/>
        </w:rPr>
        <w:t>,</w:t>
      </w:r>
      <w:r w:rsidRPr="00AB5E5F">
        <w:rPr>
          <w:rFonts w:asciiTheme="majorHAnsi" w:hAnsiTheme="majorHAnsi" w:cstheme="majorHAnsi"/>
          <w:sz w:val="24"/>
          <w:szCs w:val="24"/>
        </w:rPr>
        <w:t xml:space="preserve"> para la sensibilización, capacitación o formación de sus recursos humanos, de manera progresiva.</w:t>
      </w:r>
    </w:p>
    <w:p w14:paraId="2456ED9F" w14:textId="77777777" w:rsidR="00D4574A" w:rsidRPr="00AB5E5F" w:rsidRDefault="00D4574A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319F27E2" w14:textId="0F832850" w:rsidR="00396004" w:rsidRPr="00AB5E5F" w:rsidRDefault="00F73917" w:rsidP="00F50FE0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B5E5F">
        <w:rPr>
          <w:rFonts w:asciiTheme="majorHAnsi" w:hAnsiTheme="majorHAnsi" w:cstheme="majorHAnsi"/>
          <w:b/>
          <w:bCs/>
          <w:sz w:val="24"/>
          <w:szCs w:val="24"/>
        </w:rPr>
        <w:t>22. C</w:t>
      </w:r>
      <w:r w:rsidR="00607BED" w:rsidRPr="00AB5E5F">
        <w:rPr>
          <w:rFonts w:asciiTheme="majorHAnsi" w:hAnsiTheme="majorHAnsi" w:cstheme="majorHAnsi"/>
          <w:b/>
          <w:bCs/>
          <w:sz w:val="24"/>
          <w:szCs w:val="24"/>
        </w:rPr>
        <w:t>apacitación de las personas consejeras</w:t>
      </w:r>
    </w:p>
    <w:p w14:paraId="556E98D0" w14:textId="04773349" w:rsidR="001B173D" w:rsidRPr="00AB5E5F" w:rsidRDefault="003E41A1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lastRenderedPageBreak/>
        <w:t xml:space="preserve">El Inaip Yucatán, fomentará la </w:t>
      </w:r>
      <w:r w:rsidR="00607BED" w:rsidRPr="00AB5E5F">
        <w:rPr>
          <w:rFonts w:asciiTheme="majorHAnsi" w:hAnsiTheme="majorHAnsi" w:cstheme="majorHAnsi"/>
          <w:sz w:val="24"/>
          <w:szCs w:val="24"/>
        </w:rPr>
        <w:t>capacitación especializada</w:t>
      </w:r>
      <w:r w:rsidRPr="00AB5E5F">
        <w:rPr>
          <w:rFonts w:asciiTheme="majorHAnsi" w:hAnsiTheme="majorHAnsi" w:cstheme="majorHAnsi"/>
          <w:sz w:val="24"/>
          <w:szCs w:val="24"/>
        </w:rPr>
        <w:t xml:space="preserve"> de </w:t>
      </w:r>
      <w:r w:rsidR="006A11E1" w:rsidRPr="00AB5E5F">
        <w:rPr>
          <w:rFonts w:asciiTheme="majorHAnsi" w:hAnsiTheme="majorHAnsi" w:cstheme="majorHAnsi"/>
          <w:sz w:val="24"/>
          <w:szCs w:val="24"/>
        </w:rPr>
        <w:t>las personas consejeras</w:t>
      </w:r>
      <w:r w:rsidRPr="00AB5E5F">
        <w:rPr>
          <w:rFonts w:asciiTheme="majorHAnsi" w:hAnsiTheme="majorHAnsi" w:cstheme="majorHAnsi"/>
          <w:sz w:val="24"/>
          <w:szCs w:val="24"/>
        </w:rPr>
        <w:t xml:space="preserve">, </w:t>
      </w:r>
      <w:r w:rsidR="00607BED" w:rsidRPr="00AB5E5F">
        <w:rPr>
          <w:rFonts w:asciiTheme="majorHAnsi" w:hAnsiTheme="majorHAnsi" w:cstheme="majorHAnsi"/>
          <w:sz w:val="24"/>
          <w:szCs w:val="24"/>
        </w:rPr>
        <w:t xml:space="preserve">con el objetivo de que éstas </w:t>
      </w:r>
      <w:r w:rsidR="00D151CB" w:rsidRPr="00AB5E5F">
        <w:rPr>
          <w:rFonts w:asciiTheme="majorHAnsi" w:hAnsiTheme="majorHAnsi" w:cstheme="majorHAnsi"/>
          <w:sz w:val="24"/>
          <w:szCs w:val="24"/>
        </w:rPr>
        <w:t>cuenten con los conocimientos y habilidades que les permitan</w:t>
      </w:r>
      <w:r w:rsidR="00607BED" w:rsidRPr="00AB5E5F">
        <w:rPr>
          <w:rFonts w:asciiTheme="majorHAnsi" w:hAnsiTheme="majorHAnsi" w:cstheme="majorHAnsi"/>
          <w:sz w:val="24"/>
          <w:szCs w:val="24"/>
        </w:rPr>
        <w:t xml:space="preserve"> orientar y acompañar a la presunta víctima de hostigamiento sexual o acoso sexual, desde el primer contacto</w:t>
      </w:r>
      <w:r w:rsidR="001B173D" w:rsidRPr="00AB5E5F">
        <w:rPr>
          <w:rFonts w:asciiTheme="majorHAnsi" w:hAnsiTheme="majorHAnsi" w:cstheme="majorHAnsi"/>
          <w:sz w:val="24"/>
          <w:szCs w:val="24"/>
        </w:rPr>
        <w:t>.</w:t>
      </w:r>
    </w:p>
    <w:p w14:paraId="49610AA0" w14:textId="77777777" w:rsidR="005C2D80" w:rsidRPr="00AB5E5F" w:rsidRDefault="005C2D80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29151845" w14:textId="77777777" w:rsidR="005C2D80" w:rsidRPr="00AB5E5F" w:rsidRDefault="00F73917" w:rsidP="00607BED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AB5E5F">
        <w:rPr>
          <w:rFonts w:asciiTheme="majorHAnsi" w:hAnsiTheme="majorHAnsi" w:cstheme="majorHAnsi"/>
          <w:b/>
          <w:bCs/>
          <w:sz w:val="24"/>
          <w:szCs w:val="24"/>
        </w:rPr>
        <w:t>Capítulo III</w:t>
      </w:r>
    </w:p>
    <w:p w14:paraId="43A00354" w14:textId="440846D8" w:rsidR="005C2D80" w:rsidRPr="00AB5E5F" w:rsidRDefault="00F73917" w:rsidP="00607BED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AB5E5F">
        <w:rPr>
          <w:rFonts w:asciiTheme="majorHAnsi" w:hAnsiTheme="majorHAnsi" w:cstheme="majorHAnsi"/>
          <w:b/>
          <w:bCs/>
          <w:sz w:val="24"/>
          <w:szCs w:val="24"/>
        </w:rPr>
        <w:t>Primer contacto de atención de casos de hostigamiento sexual y acoso sexual</w:t>
      </w:r>
    </w:p>
    <w:p w14:paraId="2EE6215B" w14:textId="77777777" w:rsidR="005C2D80" w:rsidRPr="00AB5E5F" w:rsidRDefault="005C2D80" w:rsidP="00607BED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39D04366" w14:textId="0C92A6FC" w:rsidR="005C2D80" w:rsidRPr="00AB5E5F" w:rsidRDefault="00F73917" w:rsidP="00607BED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AB5E5F">
        <w:rPr>
          <w:rFonts w:asciiTheme="majorHAnsi" w:hAnsiTheme="majorHAnsi" w:cstheme="majorHAnsi"/>
          <w:b/>
          <w:bCs/>
          <w:sz w:val="24"/>
          <w:szCs w:val="24"/>
        </w:rPr>
        <w:t>Sección primera</w:t>
      </w:r>
    </w:p>
    <w:p w14:paraId="3D2FE63F" w14:textId="711CD534" w:rsidR="00D4574A" w:rsidRPr="00AB5E5F" w:rsidRDefault="00F73917" w:rsidP="00607BED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AB5E5F">
        <w:rPr>
          <w:rFonts w:asciiTheme="majorHAnsi" w:hAnsiTheme="majorHAnsi" w:cstheme="majorHAnsi"/>
          <w:b/>
          <w:bCs/>
          <w:sz w:val="24"/>
          <w:szCs w:val="24"/>
        </w:rPr>
        <w:t>Vías e instancias competentes</w:t>
      </w:r>
    </w:p>
    <w:p w14:paraId="3F1DB1FB" w14:textId="77777777" w:rsidR="00D4574A" w:rsidRPr="00AB5E5F" w:rsidRDefault="00D4574A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6B1A5E99" w14:textId="7A2C2CEA" w:rsidR="00396004" w:rsidRPr="00AB5E5F" w:rsidRDefault="00F73917" w:rsidP="00F50FE0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B5E5F">
        <w:rPr>
          <w:rFonts w:asciiTheme="majorHAnsi" w:hAnsiTheme="majorHAnsi" w:cstheme="majorHAnsi"/>
          <w:b/>
          <w:bCs/>
          <w:sz w:val="24"/>
          <w:szCs w:val="24"/>
        </w:rPr>
        <w:t>23. Vías e instancias competentes</w:t>
      </w:r>
    </w:p>
    <w:p w14:paraId="31C9CA04" w14:textId="77777777" w:rsidR="004D3149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 xml:space="preserve">La presunta víctima podrá seguir el procedimiento ante las instancias que sugiere el protocolo, dejando a salvo su derecho a elegir la vía que estime más adecuada a sus intereses. El orden en el que las autoridades </w:t>
      </w:r>
      <w:r w:rsidR="004D3149" w:rsidRPr="00AB5E5F">
        <w:rPr>
          <w:rFonts w:asciiTheme="majorHAnsi" w:hAnsiTheme="majorHAnsi" w:cstheme="majorHAnsi"/>
          <w:sz w:val="24"/>
          <w:szCs w:val="24"/>
        </w:rPr>
        <w:t xml:space="preserve">del Inaip Yucatán, </w:t>
      </w:r>
      <w:r w:rsidRPr="00AB5E5F">
        <w:rPr>
          <w:rFonts w:asciiTheme="majorHAnsi" w:hAnsiTheme="majorHAnsi" w:cstheme="majorHAnsi"/>
          <w:sz w:val="24"/>
          <w:szCs w:val="24"/>
        </w:rPr>
        <w:t xml:space="preserve">conocerán del procedimiento será el siguiente: </w:t>
      </w:r>
    </w:p>
    <w:p w14:paraId="7A053054" w14:textId="2E55EF4B" w:rsidR="00607BED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 xml:space="preserve">I. Persona consejera. </w:t>
      </w:r>
    </w:p>
    <w:p w14:paraId="30EA41CC" w14:textId="77777777" w:rsidR="00607BED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 xml:space="preserve">II. Comité. </w:t>
      </w:r>
    </w:p>
    <w:p w14:paraId="6C2AEF7E" w14:textId="25EB05E1" w:rsidR="00D4574A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 xml:space="preserve">III. Órgano de control interno. </w:t>
      </w:r>
    </w:p>
    <w:p w14:paraId="20C05EE1" w14:textId="77777777" w:rsidR="00D4574A" w:rsidRPr="00AB5E5F" w:rsidRDefault="00D4574A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64000526" w14:textId="77777777" w:rsidR="00607BED" w:rsidRPr="00AB5E5F" w:rsidRDefault="00F73917" w:rsidP="00F50FE0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B5E5F">
        <w:rPr>
          <w:rFonts w:asciiTheme="majorHAnsi" w:hAnsiTheme="majorHAnsi" w:cstheme="majorHAnsi"/>
          <w:b/>
          <w:bCs/>
          <w:sz w:val="24"/>
          <w:szCs w:val="24"/>
        </w:rPr>
        <w:t xml:space="preserve">24. Elección de la presunta víctima </w:t>
      </w:r>
    </w:p>
    <w:p w14:paraId="4020BBAD" w14:textId="444D4940" w:rsidR="00D4574A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 xml:space="preserve">La presunta víctima podrá elegir ser auxiliada por la persona consejera, a efecto de recibir la orientación sobre las instancias para denunciar las conductas de hostigamiento sexual y acoso sexual. </w:t>
      </w:r>
    </w:p>
    <w:p w14:paraId="400FED61" w14:textId="77777777" w:rsidR="00D4574A" w:rsidRPr="00AB5E5F" w:rsidRDefault="00D4574A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75EDE3F4" w14:textId="2557D704" w:rsidR="00607BED" w:rsidRPr="00AB5E5F" w:rsidRDefault="00F73917" w:rsidP="00F50FE0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B5E5F">
        <w:rPr>
          <w:rFonts w:asciiTheme="majorHAnsi" w:hAnsiTheme="majorHAnsi" w:cstheme="majorHAnsi"/>
          <w:b/>
          <w:bCs/>
          <w:sz w:val="24"/>
          <w:szCs w:val="24"/>
        </w:rPr>
        <w:t>25. Constancia de narrativa</w:t>
      </w:r>
    </w:p>
    <w:p w14:paraId="6AFE5175" w14:textId="77777777" w:rsidR="00607BED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 xml:space="preserve">La persona consejera auxiliará en la narrativa de los hechos a la presunta víctima, la cual deberá constar por escrito y estar firmada. </w:t>
      </w:r>
    </w:p>
    <w:p w14:paraId="2DE1A9FC" w14:textId="77777777" w:rsidR="00607BED" w:rsidRPr="00AB5E5F" w:rsidRDefault="00607BED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35918F38" w14:textId="2C301516" w:rsidR="00607BED" w:rsidRPr="00AB5E5F" w:rsidRDefault="00F73917" w:rsidP="00607BED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AB5E5F">
        <w:rPr>
          <w:rFonts w:asciiTheme="majorHAnsi" w:hAnsiTheme="majorHAnsi" w:cstheme="majorHAnsi"/>
          <w:b/>
          <w:bCs/>
          <w:sz w:val="24"/>
          <w:szCs w:val="24"/>
        </w:rPr>
        <w:t>Sección segunda</w:t>
      </w:r>
    </w:p>
    <w:p w14:paraId="67796E10" w14:textId="4BA5BA3E" w:rsidR="00D4574A" w:rsidRPr="00AB5E5F" w:rsidRDefault="00F73917" w:rsidP="00607BED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AB5E5F">
        <w:rPr>
          <w:rFonts w:asciiTheme="majorHAnsi" w:hAnsiTheme="majorHAnsi" w:cstheme="majorHAnsi"/>
          <w:b/>
          <w:bCs/>
          <w:sz w:val="24"/>
          <w:szCs w:val="24"/>
        </w:rPr>
        <w:t>Atención especializada</w:t>
      </w:r>
    </w:p>
    <w:p w14:paraId="2D3D4F4F" w14:textId="77777777" w:rsidR="00D4574A" w:rsidRPr="00AB5E5F" w:rsidRDefault="00D4574A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427E6D7B" w14:textId="073AE3B3" w:rsidR="00607BED" w:rsidRPr="00AB5E5F" w:rsidRDefault="00F73917" w:rsidP="00F50FE0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B5E5F">
        <w:rPr>
          <w:rFonts w:asciiTheme="majorHAnsi" w:hAnsiTheme="majorHAnsi" w:cstheme="majorHAnsi"/>
          <w:b/>
          <w:bCs/>
          <w:sz w:val="24"/>
          <w:szCs w:val="24"/>
        </w:rPr>
        <w:t>26. Identificación de apoyo e intervención</w:t>
      </w:r>
    </w:p>
    <w:p w14:paraId="5A838BEA" w14:textId="77777777" w:rsidR="00607BED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 xml:space="preserve">En la atención de primer contacto, la persona consejera deberá identificar si la presunta víctima, requiere de apoyo o intervención de especialistas como personal médico, psicólogo, o cualquier otro que resulte necesario. </w:t>
      </w:r>
    </w:p>
    <w:p w14:paraId="1BC93535" w14:textId="77777777" w:rsidR="00D4574A" w:rsidRPr="00AB5E5F" w:rsidRDefault="00D4574A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76FD4330" w14:textId="77777777" w:rsidR="00607BED" w:rsidRPr="00AB5E5F" w:rsidRDefault="00F73917" w:rsidP="00F50FE0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B5E5F">
        <w:rPr>
          <w:rFonts w:asciiTheme="majorHAnsi" w:hAnsiTheme="majorHAnsi" w:cstheme="majorHAnsi"/>
          <w:b/>
          <w:bCs/>
          <w:sz w:val="24"/>
          <w:szCs w:val="24"/>
        </w:rPr>
        <w:lastRenderedPageBreak/>
        <w:t xml:space="preserve">27. Atención especializada </w:t>
      </w:r>
    </w:p>
    <w:p w14:paraId="4BECE3AC" w14:textId="7047A067" w:rsidR="00D4574A" w:rsidRPr="00AB5E5F" w:rsidRDefault="00607BED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>El Inaip Yucatán</w:t>
      </w:r>
      <w:r w:rsidR="00F73917" w:rsidRPr="00AB5E5F">
        <w:rPr>
          <w:rFonts w:asciiTheme="majorHAnsi" w:hAnsiTheme="majorHAnsi" w:cstheme="majorHAnsi"/>
          <w:sz w:val="24"/>
          <w:szCs w:val="24"/>
        </w:rPr>
        <w:t xml:space="preserve"> podrá otorgar la atención especializada a la presunta víctima</w:t>
      </w:r>
      <w:r w:rsidR="00A82AF6" w:rsidRPr="00AB5E5F">
        <w:rPr>
          <w:rFonts w:asciiTheme="majorHAnsi" w:hAnsiTheme="majorHAnsi" w:cstheme="majorHAnsi"/>
          <w:sz w:val="24"/>
          <w:szCs w:val="24"/>
        </w:rPr>
        <w:t>,</w:t>
      </w:r>
      <w:r w:rsidR="00F73917" w:rsidRPr="00AB5E5F">
        <w:rPr>
          <w:rFonts w:asciiTheme="majorHAnsi" w:hAnsiTheme="majorHAnsi" w:cstheme="majorHAnsi"/>
          <w:sz w:val="24"/>
          <w:szCs w:val="24"/>
        </w:rPr>
        <w:t xml:space="preserve"> a través de instituciones públicas, mediante la celebración de los instrumentos </w:t>
      </w:r>
      <w:r w:rsidR="00A82AF6" w:rsidRPr="00AB5E5F">
        <w:rPr>
          <w:rFonts w:asciiTheme="majorHAnsi" w:hAnsiTheme="majorHAnsi" w:cstheme="majorHAnsi"/>
          <w:sz w:val="24"/>
          <w:szCs w:val="24"/>
        </w:rPr>
        <w:t xml:space="preserve">de colaboración </w:t>
      </w:r>
      <w:r w:rsidR="00F73917" w:rsidRPr="00AB5E5F">
        <w:rPr>
          <w:rFonts w:asciiTheme="majorHAnsi" w:hAnsiTheme="majorHAnsi" w:cstheme="majorHAnsi"/>
          <w:sz w:val="24"/>
          <w:szCs w:val="24"/>
        </w:rPr>
        <w:t xml:space="preserve">correspondientes. </w:t>
      </w:r>
    </w:p>
    <w:p w14:paraId="128D7048" w14:textId="77777777" w:rsidR="00D4574A" w:rsidRPr="00AB5E5F" w:rsidRDefault="00D4574A" w:rsidP="00A82AF6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130E70F1" w14:textId="2C0F7809" w:rsidR="00A82AF6" w:rsidRPr="00AB5E5F" w:rsidRDefault="00F73917" w:rsidP="00A82AF6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AB5E5F">
        <w:rPr>
          <w:rFonts w:asciiTheme="majorHAnsi" w:hAnsiTheme="majorHAnsi" w:cstheme="majorHAnsi"/>
          <w:b/>
          <w:bCs/>
          <w:sz w:val="24"/>
          <w:szCs w:val="24"/>
        </w:rPr>
        <w:t>Capítulo IV</w:t>
      </w:r>
    </w:p>
    <w:p w14:paraId="7F3CEBE3" w14:textId="687CCABB" w:rsidR="00D4574A" w:rsidRPr="00AB5E5F" w:rsidRDefault="00F73917" w:rsidP="00A82AF6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AB5E5F">
        <w:rPr>
          <w:rFonts w:asciiTheme="majorHAnsi" w:hAnsiTheme="majorHAnsi" w:cstheme="majorHAnsi"/>
          <w:b/>
          <w:bCs/>
          <w:sz w:val="24"/>
          <w:szCs w:val="24"/>
        </w:rPr>
        <w:t>Investigación y sanción del hostigamiento sexual y acoso sexual</w:t>
      </w:r>
    </w:p>
    <w:p w14:paraId="2996DAC5" w14:textId="77777777" w:rsidR="00D4574A" w:rsidRPr="00AB5E5F" w:rsidRDefault="00D4574A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144A2FCA" w14:textId="7D181F43" w:rsidR="00A82AF6" w:rsidRPr="00AB5E5F" w:rsidRDefault="00F73917" w:rsidP="00A82AF6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AB5E5F">
        <w:rPr>
          <w:rFonts w:asciiTheme="majorHAnsi" w:hAnsiTheme="majorHAnsi" w:cstheme="majorHAnsi"/>
          <w:b/>
          <w:bCs/>
          <w:sz w:val="24"/>
          <w:szCs w:val="24"/>
        </w:rPr>
        <w:t>Sección primera</w:t>
      </w:r>
    </w:p>
    <w:p w14:paraId="6A6C84FB" w14:textId="0535E1BD" w:rsidR="00D4574A" w:rsidRPr="00AB5E5F" w:rsidRDefault="00F73917" w:rsidP="00A82AF6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AB5E5F">
        <w:rPr>
          <w:rFonts w:asciiTheme="majorHAnsi" w:hAnsiTheme="majorHAnsi" w:cstheme="majorHAnsi"/>
          <w:b/>
          <w:bCs/>
          <w:sz w:val="24"/>
          <w:szCs w:val="24"/>
        </w:rPr>
        <w:t>Sustanciación</w:t>
      </w:r>
    </w:p>
    <w:p w14:paraId="285795EF" w14:textId="77777777" w:rsidR="00D4574A" w:rsidRPr="00AB5E5F" w:rsidRDefault="00D4574A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7D755B48" w14:textId="77777777" w:rsidR="00A82AF6" w:rsidRPr="00AB5E5F" w:rsidRDefault="00F73917" w:rsidP="00F50FE0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B5E5F">
        <w:rPr>
          <w:rFonts w:asciiTheme="majorHAnsi" w:hAnsiTheme="majorHAnsi" w:cstheme="majorHAnsi"/>
          <w:b/>
          <w:bCs/>
          <w:sz w:val="24"/>
          <w:szCs w:val="24"/>
        </w:rPr>
        <w:t>28. Desahogo</w:t>
      </w:r>
    </w:p>
    <w:p w14:paraId="30714882" w14:textId="4011C271" w:rsidR="00D4574A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 xml:space="preserve">Los casos de hostigamiento sexual y acoso sexual que conozca el comité, se desahogarán conforme a lo dispuesto en </w:t>
      </w:r>
      <w:r w:rsidR="006376BF" w:rsidRPr="00AB5E5F">
        <w:rPr>
          <w:rFonts w:asciiTheme="majorHAnsi" w:hAnsiTheme="majorHAnsi" w:cstheme="majorHAnsi"/>
          <w:sz w:val="24"/>
          <w:szCs w:val="24"/>
        </w:rPr>
        <w:t>la normatividad aplicable</w:t>
      </w:r>
      <w:r w:rsidRPr="00AB5E5F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22F0A498" w14:textId="77777777" w:rsidR="00D4574A" w:rsidRPr="00AB5E5F" w:rsidRDefault="00D4574A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72BD0FF9" w14:textId="77777777" w:rsidR="00A82AF6" w:rsidRPr="00AB5E5F" w:rsidRDefault="00F73917" w:rsidP="00F50FE0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B5E5F">
        <w:rPr>
          <w:rFonts w:asciiTheme="majorHAnsi" w:hAnsiTheme="majorHAnsi" w:cstheme="majorHAnsi"/>
          <w:b/>
          <w:bCs/>
          <w:sz w:val="24"/>
          <w:szCs w:val="24"/>
        </w:rPr>
        <w:t xml:space="preserve">29. Sustanciación </w:t>
      </w:r>
    </w:p>
    <w:p w14:paraId="4C0567DA" w14:textId="77777777" w:rsidR="00A82AF6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 xml:space="preserve">La persona consejera hará del conocimiento del comité la narrativa de los hechos que haya formulado la presunta víctima, y dará seguimiento de su atención ante este. </w:t>
      </w:r>
    </w:p>
    <w:p w14:paraId="455E9B42" w14:textId="77777777" w:rsidR="00A82AF6" w:rsidRPr="00AB5E5F" w:rsidRDefault="00A82AF6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17279AB0" w14:textId="77777777" w:rsidR="006376BF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 xml:space="preserve">La presidenta o presidente del comité sin prejuzgar sobre la veracidad de los hechos, y atendiendo a las circunstancias del caso, podrá </w:t>
      </w:r>
      <w:r w:rsidR="006376BF" w:rsidRPr="00AB5E5F">
        <w:rPr>
          <w:rFonts w:asciiTheme="majorHAnsi" w:hAnsiTheme="majorHAnsi" w:cstheme="majorHAnsi"/>
          <w:sz w:val="24"/>
          <w:szCs w:val="24"/>
        </w:rPr>
        <w:t>gestionar ante el Pleno del Inaip Yucatán</w:t>
      </w:r>
      <w:r w:rsidRPr="00AB5E5F">
        <w:rPr>
          <w:rFonts w:asciiTheme="majorHAnsi" w:hAnsiTheme="majorHAnsi" w:cstheme="majorHAnsi"/>
          <w:sz w:val="24"/>
          <w:szCs w:val="24"/>
        </w:rPr>
        <w:t xml:space="preserve">, entre otras medidas que tiendan a la protección de la presunta víctima, la reubicación física, el cambio de unidad administrativa, cambio de horario de trabajo y demás que sean eficaces para procurar su integridad, </w:t>
      </w:r>
      <w:r w:rsidR="006376BF" w:rsidRPr="00AB5E5F">
        <w:rPr>
          <w:rFonts w:asciiTheme="majorHAnsi" w:hAnsiTheme="majorHAnsi" w:cstheme="majorHAnsi"/>
          <w:sz w:val="24"/>
          <w:szCs w:val="24"/>
        </w:rPr>
        <w:t>en este mismo sentido propondrá la</w:t>
      </w:r>
      <w:r w:rsidRPr="00AB5E5F">
        <w:rPr>
          <w:rFonts w:asciiTheme="majorHAnsi" w:hAnsiTheme="majorHAnsi" w:cstheme="majorHAnsi"/>
          <w:sz w:val="24"/>
          <w:szCs w:val="24"/>
        </w:rPr>
        <w:t xml:space="preserve"> vigencia</w:t>
      </w:r>
      <w:r w:rsidR="006376BF" w:rsidRPr="00AB5E5F">
        <w:rPr>
          <w:rFonts w:asciiTheme="majorHAnsi" w:hAnsiTheme="majorHAnsi" w:cstheme="majorHAnsi"/>
          <w:sz w:val="24"/>
          <w:szCs w:val="24"/>
        </w:rPr>
        <w:t xml:space="preserve"> de las citadas medidas</w:t>
      </w:r>
      <w:r w:rsidRPr="00AB5E5F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1A48B2E0" w14:textId="77777777" w:rsidR="006376BF" w:rsidRPr="00AB5E5F" w:rsidRDefault="006376BF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332AE64C" w14:textId="5E36C209" w:rsidR="00D4574A" w:rsidRPr="00AB5E5F" w:rsidRDefault="006376BF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>El Pleno de así considerarlo, podrá adoptar</w:t>
      </w:r>
      <w:r w:rsidR="00F73917" w:rsidRPr="00AB5E5F">
        <w:rPr>
          <w:rFonts w:asciiTheme="majorHAnsi" w:hAnsiTheme="majorHAnsi" w:cstheme="majorHAnsi"/>
          <w:sz w:val="24"/>
          <w:szCs w:val="24"/>
        </w:rPr>
        <w:t xml:space="preserve"> las medidas referidas en el párrafo anterior, </w:t>
      </w:r>
      <w:r w:rsidRPr="00AB5E5F">
        <w:rPr>
          <w:rFonts w:asciiTheme="majorHAnsi" w:hAnsiTheme="majorHAnsi" w:cstheme="majorHAnsi"/>
          <w:sz w:val="24"/>
          <w:szCs w:val="24"/>
        </w:rPr>
        <w:t>por lo que</w:t>
      </w:r>
      <w:r w:rsidR="00F73917" w:rsidRPr="00AB5E5F">
        <w:rPr>
          <w:rFonts w:asciiTheme="majorHAnsi" w:hAnsiTheme="majorHAnsi" w:cstheme="majorHAnsi"/>
          <w:sz w:val="24"/>
          <w:szCs w:val="24"/>
        </w:rPr>
        <w:t xml:space="preserve"> deberá contar con la anuencia de la presunta víctima. </w:t>
      </w:r>
      <w:r w:rsidRPr="00AB5E5F">
        <w:rPr>
          <w:rFonts w:asciiTheme="majorHAnsi" w:hAnsiTheme="majorHAnsi" w:cstheme="majorHAnsi"/>
          <w:sz w:val="24"/>
          <w:szCs w:val="24"/>
        </w:rPr>
        <w:t>Posteriormente se</w:t>
      </w:r>
      <w:r w:rsidR="00F73917" w:rsidRPr="00AB5E5F">
        <w:rPr>
          <w:rFonts w:asciiTheme="majorHAnsi" w:hAnsiTheme="majorHAnsi" w:cstheme="majorHAnsi"/>
          <w:sz w:val="24"/>
          <w:szCs w:val="24"/>
        </w:rPr>
        <w:t xml:space="preserve"> comunicará a la presunta víctima y a la persona consejera las observaciones o recomendaciones adoptadas por e</w:t>
      </w:r>
      <w:r w:rsidRPr="00AB5E5F">
        <w:rPr>
          <w:rFonts w:asciiTheme="majorHAnsi" w:hAnsiTheme="majorHAnsi" w:cstheme="majorHAnsi"/>
          <w:sz w:val="24"/>
          <w:szCs w:val="24"/>
        </w:rPr>
        <w:t>l Pleno</w:t>
      </w:r>
      <w:r w:rsidR="00F73917" w:rsidRPr="00AB5E5F">
        <w:rPr>
          <w:rFonts w:asciiTheme="majorHAnsi" w:hAnsiTheme="majorHAnsi" w:cstheme="majorHAnsi"/>
          <w:sz w:val="24"/>
          <w:szCs w:val="24"/>
        </w:rPr>
        <w:t xml:space="preserve">, para que, en su caso, dé el acompañamiento correspondiente. </w:t>
      </w:r>
    </w:p>
    <w:p w14:paraId="7D011D42" w14:textId="77777777" w:rsidR="00D4574A" w:rsidRPr="00AB5E5F" w:rsidRDefault="00D4574A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454DB574" w14:textId="75BECA1A" w:rsidR="00A82AF6" w:rsidRPr="00AB5E5F" w:rsidRDefault="00F73917" w:rsidP="00F50FE0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B5E5F">
        <w:rPr>
          <w:rFonts w:asciiTheme="majorHAnsi" w:hAnsiTheme="majorHAnsi" w:cstheme="majorHAnsi"/>
          <w:b/>
          <w:bCs/>
          <w:sz w:val="24"/>
          <w:szCs w:val="24"/>
        </w:rPr>
        <w:t>30. Obligación del comité</w:t>
      </w:r>
    </w:p>
    <w:p w14:paraId="4665D16A" w14:textId="77777777" w:rsidR="00A82AF6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 xml:space="preserve">El comité dará vista al órgano de control interno de las conductas que puedan constituir responsabilidad administrativa en términos de la normatividad aplicable en la materia. </w:t>
      </w:r>
    </w:p>
    <w:p w14:paraId="1988234F" w14:textId="77777777" w:rsidR="00A82AF6" w:rsidRPr="00AB5E5F" w:rsidRDefault="00A82AF6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41CF918C" w14:textId="530F7808" w:rsidR="00A82AF6" w:rsidRPr="00AB5E5F" w:rsidRDefault="00F73917" w:rsidP="00A82AF6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AB5E5F">
        <w:rPr>
          <w:rFonts w:asciiTheme="majorHAnsi" w:hAnsiTheme="majorHAnsi" w:cstheme="majorHAnsi"/>
          <w:b/>
          <w:bCs/>
          <w:sz w:val="24"/>
          <w:szCs w:val="24"/>
        </w:rPr>
        <w:t>Sección segunda</w:t>
      </w:r>
    </w:p>
    <w:p w14:paraId="7340528F" w14:textId="137CB263" w:rsidR="00D4574A" w:rsidRPr="00AB5E5F" w:rsidRDefault="00F73917" w:rsidP="00A82AF6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AB5E5F">
        <w:rPr>
          <w:rFonts w:asciiTheme="majorHAnsi" w:hAnsiTheme="majorHAnsi" w:cstheme="majorHAnsi"/>
          <w:b/>
          <w:bCs/>
          <w:sz w:val="24"/>
          <w:szCs w:val="24"/>
        </w:rPr>
        <w:t>Investigación</w:t>
      </w:r>
    </w:p>
    <w:p w14:paraId="398032AC" w14:textId="77777777" w:rsidR="00D4574A" w:rsidRPr="00AB5E5F" w:rsidRDefault="00D4574A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33E331F1" w14:textId="77777777" w:rsidR="00A82AF6" w:rsidRPr="00AB5E5F" w:rsidRDefault="00F73917" w:rsidP="00F50FE0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B5E5F">
        <w:rPr>
          <w:rFonts w:asciiTheme="majorHAnsi" w:hAnsiTheme="majorHAnsi" w:cstheme="majorHAnsi"/>
          <w:b/>
          <w:bCs/>
          <w:sz w:val="24"/>
          <w:szCs w:val="24"/>
        </w:rPr>
        <w:t xml:space="preserve">31. Acuerdo de inicio de investigación </w:t>
      </w:r>
    </w:p>
    <w:p w14:paraId="4DA635FC" w14:textId="76AE379E" w:rsidR="00D4574A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>El órgano de control interno acordará el inicio de la investigación correspondiente a partir de la vista que realice el comité</w:t>
      </w:r>
      <w:r w:rsidR="006376BF" w:rsidRPr="00AB5E5F">
        <w:rPr>
          <w:rFonts w:asciiTheme="majorHAnsi" w:hAnsiTheme="majorHAnsi" w:cstheme="majorHAnsi"/>
          <w:sz w:val="24"/>
          <w:szCs w:val="24"/>
        </w:rPr>
        <w:t>.</w:t>
      </w:r>
    </w:p>
    <w:p w14:paraId="3A448CEB" w14:textId="77777777" w:rsidR="00D4574A" w:rsidRPr="00AB5E5F" w:rsidRDefault="00D4574A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6EA4031F" w14:textId="77777777" w:rsidR="006376BF" w:rsidRPr="00AB5E5F" w:rsidRDefault="00F73917" w:rsidP="00F50FE0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B5E5F">
        <w:rPr>
          <w:rFonts w:asciiTheme="majorHAnsi" w:hAnsiTheme="majorHAnsi" w:cstheme="majorHAnsi"/>
          <w:b/>
          <w:bCs/>
          <w:sz w:val="24"/>
          <w:szCs w:val="24"/>
        </w:rPr>
        <w:t>32. Conducción de las investigaciones</w:t>
      </w:r>
    </w:p>
    <w:p w14:paraId="3F4566F3" w14:textId="77777777" w:rsidR="006376BF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 xml:space="preserve">Acorde con los principios de legalidad, respeto, protección y garantía de la dignidad e integridad personal, las investigaciones relacionadas con el hostigamiento sexual y acoso sexual serán conducidas por las autoridades que correspondan de manera que la presunta víctima no sufra un mayor agravio. </w:t>
      </w:r>
    </w:p>
    <w:p w14:paraId="4DC6527F" w14:textId="77777777" w:rsidR="006376BF" w:rsidRPr="00AB5E5F" w:rsidRDefault="006376BF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24D5EB03" w14:textId="77777777" w:rsidR="00A82AF6" w:rsidRPr="00AB5E5F" w:rsidRDefault="00F73917" w:rsidP="00F50FE0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B5E5F">
        <w:rPr>
          <w:rFonts w:asciiTheme="majorHAnsi" w:hAnsiTheme="majorHAnsi" w:cstheme="majorHAnsi"/>
          <w:b/>
          <w:bCs/>
          <w:sz w:val="24"/>
          <w:szCs w:val="24"/>
        </w:rPr>
        <w:t xml:space="preserve">33. Procedimiento administrativo </w:t>
      </w:r>
    </w:p>
    <w:p w14:paraId="13E1E7C1" w14:textId="54FA886B" w:rsidR="00A82AF6" w:rsidRPr="00AB5E5F" w:rsidRDefault="00A05F21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>El</w:t>
      </w:r>
      <w:r w:rsidR="00F73917" w:rsidRPr="00AB5E5F">
        <w:rPr>
          <w:rFonts w:asciiTheme="majorHAnsi" w:hAnsiTheme="majorHAnsi" w:cstheme="majorHAnsi"/>
          <w:sz w:val="24"/>
          <w:szCs w:val="24"/>
        </w:rPr>
        <w:t xml:space="preserve"> órgano de control interno llevará a cabo el procedimiento administrativo que corresponda, en términos de las disposiciones normativas aplicables</w:t>
      </w:r>
      <w:r w:rsidR="0032632D" w:rsidRPr="00AB5E5F">
        <w:rPr>
          <w:rFonts w:asciiTheme="majorHAnsi" w:hAnsiTheme="majorHAnsi" w:cstheme="majorHAnsi"/>
          <w:sz w:val="24"/>
          <w:szCs w:val="24"/>
        </w:rPr>
        <w:t>,</w:t>
      </w:r>
      <w:r w:rsidR="00F73917" w:rsidRPr="00AB5E5F">
        <w:rPr>
          <w:rFonts w:asciiTheme="majorHAnsi" w:hAnsiTheme="majorHAnsi" w:cstheme="majorHAnsi"/>
          <w:sz w:val="24"/>
          <w:szCs w:val="24"/>
        </w:rPr>
        <w:t xml:space="preserve"> en torno a la investigación de casos de hostigamiento sexual y acoso sexual. </w:t>
      </w:r>
    </w:p>
    <w:p w14:paraId="640D714B" w14:textId="77777777" w:rsidR="00A82AF6" w:rsidRPr="00AB5E5F" w:rsidRDefault="00A82AF6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51F2BD9E" w14:textId="68613D46" w:rsidR="00A82AF6" w:rsidRPr="00AB5E5F" w:rsidRDefault="00F73917" w:rsidP="00A82AF6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AB5E5F">
        <w:rPr>
          <w:rFonts w:asciiTheme="majorHAnsi" w:hAnsiTheme="majorHAnsi" w:cstheme="majorHAnsi"/>
          <w:b/>
          <w:bCs/>
          <w:sz w:val="24"/>
          <w:szCs w:val="24"/>
        </w:rPr>
        <w:t>Sección tercera</w:t>
      </w:r>
    </w:p>
    <w:p w14:paraId="2B2B2B47" w14:textId="75788F54" w:rsidR="00D4574A" w:rsidRPr="00AB5E5F" w:rsidRDefault="00F73917" w:rsidP="00A82AF6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AB5E5F">
        <w:rPr>
          <w:rFonts w:asciiTheme="majorHAnsi" w:hAnsiTheme="majorHAnsi" w:cstheme="majorHAnsi"/>
          <w:b/>
          <w:bCs/>
          <w:sz w:val="24"/>
          <w:szCs w:val="24"/>
        </w:rPr>
        <w:t>Sanciones</w:t>
      </w:r>
    </w:p>
    <w:p w14:paraId="43F9D166" w14:textId="77777777" w:rsidR="00D4574A" w:rsidRPr="00AB5E5F" w:rsidRDefault="00D4574A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29E85826" w14:textId="77777777" w:rsidR="00A82AF6" w:rsidRPr="00AB5E5F" w:rsidRDefault="00F73917" w:rsidP="00F50FE0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B5E5F">
        <w:rPr>
          <w:rFonts w:asciiTheme="majorHAnsi" w:hAnsiTheme="majorHAnsi" w:cstheme="majorHAnsi"/>
          <w:b/>
          <w:bCs/>
          <w:sz w:val="24"/>
          <w:szCs w:val="24"/>
        </w:rPr>
        <w:t xml:space="preserve">34. Responsabilidades y sanciones </w:t>
      </w:r>
    </w:p>
    <w:p w14:paraId="6069A467" w14:textId="001C99A2" w:rsidR="00D4574A" w:rsidRPr="00AB5E5F" w:rsidRDefault="00A05F21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>El órgano de control interno</w:t>
      </w:r>
      <w:r w:rsidR="00F73917" w:rsidRPr="00AB5E5F">
        <w:rPr>
          <w:rFonts w:asciiTheme="majorHAnsi" w:hAnsiTheme="majorHAnsi" w:cstheme="majorHAnsi"/>
          <w:sz w:val="24"/>
          <w:szCs w:val="24"/>
        </w:rPr>
        <w:t xml:space="preserve"> fincará las responsabilidades a que haya lugar e impondrán, en su caso, las sanciones administrativas respectivas, conforme al procedimiento establecido en la</w:t>
      </w:r>
      <w:r w:rsidRPr="00AB5E5F">
        <w:rPr>
          <w:rFonts w:asciiTheme="majorHAnsi" w:hAnsiTheme="majorHAnsi" w:cstheme="majorHAnsi"/>
          <w:sz w:val="24"/>
          <w:szCs w:val="24"/>
        </w:rPr>
        <w:t>s</w:t>
      </w:r>
      <w:r w:rsidR="00F73917" w:rsidRPr="00AB5E5F">
        <w:rPr>
          <w:rFonts w:asciiTheme="majorHAnsi" w:hAnsiTheme="majorHAnsi" w:cstheme="majorHAnsi"/>
          <w:sz w:val="24"/>
          <w:szCs w:val="24"/>
        </w:rPr>
        <w:t xml:space="preserve"> </w:t>
      </w:r>
      <w:r w:rsidRPr="00AB5E5F">
        <w:rPr>
          <w:rFonts w:asciiTheme="majorHAnsi" w:hAnsiTheme="majorHAnsi" w:cstheme="majorHAnsi"/>
          <w:sz w:val="24"/>
          <w:szCs w:val="24"/>
        </w:rPr>
        <w:t>disposiciones normativas aplicables</w:t>
      </w:r>
      <w:r w:rsidR="00F73917" w:rsidRPr="00AB5E5F">
        <w:rPr>
          <w:rFonts w:asciiTheme="majorHAnsi" w:hAnsiTheme="majorHAnsi" w:cstheme="majorHAnsi"/>
          <w:sz w:val="24"/>
          <w:szCs w:val="24"/>
        </w:rPr>
        <w:t>.</w:t>
      </w:r>
    </w:p>
    <w:p w14:paraId="3704BE72" w14:textId="77777777" w:rsidR="00D4574A" w:rsidRPr="00AB5E5F" w:rsidRDefault="00D4574A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49004D17" w14:textId="48772E2B" w:rsidR="00A82AF6" w:rsidRPr="00AB5E5F" w:rsidRDefault="00F73917" w:rsidP="00A82AF6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AB5E5F">
        <w:rPr>
          <w:rFonts w:asciiTheme="majorHAnsi" w:hAnsiTheme="majorHAnsi" w:cstheme="majorHAnsi"/>
          <w:b/>
          <w:bCs/>
          <w:sz w:val="24"/>
          <w:szCs w:val="24"/>
        </w:rPr>
        <w:t>Capítulo V</w:t>
      </w:r>
    </w:p>
    <w:p w14:paraId="5CD12060" w14:textId="1F331192" w:rsidR="00D4574A" w:rsidRPr="00AB5E5F" w:rsidRDefault="00F73917" w:rsidP="00A82AF6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AB5E5F">
        <w:rPr>
          <w:rFonts w:asciiTheme="majorHAnsi" w:hAnsiTheme="majorHAnsi" w:cstheme="majorHAnsi"/>
          <w:b/>
          <w:bCs/>
          <w:sz w:val="24"/>
          <w:szCs w:val="24"/>
        </w:rPr>
        <w:t>Registro de casos</w:t>
      </w:r>
    </w:p>
    <w:p w14:paraId="283C56D0" w14:textId="77777777" w:rsidR="00D4574A" w:rsidRPr="00AB5E5F" w:rsidRDefault="00D4574A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56945566" w14:textId="643E9253" w:rsidR="00A82AF6" w:rsidRPr="00AB5E5F" w:rsidRDefault="00F73917" w:rsidP="00F50FE0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B5E5F">
        <w:rPr>
          <w:rFonts w:asciiTheme="majorHAnsi" w:hAnsiTheme="majorHAnsi" w:cstheme="majorHAnsi"/>
          <w:b/>
          <w:bCs/>
          <w:sz w:val="24"/>
          <w:szCs w:val="24"/>
        </w:rPr>
        <w:t>35. Registro de casos</w:t>
      </w:r>
    </w:p>
    <w:p w14:paraId="6F8839C1" w14:textId="059DF639" w:rsidR="00D4574A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 xml:space="preserve">El </w:t>
      </w:r>
      <w:r w:rsidR="00A05F21" w:rsidRPr="00AB5E5F">
        <w:rPr>
          <w:rFonts w:asciiTheme="majorHAnsi" w:hAnsiTheme="majorHAnsi" w:cstheme="majorHAnsi"/>
          <w:sz w:val="24"/>
          <w:szCs w:val="24"/>
        </w:rPr>
        <w:t xml:space="preserve">Inaip Yucatán, a través de la </w:t>
      </w:r>
      <w:r w:rsidR="00256A73">
        <w:rPr>
          <w:rFonts w:asciiTheme="majorHAnsi" w:hAnsiTheme="majorHAnsi" w:cstheme="majorHAnsi"/>
          <w:sz w:val="24"/>
          <w:szCs w:val="24"/>
        </w:rPr>
        <w:t>Unidad de Igualdad de Género</w:t>
      </w:r>
      <w:r w:rsidR="00A05F21" w:rsidRPr="00AB5E5F">
        <w:rPr>
          <w:rFonts w:asciiTheme="majorHAnsi" w:hAnsiTheme="majorHAnsi" w:cstheme="majorHAnsi"/>
          <w:sz w:val="24"/>
          <w:szCs w:val="24"/>
        </w:rPr>
        <w:t>,</w:t>
      </w:r>
      <w:r w:rsidRPr="00AB5E5F">
        <w:rPr>
          <w:rFonts w:asciiTheme="majorHAnsi" w:hAnsiTheme="majorHAnsi" w:cstheme="majorHAnsi"/>
          <w:sz w:val="24"/>
          <w:szCs w:val="24"/>
        </w:rPr>
        <w:t xml:space="preserve"> contará con un registro de casos de hostigamiento sexual y acoso sexual, sus modalidades en el servicio público, de sus causas, características y de las determinaciones o recomendaciones que se hayan adoptado sobre éstos.</w:t>
      </w:r>
    </w:p>
    <w:p w14:paraId="59E77A51" w14:textId="77777777" w:rsidR="00D4574A" w:rsidRPr="00AB5E5F" w:rsidRDefault="00D4574A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0A0FD557" w14:textId="77777777" w:rsidR="00A82AF6" w:rsidRPr="00AB5E5F" w:rsidRDefault="00F73917" w:rsidP="00F50FE0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B5E5F">
        <w:rPr>
          <w:rFonts w:asciiTheme="majorHAnsi" w:hAnsiTheme="majorHAnsi" w:cstheme="majorHAnsi"/>
          <w:b/>
          <w:bCs/>
          <w:sz w:val="24"/>
          <w:szCs w:val="24"/>
        </w:rPr>
        <w:t xml:space="preserve">36. Informe anual </w:t>
      </w:r>
    </w:p>
    <w:p w14:paraId="2CD13B20" w14:textId="2964771A" w:rsidR="00D4574A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 xml:space="preserve">El </w:t>
      </w:r>
      <w:r w:rsidR="00A05F21" w:rsidRPr="00AB5E5F">
        <w:rPr>
          <w:rFonts w:asciiTheme="majorHAnsi" w:hAnsiTheme="majorHAnsi" w:cstheme="majorHAnsi"/>
          <w:sz w:val="24"/>
          <w:szCs w:val="24"/>
        </w:rPr>
        <w:t xml:space="preserve">Inaip Yucatán, a través de la </w:t>
      </w:r>
      <w:r w:rsidR="00256A73">
        <w:rPr>
          <w:rFonts w:asciiTheme="majorHAnsi" w:hAnsiTheme="majorHAnsi" w:cstheme="majorHAnsi"/>
          <w:sz w:val="24"/>
          <w:szCs w:val="24"/>
        </w:rPr>
        <w:t>Unidad de Igualdad de Género</w:t>
      </w:r>
      <w:r w:rsidR="00A05F21" w:rsidRPr="00AB5E5F">
        <w:rPr>
          <w:rFonts w:asciiTheme="majorHAnsi" w:hAnsiTheme="majorHAnsi" w:cstheme="majorHAnsi"/>
          <w:sz w:val="24"/>
          <w:szCs w:val="24"/>
        </w:rPr>
        <w:t>,</w:t>
      </w:r>
      <w:r w:rsidRPr="00AB5E5F">
        <w:rPr>
          <w:rFonts w:asciiTheme="majorHAnsi" w:hAnsiTheme="majorHAnsi" w:cstheme="majorHAnsi"/>
          <w:sz w:val="24"/>
          <w:szCs w:val="24"/>
        </w:rPr>
        <w:t xml:space="preserve"> elaborará un informe anual sobre denuncias de hostigamiento sexual y acoso sexual en </w:t>
      </w:r>
      <w:r w:rsidR="00A05F21" w:rsidRPr="00AB5E5F">
        <w:rPr>
          <w:rFonts w:asciiTheme="majorHAnsi" w:hAnsiTheme="majorHAnsi" w:cstheme="majorHAnsi"/>
          <w:sz w:val="24"/>
          <w:szCs w:val="24"/>
        </w:rPr>
        <w:t>Instituto</w:t>
      </w:r>
      <w:r w:rsidRPr="00AB5E5F">
        <w:rPr>
          <w:rFonts w:asciiTheme="majorHAnsi" w:hAnsiTheme="majorHAnsi" w:cstheme="majorHAnsi"/>
          <w:sz w:val="24"/>
          <w:szCs w:val="24"/>
        </w:rPr>
        <w:t>.</w:t>
      </w:r>
    </w:p>
    <w:p w14:paraId="38278117" w14:textId="77777777" w:rsidR="00D4574A" w:rsidRPr="00AB5E5F" w:rsidRDefault="00D4574A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39BCCF22" w14:textId="1C7826DA" w:rsidR="00D4574A" w:rsidRPr="00AB5E5F" w:rsidRDefault="00F73917" w:rsidP="00A82AF6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AB5E5F">
        <w:rPr>
          <w:rFonts w:asciiTheme="majorHAnsi" w:hAnsiTheme="majorHAnsi" w:cstheme="majorHAnsi"/>
          <w:b/>
          <w:bCs/>
          <w:sz w:val="24"/>
          <w:szCs w:val="24"/>
        </w:rPr>
        <w:lastRenderedPageBreak/>
        <w:t>Artículos transitorios</w:t>
      </w:r>
    </w:p>
    <w:p w14:paraId="43D90E85" w14:textId="77777777" w:rsidR="00D4574A" w:rsidRPr="00AB5E5F" w:rsidRDefault="00D4574A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015C5CD9" w14:textId="77777777" w:rsidR="00A05F21" w:rsidRPr="00AB5E5F" w:rsidRDefault="00F73917" w:rsidP="00F50FE0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B5E5F">
        <w:rPr>
          <w:rFonts w:asciiTheme="majorHAnsi" w:hAnsiTheme="majorHAnsi" w:cstheme="majorHAnsi"/>
          <w:b/>
          <w:bCs/>
          <w:sz w:val="24"/>
          <w:szCs w:val="24"/>
        </w:rPr>
        <w:t xml:space="preserve">Primero. Entrada en vigor </w:t>
      </w:r>
    </w:p>
    <w:p w14:paraId="4859AE21" w14:textId="17DEC618" w:rsidR="00D4574A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 xml:space="preserve">El Protocolo para la prevención, atención y sanción del hostigamiento sexual y acoso sexual en el </w:t>
      </w:r>
      <w:r w:rsidR="00A05F21" w:rsidRPr="00AB5E5F">
        <w:rPr>
          <w:rFonts w:asciiTheme="majorHAnsi" w:hAnsiTheme="majorHAnsi" w:cstheme="majorHAnsi"/>
          <w:sz w:val="24"/>
          <w:szCs w:val="24"/>
        </w:rPr>
        <w:t>Inaip Yucatán</w:t>
      </w:r>
      <w:r w:rsidRPr="00AB5E5F">
        <w:rPr>
          <w:rFonts w:asciiTheme="majorHAnsi" w:hAnsiTheme="majorHAnsi" w:cstheme="majorHAnsi"/>
          <w:sz w:val="24"/>
          <w:szCs w:val="24"/>
        </w:rPr>
        <w:t xml:space="preserve">, entrará en vigor el día siguiente al de su </w:t>
      </w:r>
      <w:r w:rsidR="00A05F21" w:rsidRPr="00AB5E5F">
        <w:rPr>
          <w:rFonts w:asciiTheme="majorHAnsi" w:hAnsiTheme="majorHAnsi" w:cstheme="majorHAnsi"/>
          <w:sz w:val="24"/>
          <w:szCs w:val="24"/>
        </w:rPr>
        <w:t>aprobación</w:t>
      </w:r>
      <w:r w:rsidRPr="00AB5E5F">
        <w:rPr>
          <w:rFonts w:asciiTheme="majorHAnsi" w:hAnsiTheme="majorHAnsi" w:cstheme="majorHAnsi"/>
          <w:sz w:val="24"/>
          <w:szCs w:val="24"/>
        </w:rPr>
        <w:t>.</w:t>
      </w:r>
    </w:p>
    <w:p w14:paraId="69DBBCBD" w14:textId="77777777" w:rsidR="00D4574A" w:rsidRPr="00AB5E5F" w:rsidRDefault="00D4574A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4D39AC7F" w14:textId="77777777" w:rsidR="00A05F21" w:rsidRPr="00AB5E5F" w:rsidRDefault="00F73917" w:rsidP="00F50FE0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B5E5F">
        <w:rPr>
          <w:rFonts w:asciiTheme="majorHAnsi" w:hAnsiTheme="majorHAnsi" w:cstheme="majorHAnsi"/>
          <w:b/>
          <w:bCs/>
          <w:sz w:val="24"/>
          <w:szCs w:val="24"/>
        </w:rPr>
        <w:t xml:space="preserve">Segundo. Aplicación y observancia </w:t>
      </w:r>
    </w:p>
    <w:p w14:paraId="33DAF68C" w14:textId="3113D9F2" w:rsidR="00D4574A" w:rsidRPr="00AB5E5F" w:rsidRDefault="00F73917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 xml:space="preserve">La aplicación y observancia del Protocolo para la prevención, atención y sanción del hostigamiento sexual y acoso sexual en el </w:t>
      </w:r>
      <w:r w:rsidR="00A05F21" w:rsidRPr="00AB5E5F">
        <w:rPr>
          <w:rFonts w:asciiTheme="majorHAnsi" w:hAnsiTheme="majorHAnsi" w:cstheme="majorHAnsi"/>
          <w:sz w:val="24"/>
          <w:szCs w:val="24"/>
        </w:rPr>
        <w:t>Inaip</w:t>
      </w:r>
      <w:r w:rsidRPr="00AB5E5F">
        <w:rPr>
          <w:rFonts w:asciiTheme="majorHAnsi" w:hAnsiTheme="majorHAnsi" w:cstheme="majorHAnsi"/>
          <w:sz w:val="24"/>
          <w:szCs w:val="24"/>
        </w:rPr>
        <w:t xml:space="preserve"> Yucatán deberá hacerse con los recursos humanos, materiales y presupuestarios asignados a</w:t>
      </w:r>
      <w:r w:rsidR="00A05F21" w:rsidRPr="00AB5E5F">
        <w:rPr>
          <w:rFonts w:asciiTheme="majorHAnsi" w:hAnsiTheme="majorHAnsi" w:cstheme="majorHAnsi"/>
          <w:sz w:val="24"/>
          <w:szCs w:val="24"/>
        </w:rPr>
        <w:t>l Instituto</w:t>
      </w:r>
      <w:r w:rsidRPr="00AB5E5F">
        <w:rPr>
          <w:rFonts w:asciiTheme="majorHAnsi" w:hAnsiTheme="majorHAnsi" w:cstheme="majorHAnsi"/>
          <w:sz w:val="24"/>
          <w:szCs w:val="24"/>
        </w:rPr>
        <w:t>, por lo que no implicará erogaciones adicionales.</w:t>
      </w:r>
    </w:p>
    <w:p w14:paraId="64C90AD1" w14:textId="77777777" w:rsidR="00D4574A" w:rsidRPr="00AB5E5F" w:rsidRDefault="00D4574A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59C6CE10" w14:textId="77777777" w:rsidR="00A05F21" w:rsidRPr="00AB5E5F" w:rsidRDefault="00F73917" w:rsidP="00F50FE0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B5E5F">
        <w:rPr>
          <w:rFonts w:asciiTheme="majorHAnsi" w:hAnsiTheme="majorHAnsi" w:cstheme="majorHAnsi"/>
          <w:b/>
          <w:bCs/>
          <w:sz w:val="24"/>
          <w:szCs w:val="24"/>
        </w:rPr>
        <w:t xml:space="preserve">Tercero. Designación de personas consejeras </w:t>
      </w:r>
    </w:p>
    <w:p w14:paraId="03EAF087" w14:textId="2A50574D" w:rsidR="00A05F21" w:rsidRPr="00AB5E5F" w:rsidRDefault="00A05F21" w:rsidP="00F50F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5E5F">
        <w:rPr>
          <w:rFonts w:asciiTheme="majorHAnsi" w:hAnsiTheme="majorHAnsi" w:cstheme="majorHAnsi"/>
          <w:sz w:val="24"/>
          <w:szCs w:val="24"/>
        </w:rPr>
        <w:t>El Pleno del Inaip Yucatán</w:t>
      </w:r>
      <w:r w:rsidR="00F73917" w:rsidRPr="00AB5E5F">
        <w:rPr>
          <w:rFonts w:asciiTheme="majorHAnsi" w:hAnsiTheme="majorHAnsi" w:cstheme="majorHAnsi"/>
          <w:sz w:val="24"/>
          <w:szCs w:val="24"/>
        </w:rPr>
        <w:t xml:space="preserve"> designará libremente a las servidores o servidores públicos que fungirán como personas consejeras dentro de los </w:t>
      </w:r>
      <w:r w:rsidRPr="00AB5E5F">
        <w:rPr>
          <w:rFonts w:asciiTheme="majorHAnsi" w:hAnsiTheme="majorHAnsi" w:cstheme="majorHAnsi"/>
          <w:sz w:val="24"/>
          <w:szCs w:val="24"/>
        </w:rPr>
        <w:t>30</w:t>
      </w:r>
      <w:r w:rsidR="00F73917" w:rsidRPr="00AB5E5F">
        <w:rPr>
          <w:rFonts w:asciiTheme="majorHAnsi" w:hAnsiTheme="majorHAnsi" w:cstheme="majorHAnsi"/>
          <w:sz w:val="24"/>
          <w:szCs w:val="24"/>
        </w:rPr>
        <w:t xml:space="preserve"> días hábiles siguientes a la entrada en vigor del </w:t>
      </w:r>
      <w:r w:rsidRPr="00AB5E5F">
        <w:rPr>
          <w:rFonts w:asciiTheme="majorHAnsi" w:hAnsiTheme="majorHAnsi" w:cstheme="majorHAnsi"/>
          <w:sz w:val="24"/>
          <w:szCs w:val="24"/>
        </w:rPr>
        <w:t xml:space="preserve">presente </w:t>
      </w:r>
      <w:r w:rsidR="00F73917" w:rsidRPr="00AB5E5F">
        <w:rPr>
          <w:rFonts w:asciiTheme="majorHAnsi" w:hAnsiTheme="majorHAnsi" w:cstheme="majorHAnsi"/>
          <w:sz w:val="24"/>
          <w:szCs w:val="24"/>
        </w:rPr>
        <w:t>Protocolo.</w:t>
      </w:r>
    </w:p>
    <w:sectPr w:rsidR="00A05F21" w:rsidRPr="00AB5E5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0189A" w14:textId="77777777" w:rsidR="00E40DD6" w:rsidRDefault="00E40DD6" w:rsidP="00AB5E5F">
      <w:pPr>
        <w:spacing w:after="0" w:line="240" w:lineRule="auto"/>
      </w:pPr>
      <w:r>
        <w:separator/>
      </w:r>
    </w:p>
  </w:endnote>
  <w:endnote w:type="continuationSeparator" w:id="0">
    <w:p w14:paraId="601FDE88" w14:textId="77777777" w:rsidR="00E40DD6" w:rsidRDefault="00E40DD6" w:rsidP="00AB5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B8C40" w14:textId="77777777" w:rsidR="00E40DD6" w:rsidRDefault="00E40DD6" w:rsidP="00AB5E5F">
      <w:pPr>
        <w:spacing w:after="0" w:line="240" w:lineRule="auto"/>
      </w:pPr>
      <w:r>
        <w:separator/>
      </w:r>
    </w:p>
  </w:footnote>
  <w:footnote w:type="continuationSeparator" w:id="0">
    <w:p w14:paraId="4146EF82" w14:textId="77777777" w:rsidR="00E40DD6" w:rsidRDefault="00E40DD6" w:rsidP="00AB5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24924" w14:textId="5620A223" w:rsidR="00AB5E5F" w:rsidRDefault="00AB5E5F">
    <w:pPr>
      <w:pStyle w:val="Encabezado"/>
    </w:pPr>
    <w:r>
      <w:rPr>
        <w:noProof/>
        <w:lang w:eastAsia="es-MX"/>
      </w:rPr>
      <w:drawing>
        <wp:inline distT="0" distB="0" distL="0" distR="0" wp14:anchorId="0EB85904" wp14:editId="38920D9A">
          <wp:extent cx="5612130" cy="944245"/>
          <wp:effectExtent l="0" t="0" r="762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944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F906B6" w14:textId="1F06E0AA" w:rsidR="00AB5E5F" w:rsidRPr="00C732D1" w:rsidRDefault="00C732D1" w:rsidP="00C732D1">
    <w:pPr>
      <w:pStyle w:val="Encabezado"/>
      <w:jc w:val="right"/>
      <w:rPr>
        <w:b/>
        <w:i/>
      </w:rPr>
    </w:pPr>
    <w:r w:rsidRPr="00C732D1">
      <w:rPr>
        <w:b/>
        <w:i/>
      </w:rPr>
      <w:t>Aprobado en sesión pública del Pleno de fecha 11 de marzo de 2021.</w:t>
    </w:r>
  </w:p>
  <w:p w14:paraId="65E59805" w14:textId="77777777" w:rsidR="00C732D1" w:rsidRPr="00C732D1" w:rsidRDefault="00C732D1" w:rsidP="00C732D1">
    <w:pPr>
      <w:pStyle w:val="Encabezado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917"/>
    <w:rsid w:val="00001D38"/>
    <w:rsid w:val="001242A0"/>
    <w:rsid w:val="00174BE4"/>
    <w:rsid w:val="001B173D"/>
    <w:rsid w:val="001C65EA"/>
    <w:rsid w:val="00241681"/>
    <w:rsid w:val="00256A73"/>
    <w:rsid w:val="00286764"/>
    <w:rsid w:val="002D5EF7"/>
    <w:rsid w:val="0032632D"/>
    <w:rsid w:val="00331423"/>
    <w:rsid w:val="00396004"/>
    <w:rsid w:val="003E41A1"/>
    <w:rsid w:val="00425601"/>
    <w:rsid w:val="004D3149"/>
    <w:rsid w:val="005658B1"/>
    <w:rsid w:val="005C2D80"/>
    <w:rsid w:val="00607BED"/>
    <w:rsid w:val="006376BF"/>
    <w:rsid w:val="006902AC"/>
    <w:rsid w:val="006A11E1"/>
    <w:rsid w:val="007630F8"/>
    <w:rsid w:val="008543CE"/>
    <w:rsid w:val="008B4159"/>
    <w:rsid w:val="00A05F21"/>
    <w:rsid w:val="00A82AF6"/>
    <w:rsid w:val="00AB1DE4"/>
    <w:rsid w:val="00AB5E5F"/>
    <w:rsid w:val="00AB68FD"/>
    <w:rsid w:val="00B1698E"/>
    <w:rsid w:val="00B31906"/>
    <w:rsid w:val="00BF28B4"/>
    <w:rsid w:val="00C030B9"/>
    <w:rsid w:val="00C260AA"/>
    <w:rsid w:val="00C329A3"/>
    <w:rsid w:val="00C732D1"/>
    <w:rsid w:val="00CA59F9"/>
    <w:rsid w:val="00CC483B"/>
    <w:rsid w:val="00D151CB"/>
    <w:rsid w:val="00D175DA"/>
    <w:rsid w:val="00D270EB"/>
    <w:rsid w:val="00D4574A"/>
    <w:rsid w:val="00DD1AFC"/>
    <w:rsid w:val="00DF68F0"/>
    <w:rsid w:val="00E40DD6"/>
    <w:rsid w:val="00F05A5D"/>
    <w:rsid w:val="00F213B3"/>
    <w:rsid w:val="00F50FE0"/>
    <w:rsid w:val="00F7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47C39"/>
  <w15:chartTrackingRefBased/>
  <w15:docId w15:val="{D5456DDB-32BC-4583-967A-F6E4A458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uiPriority w:val="11"/>
    <w:qFormat/>
    <w:rsid w:val="00B1698E"/>
    <w:pPr>
      <w:numPr>
        <w:ilvl w:val="1"/>
      </w:numPr>
    </w:pPr>
    <w:rPr>
      <w:rFonts w:eastAsiaTheme="minorEastAsia" w:cstheme="minorHAnsi"/>
      <w:color w:val="5A5A5A" w:themeColor="text1" w:themeTint="A5"/>
      <w:spacing w:val="15"/>
      <w:sz w:val="3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1698E"/>
    <w:rPr>
      <w:rFonts w:eastAsiaTheme="minorEastAsia" w:cstheme="minorHAnsi"/>
      <w:color w:val="5A5A5A" w:themeColor="text1" w:themeTint="A5"/>
      <w:spacing w:val="15"/>
      <w:sz w:val="32"/>
      <w:szCs w:val="24"/>
    </w:rPr>
  </w:style>
  <w:style w:type="paragraph" w:styleId="Prrafodelista">
    <w:name w:val="List Paragraph"/>
    <w:basedOn w:val="Normal"/>
    <w:uiPriority w:val="34"/>
    <w:qFormat/>
    <w:rsid w:val="002D5EF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B5E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E5F"/>
  </w:style>
  <w:style w:type="paragraph" w:styleId="Piedepgina">
    <w:name w:val="footer"/>
    <w:basedOn w:val="Normal"/>
    <w:link w:val="PiedepginaCar"/>
    <w:uiPriority w:val="99"/>
    <w:unhideWhenUsed/>
    <w:rsid w:val="00AB5E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11</Pages>
  <Words>3170</Words>
  <Characters>17436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Vermont</dc:creator>
  <cp:keywords/>
  <dc:description/>
  <cp:lastModifiedBy>Planeacion</cp:lastModifiedBy>
  <cp:revision>26</cp:revision>
  <dcterms:created xsi:type="dcterms:W3CDTF">2020-05-13T15:38:00Z</dcterms:created>
  <dcterms:modified xsi:type="dcterms:W3CDTF">2021-04-26T16:23:00Z</dcterms:modified>
</cp:coreProperties>
</file>