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F25D" w14:textId="6E12AA0D" w:rsidR="005D2816" w:rsidRPr="002B45F1" w:rsidRDefault="00205B35" w:rsidP="009E4BFB">
      <w:pPr>
        <w:spacing w:after="0" w:line="240" w:lineRule="auto"/>
        <w:jc w:val="both"/>
        <w:rPr>
          <w:rFonts w:asciiTheme="majorHAnsi" w:eastAsia="Arial" w:hAnsiTheme="majorHAnsi" w:cstheme="majorHAnsi"/>
          <w:b/>
          <w:sz w:val="24"/>
          <w:szCs w:val="24"/>
        </w:rPr>
      </w:pPr>
      <w:r w:rsidRPr="002B45F1">
        <w:rPr>
          <w:rFonts w:asciiTheme="majorHAnsi" w:eastAsia="Arial" w:hAnsiTheme="majorHAnsi" w:cstheme="majorHAnsi"/>
          <w:b/>
          <w:sz w:val="24"/>
          <w:szCs w:val="24"/>
        </w:rPr>
        <w:t xml:space="preserve">ACUERDO DE TABLAS DE APLICABILIDAD DE LAS OBLIGACIONES DE TRANSPARENCIA COMUNES </w:t>
      </w:r>
      <w:r w:rsidR="00F24EEB" w:rsidRPr="002B45F1">
        <w:rPr>
          <w:rFonts w:asciiTheme="majorHAnsi" w:eastAsia="Arial" w:hAnsiTheme="majorHAnsi" w:cstheme="majorHAnsi"/>
          <w:b/>
          <w:sz w:val="24"/>
          <w:szCs w:val="24"/>
        </w:rPr>
        <w:t xml:space="preserve">Y ESPECÍFICA </w:t>
      </w:r>
      <w:r w:rsidRPr="002B45F1">
        <w:rPr>
          <w:rFonts w:asciiTheme="majorHAnsi" w:eastAsia="Arial" w:hAnsiTheme="majorHAnsi" w:cstheme="majorHAnsi"/>
          <w:b/>
          <w:sz w:val="24"/>
          <w:szCs w:val="24"/>
        </w:rPr>
        <w:t>DEL CENTRO DE CONCILIACIÓN LABORAL, CECOLEY, Y DEL PARQUE CIENTÍFICO Y TECNOLÓGICO DE YUCATÁN</w:t>
      </w:r>
      <w:r w:rsidR="00A91EBC" w:rsidRPr="002B45F1">
        <w:rPr>
          <w:rFonts w:asciiTheme="majorHAnsi" w:eastAsia="Arial" w:hAnsiTheme="majorHAnsi" w:cstheme="majorHAnsi"/>
          <w:b/>
          <w:sz w:val="24"/>
          <w:szCs w:val="24"/>
        </w:rPr>
        <w:t>, PCTY,</w:t>
      </w:r>
      <w:r w:rsidRPr="002B45F1">
        <w:rPr>
          <w:rFonts w:asciiTheme="majorHAnsi" w:eastAsia="Arial" w:hAnsiTheme="majorHAnsi" w:cstheme="majorHAnsi"/>
          <w:b/>
          <w:sz w:val="24"/>
          <w:szCs w:val="24"/>
        </w:rPr>
        <w:t xml:space="preserve"> INCORPORADOS AL PADRÓN DE SUJETOS OBLIGADOS DEL ESTADO DE YUCATÁN, EN TÉRMINOS DEL ÚLTIMO PÁRRAFO DEL ARTÍCULO 70 DE LA LEY GENERAL DE TRANSPARENCIA Y ACCESO A LA INFORMACIÓN PÚBLICA.</w:t>
      </w:r>
    </w:p>
    <w:p w14:paraId="1053D917" w14:textId="77777777" w:rsidR="005D2816" w:rsidRPr="002B45F1" w:rsidRDefault="005D2816" w:rsidP="009E4BFB">
      <w:pPr>
        <w:spacing w:after="0" w:line="240" w:lineRule="auto"/>
        <w:jc w:val="both"/>
        <w:rPr>
          <w:rFonts w:asciiTheme="majorHAnsi" w:hAnsiTheme="majorHAnsi" w:cstheme="majorHAnsi"/>
          <w:b/>
          <w:sz w:val="24"/>
          <w:szCs w:val="24"/>
        </w:rPr>
      </w:pPr>
    </w:p>
    <w:p w14:paraId="7BBC1235" w14:textId="77777777" w:rsidR="005D2816" w:rsidRPr="002B45F1" w:rsidRDefault="005D2816" w:rsidP="009E4BFB">
      <w:pPr>
        <w:spacing w:after="0" w:line="240" w:lineRule="auto"/>
        <w:jc w:val="center"/>
        <w:rPr>
          <w:rFonts w:asciiTheme="majorHAnsi" w:hAnsiTheme="majorHAnsi" w:cstheme="majorHAnsi"/>
          <w:b/>
          <w:sz w:val="24"/>
          <w:szCs w:val="24"/>
        </w:rPr>
      </w:pPr>
    </w:p>
    <w:p w14:paraId="3C1A77B8" w14:textId="5CC28AF0" w:rsidR="00205B35" w:rsidRPr="002B45F1" w:rsidRDefault="00205B35" w:rsidP="00205B35">
      <w:pPr>
        <w:spacing w:after="0" w:line="240" w:lineRule="auto"/>
        <w:jc w:val="both"/>
        <w:rPr>
          <w:rFonts w:asciiTheme="majorHAnsi" w:hAnsiTheme="majorHAnsi" w:cstheme="majorHAnsi"/>
          <w:b/>
          <w:sz w:val="24"/>
          <w:szCs w:val="24"/>
        </w:rPr>
      </w:pPr>
      <w:r w:rsidRPr="002B45F1">
        <w:rPr>
          <w:rFonts w:asciiTheme="majorHAnsi" w:eastAsia="Arial" w:hAnsiTheme="majorHAnsi" w:cstheme="majorHAnsi"/>
          <w:sz w:val="24"/>
          <w:szCs w:val="24"/>
        </w:rPr>
        <w:t xml:space="preserve">En la ciudad de Mérida, Yucatán, a los </w:t>
      </w:r>
      <w:r w:rsidR="00B43B61" w:rsidRPr="002B45F1">
        <w:rPr>
          <w:rFonts w:asciiTheme="majorHAnsi" w:eastAsia="Arial" w:hAnsiTheme="majorHAnsi" w:cstheme="majorHAnsi"/>
          <w:sz w:val="24"/>
          <w:szCs w:val="24"/>
        </w:rPr>
        <w:t>catorce</w:t>
      </w:r>
      <w:r w:rsidRPr="002B45F1">
        <w:rPr>
          <w:rFonts w:asciiTheme="majorHAnsi" w:eastAsia="Arial" w:hAnsiTheme="majorHAnsi" w:cstheme="majorHAnsi"/>
          <w:sz w:val="24"/>
          <w:szCs w:val="24"/>
        </w:rPr>
        <w:t xml:space="preserve"> días del mes de </w:t>
      </w:r>
      <w:r w:rsidR="00B43B61" w:rsidRPr="002B45F1">
        <w:rPr>
          <w:rFonts w:asciiTheme="majorHAnsi" w:eastAsia="Arial" w:hAnsiTheme="majorHAnsi" w:cstheme="majorHAnsi"/>
          <w:sz w:val="24"/>
          <w:szCs w:val="24"/>
        </w:rPr>
        <w:t xml:space="preserve">diciembre </w:t>
      </w:r>
      <w:r w:rsidRPr="002B45F1">
        <w:rPr>
          <w:rFonts w:asciiTheme="majorHAnsi" w:eastAsia="Arial" w:hAnsiTheme="majorHAnsi" w:cstheme="majorHAnsi"/>
          <w:sz w:val="24"/>
          <w:szCs w:val="24"/>
        </w:rPr>
        <w:t>de 2023, los integrantes del Pleno del Instituto Estatal de Transparencia, Acceso a la Información Pública y Protección de Datos Personales</w:t>
      </w:r>
      <w:bookmarkStart w:id="0" w:name="_Hlk153444669"/>
      <w:r w:rsidRPr="002B45F1">
        <w:rPr>
          <w:rFonts w:asciiTheme="majorHAnsi" w:eastAsia="Arial" w:hAnsiTheme="majorHAnsi" w:cstheme="majorHAnsi"/>
          <w:sz w:val="24"/>
          <w:szCs w:val="24"/>
        </w:rPr>
        <w:t>, la Maestra María Gilda Segovia Chab y los Doctores en Derecho, Aldrin Martin Briceño Conrado y Carlos Fernando Pavón Durán, Comisionada Presidenta y Comisionados, respectivamente</w:t>
      </w:r>
      <w:bookmarkEnd w:id="0"/>
      <w:r w:rsidRPr="002B45F1">
        <w:rPr>
          <w:rFonts w:asciiTheme="majorHAnsi" w:eastAsia="Arial" w:hAnsiTheme="majorHAnsi" w:cstheme="majorHAnsi"/>
          <w:sz w:val="24"/>
          <w:szCs w:val="24"/>
        </w:rPr>
        <w:t>,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7857CD25" w14:textId="77777777" w:rsidR="005D2816" w:rsidRPr="002B45F1" w:rsidRDefault="005D2816" w:rsidP="009E4BFB">
      <w:pPr>
        <w:spacing w:after="0" w:line="240" w:lineRule="auto"/>
        <w:jc w:val="center"/>
        <w:rPr>
          <w:rFonts w:asciiTheme="majorHAnsi" w:hAnsiTheme="majorHAnsi" w:cstheme="majorHAnsi"/>
          <w:b/>
          <w:sz w:val="24"/>
          <w:szCs w:val="24"/>
        </w:rPr>
      </w:pPr>
    </w:p>
    <w:p w14:paraId="260C7D45" w14:textId="77777777" w:rsidR="00061A08" w:rsidRPr="002B45F1" w:rsidRDefault="00061A08" w:rsidP="00061A08">
      <w:pPr>
        <w:spacing w:after="0" w:line="240" w:lineRule="auto"/>
        <w:jc w:val="center"/>
        <w:rPr>
          <w:rFonts w:asciiTheme="majorHAnsi" w:hAnsiTheme="majorHAnsi" w:cstheme="majorHAnsi"/>
          <w:b/>
          <w:sz w:val="24"/>
          <w:szCs w:val="24"/>
        </w:rPr>
      </w:pPr>
      <w:r w:rsidRPr="002B45F1">
        <w:rPr>
          <w:rFonts w:asciiTheme="majorHAnsi" w:hAnsiTheme="majorHAnsi" w:cstheme="majorHAnsi"/>
          <w:b/>
          <w:sz w:val="24"/>
          <w:szCs w:val="24"/>
        </w:rPr>
        <w:t>ANTECEDENTES</w:t>
      </w:r>
    </w:p>
    <w:p w14:paraId="482E96D5" w14:textId="77777777" w:rsidR="00061A08" w:rsidRPr="002B45F1" w:rsidRDefault="00061A08" w:rsidP="00061A08">
      <w:pPr>
        <w:spacing w:after="0" w:line="240" w:lineRule="auto"/>
        <w:jc w:val="center"/>
        <w:rPr>
          <w:rFonts w:asciiTheme="majorHAnsi" w:hAnsiTheme="majorHAnsi" w:cstheme="majorHAnsi"/>
          <w:b/>
          <w:sz w:val="24"/>
          <w:szCs w:val="24"/>
        </w:rPr>
      </w:pPr>
    </w:p>
    <w:p w14:paraId="3E5D5042" w14:textId="6B5CC981" w:rsidR="00061A08" w:rsidRPr="002B45F1" w:rsidRDefault="00061A08" w:rsidP="00061A08">
      <w:pPr>
        <w:spacing w:after="0" w:line="240" w:lineRule="auto"/>
        <w:jc w:val="both"/>
        <w:rPr>
          <w:rFonts w:asciiTheme="majorHAnsi" w:eastAsia="Arial" w:hAnsiTheme="majorHAnsi" w:cstheme="majorHAnsi"/>
          <w:sz w:val="24"/>
          <w:szCs w:val="24"/>
        </w:rPr>
      </w:pPr>
      <w:r w:rsidRPr="002B45F1">
        <w:rPr>
          <w:rFonts w:asciiTheme="majorHAnsi" w:hAnsiTheme="majorHAnsi" w:cstheme="majorHAnsi"/>
          <w:b/>
          <w:sz w:val="24"/>
          <w:szCs w:val="24"/>
        </w:rPr>
        <w:t>PRIMERO.-</w:t>
      </w:r>
      <w:r w:rsidRPr="002B45F1">
        <w:rPr>
          <w:rFonts w:asciiTheme="majorHAnsi" w:eastAsia="Arial" w:hAnsiTheme="majorHAnsi" w:cstheme="majorHAnsi"/>
          <w:sz w:val="24"/>
          <w:szCs w:val="24"/>
        </w:rPr>
        <w:t xml:space="preserve">En fecha </w:t>
      </w:r>
      <w:r w:rsidR="00867FC2" w:rsidRPr="002B45F1">
        <w:rPr>
          <w:rFonts w:asciiTheme="majorHAnsi" w:eastAsia="Arial" w:hAnsiTheme="majorHAnsi" w:cstheme="majorHAnsi"/>
          <w:sz w:val="24"/>
          <w:szCs w:val="24"/>
        </w:rPr>
        <w:t>27</w:t>
      </w:r>
      <w:r w:rsidRPr="002B45F1">
        <w:rPr>
          <w:rFonts w:asciiTheme="majorHAnsi" w:eastAsia="Arial" w:hAnsiTheme="majorHAnsi" w:cstheme="majorHAnsi"/>
          <w:sz w:val="24"/>
          <w:szCs w:val="24"/>
        </w:rPr>
        <w:t xml:space="preserve"> de </w:t>
      </w:r>
      <w:r w:rsidR="00867FC2" w:rsidRPr="002B45F1">
        <w:rPr>
          <w:rFonts w:asciiTheme="majorHAnsi" w:eastAsia="Arial" w:hAnsiTheme="majorHAnsi" w:cstheme="majorHAnsi"/>
          <w:sz w:val="24"/>
          <w:szCs w:val="24"/>
        </w:rPr>
        <w:t>octubre</w:t>
      </w:r>
      <w:r w:rsidRPr="002B45F1">
        <w:rPr>
          <w:rFonts w:asciiTheme="majorHAnsi" w:eastAsia="Arial" w:hAnsiTheme="majorHAnsi" w:cstheme="majorHAnsi"/>
          <w:sz w:val="24"/>
          <w:szCs w:val="24"/>
        </w:rPr>
        <w:t xml:space="preserve"> de 20</w:t>
      </w:r>
      <w:r w:rsidR="00867FC2" w:rsidRPr="002B45F1">
        <w:rPr>
          <w:rFonts w:asciiTheme="majorHAnsi" w:eastAsia="Arial" w:hAnsiTheme="majorHAnsi" w:cstheme="majorHAnsi"/>
          <w:sz w:val="24"/>
          <w:szCs w:val="24"/>
        </w:rPr>
        <w:t>22</w:t>
      </w:r>
      <w:r w:rsidRPr="002B45F1">
        <w:rPr>
          <w:rFonts w:asciiTheme="majorHAnsi" w:eastAsia="Arial" w:hAnsiTheme="majorHAnsi" w:cstheme="majorHAnsi"/>
          <w:sz w:val="24"/>
          <w:szCs w:val="24"/>
        </w:rPr>
        <w:t>, mediante sesión ordinaria del Pleno de este Instituto, se aprobó la actualización y modificación del Padrón de Sujetos Obligados del Estado de Yucatán, incorporándose al mismo como nuevos sujetos obligados a</w:t>
      </w:r>
      <w:r w:rsidR="00867FC2" w:rsidRPr="002B45F1">
        <w:rPr>
          <w:rFonts w:asciiTheme="majorHAnsi" w:eastAsia="Arial" w:hAnsiTheme="majorHAnsi" w:cstheme="majorHAnsi"/>
          <w:sz w:val="24"/>
          <w:szCs w:val="24"/>
        </w:rPr>
        <w:t xml:space="preserve">l Centro de Conciliación Laboral del </w:t>
      </w:r>
      <w:r w:rsidR="006E3F8F" w:rsidRPr="002B45F1">
        <w:rPr>
          <w:rFonts w:asciiTheme="majorHAnsi" w:eastAsia="Arial" w:hAnsiTheme="majorHAnsi" w:cstheme="majorHAnsi"/>
          <w:sz w:val="24"/>
          <w:szCs w:val="24"/>
        </w:rPr>
        <w:t>E</w:t>
      </w:r>
      <w:r w:rsidR="00867FC2" w:rsidRPr="002B45F1">
        <w:rPr>
          <w:rFonts w:asciiTheme="majorHAnsi" w:eastAsia="Arial" w:hAnsiTheme="majorHAnsi" w:cstheme="majorHAnsi"/>
          <w:sz w:val="24"/>
          <w:szCs w:val="24"/>
        </w:rPr>
        <w:t>stado de Yucatán, CECOLEY, y al Parque Científico y Tecnológico de Yucatán, PCTY.</w:t>
      </w:r>
    </w:p>
    <w:p w14:paraId="1CDCB684" w14:textId="77777777" w:rsidR="00061A08" w:rsidRPr="002B45F1" w:rsidRDefault="00061A08" w:rsidP="00061A08">
      <w:pPr>
        <w:spacing w:after="0" w:line="240" w:lineRule="auto"/>
        <w:jc w:val="both"/>
        <w:rPr>
          <w:rFonts w:asciiTheme="majorHAnsi" w:eastAsia="Arial" w:hAnsiTheme="majorHAnsi" w:cstheme="majorHAnsi"/>
          <w:sz w:val="24"/>
          <w:szCs w:val="24"/>
        </w:rPr>
      </w:pPr>
    </w:p>
    <w:p w14:paraId="54D6199F" w14:textId="76F5688A" w:rsidR="00061A08" w:rsidRPr="002B45F1" w:rsidRDefault="00061A08" w:rsidP="00061A08">
      <w:pPr>
        <w:spacing w:after="0" w:line="240" w:lineRule="auto"/>
        <w:jc w:val="both"/>
        <w:rPr>
          <w:rFonts w:asciiTheme="majorHAnsi" w:eastAsia="Arial" w:hAnsiTheme="majorHAnsi" w:cstheme="majorHAnsi"/>
          <w:sz w:val="24"/>
          <w:szCs w:val="24"/>
        </w:rPr>
      </w:pPr>
      <w:r w:rsidRPr="002B45F1">
        <w:rPr>
          <w:rFonts w:asciiTheme="majorHAnsi" w:eastAsia="Arial" w:hAnsiTheme="majorHAnsi" w:cstheme="majorHAnsi"/>
          <w:b/>
          <w:sz w:val="24"/>
          <w:szCs w:val="24"/>
        </w:rPr>
        <w:t xml:space="preserve">SEGUNDO.- </w:t>
      </w:r>
      <w:r w:rsidR="006E3F8F" w:rsidRPr="002B45F1">
        <w:rPr>
          <w:rFonts w:asciiTheme="majorHAnsi" w:eastAsia="Arial" w:hAnsiTheme="majorHAnsi" w:cstheme="majorHAnsi"/>
          <w:sz w:val="24"/>
          <w:szCs w:val="24"/>
        </w:rPr>
        <w:t xml:space="preserve">En fecha 22 de febrero de 2023, a través del oficio </w:t>
      </w:r>
      <w:r w:rsidR="00CD301E" w:rsidRPr="002B45F1">
        <w:rPr>
          <w:rFonts w:asciiTheme="majorHAnsi" w:eastAsia="Arial" w:hAnsiTheme="majorHAnsi" w:cstheme="majorHAnsi"/>
          <w:sz w:val="24"/>
          <w:szCs w:val="24"/>
        </w:rPr>
        <w:t>PCTY/DG/022/2023</w:t>
      </w:r>
      <w:r w:rsidR="006E3F8F" w:rsidRPr="002B45F1">
        <w:rPr>
          <w:rFonts w:asciiTheme="majorHAnsi" w:eastAsia="Arial" w:hAnsiTheme="majorHAnsi" w:cstheme="majorHAnsi"/>
          <w:sz w:val="24"/>
          <w:szCs w:val="24"/>
        </w:rPr>
        <w:t>, el sujeto obligado denominado Parque Científico y Tecnológico de Yucatán, remitió su propuesta de tabla de aplicabilidad</w:t>
      </w:r>
      <w:r w:rsidRPr="002B45F1">
        <w:rPr>
          <w:rFonts w:asciiTheme="majorHAnsi" w:eastAsia="Arial" w:hAnsiTheme="majorHAnsi" w:cstheme="majorHAnsi"/>
          <w:sz w:val="24"/>
          <w:szCs w:val="24"/>
        </w:rPr>
        <w:t xml:space="preserve"> para que esta sea validada por el Inaip Yucatán, en términos de lo señalado en el numeral noveno fracción III de los Lineamientos Técnicos Generales, tal y como se refiere en el ANEXO ÚNICO del presente.</w:t>
      </w:r>
    </w:p>
    <w:p w14:paraId="34A1C992" w14:textId="77777777" w:rsidR="00061A08" w:rsidRPr="002B45F1" w:rsidRDefault="00061A08" w:rsidP="00061A08">
      <w:pPr>
        <w:spacing w:after="0" w:line="240" w:lineRule="auto"/>
        <w:jc w:val="both"/>
        <w:rPr>
          <w:rFonts w:asciiTheme="majorHAnsi" w:eastAsia="Arial" w:hAnsiTheme="majorHAnsi" w:cstheme="majorHAnsi"/>
          <w:sz w:val="24"/>
          <w:szCs w:val="24"/>
        </w:rPr>
      </w:pPr>
    </w:p>
    <w:p w14:paraId="3DBEB397" w14:textId="77777777" w:rsidR="00061A08" w:rsidRPr="002B45F1" w:rsidRDefault="00061A08" w:rsidP="00061A08">
      <w:pPr>
        <w:spacing w:after="0" w:line="240" w:lineRule="auto"/>
        <w:jc w:val="center"/>
        <w:rPr>
          <w:rFonts w:asciiTheme="majorHAnsi" w:hAnsiTheme="majorHAnsi" w:cstheme="majorHAnsi"/>
          <w:b/>
          <w:sz w:val="24"/>
          <w:szCs w:val="24"/>
        </w:rPr>
      </w:pPr>
      <w:r w:rsidRPr="002B45F1">
        <w:rPr>
          <w:rFonts w:asciiTheme="majorHAnsi" w:hAnsiTheme="majorHAnsi" w:cstheme="majorHAnsi"/>
          <w:b/>
          <w:sz w:val="24"/>
          <w:szCs w:val="24"/>
        </w:rPr>
        <w:t>CONSIDERANDOS</w:t>
      </w:r>
    </w:p>
    <w:p w14:paraId="57FC819E" w14:textId="77777777" w:rsidR="00061A08" w:rsidRPr="002B45F1" w:rsidRDefault="00061A08" w:rsidP="00061A08">
      <w:pPr>
        <w:spacing w:after="0" w:line="240" w:lineRule="auto"/>
        <w:jc w:val="both"/>
        <w:rPr>
          <w:rFonts w:asciiTheme="majorHAnsi" w:eastAsia="Arial" w:hAnsiTheme="majorHAnsi" w:cstheme="majorHAnsi"/>
          <w:b/>
          <w:sz w:val="24"/>
          <w:szCs w:val="24"/>
        </w:rPr>
      </w:pPr>
    </w:p>
    <w:p w14:paraId="0D057B78" w14:textId="77777777" w:rsidR="00061A08" w:rsidRPr="002B45F1" w:rsidRDefault="00061A08" w:rsidP="00061A08">
      <w:pPr>
        <w:spacing w:after="0" w:line="240" w:lineRule="auto"/>
        <w:jc w:val="both"/>
        <w:rPr>
          <w:rFonts w:asciiTheme="majorHAnsi" w:eastAsia="Arial" w:hAnsiTheme="majorHAnsi" w:cstheme="majorHAnsi"/>
          <w:sz w:val="24"/>
          <w:szCs w:val="24"/>
        </w:rPr>
      </w:pPr>
      <w:r w:rsidRPr="002B45F1">
        <w:rPr>
          <w:rFonts w:asciiTheme="majorHAnsi" w:eastAsia="Arial" w:hAnsiTheme="majorHAnsi" w:cstheme="majorHAnsi"/>
          <w:b/>
          <w:sz w:val="24"/>
          <w:szCs w:val="24"/>
        </w:rPr>
        <w:t xml:space="preserve">PRIMERO.- </w:t>
      </w:r>
      <w:r w:rsidRPr="002B45F1">
        <w:rPr>
          <w:rFonts w:asciiTheme="majorHAnsi" w:eastAsia="Arial" w:hAnsiTheme="majorHAnsi" w:cstheme="majorHAnsi"/>
          <w:sz w:val="24"/>
          <w:szCs w:val="24"/>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w:t>
      </w:r>
      <w:r w:rsidRPr="002B45F1">
        <w:rPr>
          <w:rFonts w:asciiTheme="majorHAnsi" w:eastAsia="Arial" w:hAnsiTheme="majorHAnsi" w:cstheme="majorHAnsi"/>
          <w:sz w:val="24"/>
          <w:szCs w:val="24"/>
        </w:rPr>
        <w:lastRenderedPageBreak/>
        <w:t>dispuesto en la Constitución Política del Estado de Yucatán, la Ley general, la Ley estatal de la materia y demás disposiciones normativas aplicables.</w:t>
      </w:r>
    </w:p>
    <w:p w14:paraId="265E61BE" w14:textId="77777777" w:rsidR="00061A08" w:rsidRPr="002B45F1" w:rsidRDefault="00061A08" w:rsidP="00061A08">
      <w:pPr>
        <w:spacing w:after="0" w:line="240" w:lineRule="auto"/>
        <w:jc w:val="both"/>
        <w:rPr>
          <w:rFonts w:asciiTheme="majorHAnsi" w:eastAsia="Arial" w:hAnsiTheme="majorHAnsi" w:cstheme="majorHAnsi"/>
          <w:sz w:val="24"/>
          <w:szCs w:val="24"/>
        </w:rPr>
      </w:pPr>
    </w:p>
    <w:p w14:paraId="0DD883E1" w14:textId="77777777" w:rsidR="00061A08" w:rsidRPr="002B45F1" w:rsidRDefault="00061A08" w:rsidP="00061A08">
      <w:pPr>
        <w:spacing w:after="0" w:line="240" w:lineRule="auto"/>
        <w:jc w:val="both"/>
        <w:rPr>
          <w:rFonts w:asciiTheme="majorHAnsi" w:eastAsia="Arial" w:hAnsiTheme="majorHAnsi" w:cstheme="majorHAnsi"/>
          <w:sz w:val="24"/>
          <w:szCs w:val="24"/>
        </w:rPr>
      </w:pPr>
      <w:r w:rsidRPr="002B45F1">
        <w:rPr>
          <w:rFonts w:asciiTheme="majorHAnsi" w:eastAsia="Arial" w:hAnsiTheme="majorHAnsi" w:cstheme="majorHAnsi"/>
          <w:b/>
          <w:sz w:val="24"/>
          <w:szCs w:val="24"/>
        </w:rPr>
        <w:t>SEGUNDO.</w:t>
      </w:r>
      <w:r w:rsidRPr="002B45F1">
        <w:rPr>
          <w:rFonts w:asciiTheme="majorHAnsi" w:eastAsia="Arial" w:hAnsiTheme="majorHAnsi" w:cstheme="majorHAnsi"/>
          <w:sz w:val="24"/>
          <w:szCs w:val="24"/>
        </w:rPr>
        <w:t xml:space="preserve">- De conformidad con lo señalado en el numeral noveno de los Lineamientos Técnicos Generales, en su fracción III, los sujetos obligados publicarán las tablas de aplicabilidad de las obligaciones de transparencia comunes y específicas, las cuales deberán ser verificadas y aprobadas por el órgano garante. </w:t>
      </w:r>
    </w:p>
    <w:p w14:paraId="4647F7A6" w14:textId="77777777" w:rsidR="00061A08" w:rsidRPr="002B45F1" w:rsidRDefault="00061A08" w:rsidP="00061A08">
      <w:pPr>
        <w:spacing w:after="0" w:line="240" w:lineRule="auto"/>
        <w:jc w:val="both"/>
        <w:rPr>
          <w:rFonts w:asciiTheme="majorHAnsi" w:eastAsia="Arial" w:hAnsiTheme="majorHAnsi" w:cstheme="majorHAnsi"/>
          <w:sz w:val="24"/>
          <w:szCs w:val="24"/>
        </w:rPr>
      </w:pPr>
    </w:p>
    <w:p w14:paraId="51F47BE3" w14:textId="77777777" w:rsidR="00061A08" w:rsidRPr="002B45F1" w:rsidRDefault="00061A08" w:rsidP="00061A08">
      <w:pPr>
        <w:spacing w:after="0" w:line="240" w:lineRule="auto"/>
        <w:jc w:val="both"/>
        <w:rPr>
          <w:rFonts w:asciiTheme="majorHAnsi" w:eastAsia="Arial" w:hAnsiTheme="majorHAnsi" w:cstheme="majorHAnsi"/>
          <w:sz w:val="24"/>
          <w:szCs w:val="24"/>
        </w:rPr>
      </w:pPr>
      <w:r w:rsidRPr="002B45F1">
        <w:rPr>
          <w:rFonts w:asciiTheme="majorHAnsi" w:eastAsia="Arial" w:hAnsiTheme="majorHAnsi" w:cstheme="majorHAnsi"/>
          <w:b/>
          <w:sz w:val="24"/>
          <w:szCs w:val="24"/>
        </w:rPr>
        <w:t xml:space="preserve">TERCERO.- </w:t>
      </w:r>
      <w:r w:rsidRPr="002B45F1">
        <w:rPr>
          <w:rFonts w:asciiTheme="majorHAnsi" w:eastAsia="Arial" w:hAnsiTheme="majorHAnsi" w:cstheme="majorHAnsi"/>
          <w:sz w:val="24"/>
          <w:szCs w:val="24"/>
        </w:rPr>
        <w:t>Además de lo señalado en el considerando que antecede; 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14:paraId="2B41927A" w14:textId="77777777" w:rsidR="00061A08" w:rsidRPr="002B45F1" w:rsidRDefault="00061A08" w:rsidP="00061A08">
      <w:pPr>
        <w:spacing w:after="0" w:line="240" w:lineRule="auto"/>
        <w:jc w:val="both"/>
        <w:rPr>
          <w:rFonts w:asciiTheme="majorHAnsi" w:eastAsia="Arial" w:hAnsiTheme="majorHAnsi" w:cstheme="majorHAnsi"/>
          <w:sz w:val="24"/>
          <w:szCs w:val="24"/>
        </w:rPr>
      </w:pPr>
    </w:p>
    <w:p w14:paraId="0D9D1216" w14:textId="0C326ED1" w:rsidR="00061A08" w:rsidRPr="002B45F1" w:rsidRDefault="00061A08" w:rsidP="00061A08">
      <w:pPr>
        <w:spacing w:after="0" w:line="240" w:lineRule="auto"/>
        <w:jc w:val="both"/>
        <w:rPr>
          <w:rFonts w:asciiTheme="majorHAnsi" w:eastAsia="Arial" w:hAnsiTheme="majorHAnsi" w:cstheme="majorHAnsi"/>
          <w:sz w:val="24"/>
          <w:szCs w:val="24"/>
        </w:rPr>
      </w:pPr>
      <w:r w:rsidRPr="002B45F1">
        <w:rPr>
          <w:rFonts w:asciiTheme="majorHAnsi" w:eastAsia="Arial" w:hAnsiTheme="majorHAnsi" w:cstheme="majorHAnsi"/>
          <w:b/>
          <w:sz w:val="24"/>
          <w:szCs w:val="24"/>
        </w:rPr>
        <w:t>CUARTO.-</w:t>
      </w:r>
      <w:r w:rsidRPr="002B45F1">
        <w:rPr>
          <w:rFonts w:asciiTheme="majorHAnsi" w:eastAsia="Arial" w:hAnsiTheme="majorHAnsi" w:cstheme="majorHAnsi"/>
          <w:sz w:val="24"/>
          <w:szCs w:val="24"/>
        </w:rPr>
        <w:t xml:space="preserve"> Para poder determinar la aplicabilidad de las obligaciones de transparencia comunes</w:t>
      </w:r>
      <w:r w:rsidR="00247F55" w:rsidRPr="002B45F1">
        <w:rPr>
          <w:rFonts w:asciiTheme="majorHAnsi" w:eastAsia="Arial" w:hAnsiTheme="majorHAnsi" w:cstheme="majorHAnsi"/>
          <w:sz w:val="24"/>
          <w:szCs w:val="24"/>
        </w:rPr>
        <w:t xml:space="preserve"> y específica</w:t>
      </w:r>
      <w:r w:rsidRPr="002B45F1">
        <w:rPr>
          <w:rFonts w:asciiTheme="majorHAnsi" w:eastAsia="Arial" w:hAnsiTheme="majorHAnsi" w:cstheme="majorHAnsi"/>
          <w:sz w:val="24"/>
          <w:szCs w:val="24"/>
        </w:rPr>
        <w:t xml:space="preserve"> de los siguientes sujetos obligados, se consideró la naturaleza jurídica de estos, así como de sus funciones, atribuciones y competencias establecidas en sus leyes, decretos y reglamentos; por lo que con base en lo anterior, se determinó qué obligaciones de transparencia comunes </w:t>
      </w:r>
      <w:r w:rsidR="00247F55" w:rsidRPr="002B45F1">
        <w:rPr>
          <w:rFonts w:asciiTheme="majorHAnsi" w:eastAsia="Arial" w:hAnsiTheme="majorHAnsi" w:cstheme="majorHAnsi"/>
          <w:sz w:val="24"/>
          <w:szCs w:val="24"/>
        </w:rPr>
        <w:t xml:space="preserve">y específica </w:t>
      </w:r>
      <w:r w:rsidRPr="002B45F1">
        <w:rPr>
          <w:rFonts w:asciiTheme="majorHAnsi" w:eastAsia="Arial" w:hAnsiTheme="majorHAnsi" w:cstheme="majorHAnsi"/>
          <w:sz w:val="24"/>
          <w:szCs w:val="24"/>
        </w:rPr>
        <w:t>les iban a aplicar y cuáles no, de conformidad con lo siguiente:</w:t>
      </w:r>
    </w:p>
    <w:p w14:paraId="624990A0" w14:textId="77777777" w:rsidR="00061A08" w:rsidRPr="002B45F1" w:rsidRDefault="00061A08" w:rsidP="00061A08">
      <w:pPr>
        <w:spacing w:after="0" w:line="240" w:lineRule="auto"/>
        <w:jc w:val="both"/>
        <w:rPr>
          <w:rFonts w:asciiTheme="majorHAnsi" w:eastAsia="Arial" w:hAnsiTheme="majorHAnsi" w:cstheme="majorHAnsi"/>
          <w:sz w:val="24"/>
          <w:szCs w:val="24"/>
        </w:rPr>
      </w:pPr>
    </w:p>
    <w:p w14:paraId="2342A481" w14:textId="1DB19C6A" w:rsidR="003A558E" w:rsidRPr="002B45F1" w:rsidRDefault="00061A08" w:rsidP="009E4BFB">
      <w:pPr>
        <w:spacing w:after="0" w:line="240" w:lineRule="auto"/>
        <w:jc w:val="both"/>
        <w:rPr>
          <w:rFonts w:asciiTheme="majorHAnsi" w:eastAsia="Arial" w:hAnsiTheme="majorHAnsi" w:cstheme="majorHAnsi"/>
          <w:b/>
          <w:bCs/>
          <w:sz w:val="24"/>
          <w:szCs w:val="24"/>
        </w:rPr>
      </w:pPr>
      <w:r w:rsidRPr="002B45F1">
        <w:rPr>
          <w:rFonts w:asciiTheme="majorHAnsi" w:eastAsia="Arial" w:hAnsiTheme="majorHAnsi" w:cstheme="majorHAnsi"/>
          <w:b/>
          <w:bCs/>
          <w:sz w:val="24"/>
          <w:szCs w:val="24"/>
        </w:rPr>
        <w:t>31-01-03-054</w:t>
      </w:r>
      <w:r w:rsidR="003A558E" w:rsidRPr="002B45F1">
        <w:rPr>
          <w:rFonts w:asciiTheme="majorHAnsi" w:eastAsia="Arial" w:hAnsiTheme="majorHAnsi" w:cstheme="majorHAnsi"/>
          <w:b/>
          <w:bCs/>
          <w:sz w:val="24"/>
          <w:szCs w:val="24"/>
        </w:rPr>
        <w:t xml:space="preserve"> </w:t>
      </w:r>
      <w:r w:rsidRPr="002B45F1">
        <w:rPr>
          <w:rFonts w:asciiTheme="majorHAnsi" w:eastAsia="Arial" w:hAnsiTheme="majorHAnsi" w:cstheme="majorHAnsi"/>
          <w:b/>
          <w:bCs/>
          <w:sz w:val="24"/>
          <w:szCs w:val="24"/>
        </w:rPr>
        <w:t>Centro de Conciliación Laboral del Estado de Yucatán, CECOLEY</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4106"/>
        <w:gridCol w:w="4397"/>
      </w:tblGrid>
      <w:tr w:rsidR="00061A08" w:rsidRPr="002B45F1" w14:paraId="1D5AC468" w14:textId="77777777" w:rsidTr="00E708D4">
        <w:trPr>
          <w:trHeight w:val="501"/>
          <w:tblHeader/>
          <w:jc w:val="center"/>
        </w:trPr>
        <w:tc>
          <w:tcPr>
            <w:tcW w:w="4916" w:type="dxa"/>
            <w:gridSpan w:val="2"/>
            <w:shd w:val="clear" w:color="auto" w:fill="D5DCE4" w:themeFill="text2" w:themeFillTint="33"/>
            <w:vAlign w:val="center"/>
            <w:hideMark/>
          </w:tcPr>
          <w:p w14:paraId="70651E15" w14:textId="77777777" w:rsidR="00061A08" w:rsidRPr="002B45F1" w:rsidRDefault="00061A08" w:rsidP="00E708D4">
            <w:pPr>
              <w:spacing w:after="0" w:line="240" w:lineRule="auto"/>
              <w:jc w:val="center"/>
              <w:rPr>
                <w:rFonts w:asciiTheme="majorHAnsi" w:eastAsia="Times New Roman" w:hAnsiTheme="majorHAnsi" w:cstheme="majorHAnsi"/>
                <w:b/>
                <w:bCs/>
                <w:sz w:val="24"/>
                <w:szCs w:val="24"/>
                <w:lang w:eastAsia="es-MX"/>
              </w:rPr>
            </w:pPr>
            <w:r w:rsidRPr="002B45F1">
              <w:rPr>
                <w:rFonts w:asciiTheme="majorHAnsi" w:eastAsia="Times New Roman" w:hAnsiTheme="majorHAnsi" w:cstheme="majorHAnsi"/>
                <w:b/>
                <w:bCs/>
                <w:sz w:val="24"/>
                <w:szCs w:val="24"/>
                <w:lang w:eastAsia="es-MX"/>
              </w:rPr>
              <w:t>FRACCIÓN</w:t>
            </w:r>
          </w:p>
        </w:tc>
        <w:tc>
          <w:tcPr>
            <w:tcW w:w="4397" w:type="dxa"/>
            <w:shd w:val="clear" w:color="auto" w:fill="D5DCE4" w:themeFill="text2" w:themeFillTint="33"/>
            <w:vAlign w:val="center"/>
            <w:hideMark/>
          </w:tcPr>
          <w:p w14:paraId="72400708" w14:textId="77777777" w:rsidR="00061A08" w:rsidRPr="002B45F1" w:rsidRDefault="00061A08" w:rsidP="00E708D4">
            <w:pPr>
              <w:spacing w:after="0" w:line="240" w:lineRule="auto"/>
              <w:jc w:val="center"/>
              <w:rPr>
                <w:rFonts w:asciiTheme="majorHAnsi" w:eastAsia="Times New Roman" w:hAnsiTheme="majorHAnsi" w:cstheme="majorHAnsi"/>
                <w:b/>
                <w:bCs/>
                <w:sz w:val="24"/>
                <w:szCs w:val="24"/>
                <w:lang w:eastAsia="es-MX"/>
              </w:rPr>
            </w:pPr>
            <w:r w:rsidRPr="002B45F1">
              <w:rPr>
                <w:rFonts w:asciiTheme="majorHAnsi" w:eastAsia="Times New Roman" w:hAnsiTheme="majorHAnsi" w:cstheme="majorHAnsi"/>
                <w:b/>
                <w:bCs/>
                <w:sz w:val="24"/>
                <w:szCs w:val="24"/>
                <w:lang w:eastAsia="es-MX"/>
              </w:rPr>
              <w:t>APLICABLE / NO APLICABLE</w:t>
            </w:r>
          </w:p>
        </w:tc>
      </w:tr>
      <w:tr w:rsidR="00061A08" w:rsidRPr="002B45F1" w14:paraId="3B79C2D5" w14:textId="77777777" w:rsidTr="00E708D4">
        <w:trPr>
          <w:trHeight w:val="1967"/>
          <w:jc w:val="center"/>
        </w:trPr>
        <w:tc>
          <w:tcPr>
            <w:tcW w:w="810" w:type="dxa"/>
            <w:shd w:val="clear" w:color="auto" w:fill="FFFFFF" w:themeFill="background1"/>
            <w:vAlign w:val="center"/>
            <w:hideMark/>
          </w:tcPr>
          <w:p w14:paraId="3E2D7F0E"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I</w:t>
            </w:r>
          </w:p>
        </w:tc>
        <w:tc>
          <w:tcPr>
            <w:tcW w:w="4106" w:type="dxa"/>
            <w:shd w:val="clear" w:color="auto" w:fill="FFFFFF" w:themeFill="background1"/>
            <w:vAlign w:val="center"/>
            <w:hideMark/>
          </w:tcPr>
          <w:p w14:paraId="72701B8B"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FFFFFF" w:themeFill="background1"/>
            <w:vAlign w:val="center"/>
            <w:hideMark/>
          </w:tcPr>
          <w:p w14:paraId="51DD8D12" w14:textId="77777777" w:rsidR="00061A08" w:rsidRPr="002B45F1" w:rsidRDefault="00061A08"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color w:val="000000"/>
                <w:sz w:val="24"/>
                <w:szCs w:val="24"/>
              </w:rPr>
              <w:t>Le es aplicable, en virtud que la publicación de las disposiciones normativas que regulan el ejercicio de este sujeto obligado, permitirá a las personas dotarse de las herramientas y mecanismos necesarios para la defensa eficaz y eficiente de sus derechos fundamentales, y para verificar que los actos de éste se encuentren debidamente fundados y motivados.</w:t>
            </w:r>
          </w:p>
        </w:tc>
      </w:tr>
      <w:tr w:rsidR="00061A08" w:rsidRPr="002B45F1" w14:paraId="406BDF7E" w14:textId="77777777" w:rsidTr="00E708D4">
        <w:trPr>
          <w:trHeight w:val="970"/>
          <w:jc w:val="center"/>
        </w:trPr>
        <w:tc>
          <w:tcPr>
            <w:tcW w:w="810" w:type="dxa"/>
            <w:shd w:val="clear" w:color="auto" w:fill="FFFFFF" w:themeFill="background1"/>
            <w:vAlign w:val="center"/>
            <w:hideMark/>
          </w:tcPr>
          <w:p w14:paraId="4934304F"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II</w:t>
            </w:r>
          </w:p>
        </w:tc>
        <w:tc>
          <w:tcPr>
            <w:tcW w:w="4106" w:type="dxa"/>
            <w:shd w:val="clear" w:color="auto" w:fill="FFFFFF" w:themeFill="background1"/>
            <w:vAlign w:val="center"/>
            <w:hideMark/>
          </w:tcPr>
          <w:p w14:paraId="722E12C0"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Su estructura orgánica completa, en un formato que permita vincular cada parte de la estructura, las atribuciones y responsabilidades que le corresponden a cada servidor público, prestador de </w:t>
            </w:r>
            <w:r w:rsidRPr="002B45F1">
              <w:rPr>
                <w:rFonts w:asciiTheme="majorHAnsi" w:eastAsia="Times New Roman" w:hAnsiTheme="majorHAnsi" w:cstheme="majorHAnsi"/>
                <w:sz w:val="24"/>
                <w:szCs w:val="24"/>
                <w:lang w:eastAsia="es-MX"/>
              </w:rPr>
              <w:lastRenderedPageBreak/>
              <w:t>servicios profesionales o miembro de los sujetos obligados, de conformidad con las disposiciones aplicables;</w:t>
            </w:r>
          </w:p>
        </w:tc>
        <w:tc>
          <w:tcPr>
            <w:tcW w:w="4397" w:type="dxa"/>
            <w:shd w:val="clear" w:color="auto" w:fill="auto"/>
            <w:vAlign w:val="center"/>
            <w:hideMark/>
          </w:tcPr>
          <w:p w14:paraId="6C923799"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rPr>
              <w:lastRenderedPageBreak/>
              <w:t xml:space="preserve">Le es aplicable, con motivo de lo anterior este sujeto obligado deberá publicar la estructura orgánica que para tal efecto apruebe su junta de gobierno, en términos de lo dispuesto en el artículo 11 fracción V </w:t>
            </w:r>
            <w:r w:rsidRPr="002B45F1">
              <w:rPr>
                <w:rFonts w:asciiTheme="majorHAnsi" w:eastAsia="Times New Roman" w:hAnsiTheme="majorHAnsi" w:cstheme="majorHAnsi"/>
                <w:sz w:val="24"/>
                <w:szCs w:val="24"/>
              </w:rPr>
              <w:lastRenderedPageBreak/>
              <w:t>de la Ley Orgánica del Centro de Conciliación Laboral del Estado de Yucatán.</w:t>
            </w:r>
          </w:p>
        </w:tc>
      </w:tr>
      <w:tr w:rsidR="00061A08" w:rsidRPr="002B45F1" w14:paraId="461A383E" w14:textId="77777777" w:rsidTr="00E708D4">
        <w:trPr>
          <w:trHeight w:val="1234"/>
          <w:jc w:val="center"/>
        </w:trPr>
        <w:tc>
          <w:tcPr>
            <w:tcW w:w="810" w:type="dxa"/>
            <w:shd w:val="clear" w:color="auto" w:fill="FFFFFF" w:themeFill="background1"/>
            <w:vAlign w:val="center"/>
            <w:hideMark/>
          </w:tcPr>
          <w:p w14:paraId="0569C8CE"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III</w:t>
            </w:r>
          </w:p>
        </w:tc>
        <w:tc>
          <w:tcPr>
            <w:tcW w:w="4106" w:type="dxa"/>
            <w:shd w:val="clear" w:color="auto" w:fill="FFFFFF" w:themeFill="background1"/>
            <w:vAlign w:val="center"/>
            <w:hideMark/>
          </w:tcPr>
          <w:p w14:paraId="46494D1E"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facultades de cada Área;</w:t>
            </w:r>
          </w:p>
        </w:tc>
        <w:tc>
          <w:tcPr>
            <w:tcW w:w="4397" w:type="dxa"/>
            <w:shd w:val="clear" w:color="auto" w:fill="FFFFFF" w:themeFill="background1"/>
            <w:vAlign w:val="center"/>
            <w:hideMark/>
          </w:tcPr>
          <w:p w14:paraId="05206047" w14:textId="77777777" w:rsidR="00061A08" w:rsidRPr="002B45F1" w:rsidRDefault="00061A08"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rPr>
              <w:t>Le es aplicable. En cumplimiento a esta fracción, este sujeto obligado publicará las facultades respecto de cada una de las áreas previstas en el reglamento interior, estatuto orgánico o normatividad equivalente respectiva, entendidas éstas como las aptitudes o potestades que les otorga la ley para para llevar a cabo actos administrativos y/o legales válidos, de los cuales surgen obligaciones, derechos y atribuciones.</w:t>
            </w:r>
          </w:p>
        </w:tc>
      </w:tr>
      <w:tr w:rsidR="00061A08" w:rsidRPr="002B45F1" w14:paraId="4148E092" w14:textId="77777777" w:rsidTr="00E708D4">
        <w:trPr>
          <w:trHeight w:val="545"/>
          <w:jc w:val="center"/>
        </w:trPr>
        <w:tc>
          <w:tcPr>
            <w:tcW w:w="810" w:type="dxa"/>
            <w:shd w:val="clear" w:color="auto" w:fill="FFFFFF" w:themeFill="background1"/>
            <w:vAlign w:val="center"/>
            <w:hideMark/>
          </w:tcPr>
          <w:p w14:paraId="76EC820E"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IV</w:t>
            </w:r>
          </w:p>
        </w:tc>
        <w:tc>
          <w:tcPr>
            <w:tcW w:w="4106" w:type="dxa"/>
            <w:shd w:val="clear" w:color="auto" w:fill="FFFFFF" w:themeFill="background1"/>
            <w:vAlign w:val="center"/>
            <w:hideMark/>
          </w:tcPr>
          <w:p w14:paraId="6A4643A0"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metas y objetivos de las Áreas de conformidad con sus programas operativos.</w:t>
            </w:r>
          </w:p>
        </w:tc>
        <w:tc>
          <w:tcPr>
            <w:tcW w:w="4397" w:type="dxa"/>
            <w:shd w:val="clear" w:color="auto" w:fill="FFFFFF" w:themeFill="background1"/>
            <w:vAlign w:val="center"/>
            <w:hideMark/>
          </w:tcPr>
          <w:p w14:paraId="249D4ABC" w14:textId="77777777" w:rsidR="00061A08" w:rsidRPr="002B45F1" w:rsidRDefault="00061A08"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Le es aplicable, toda vez que en los artículos 33, 34, 34 bis y 64 de la Ley del Presupuesto y Contabilidad Gubernamental del Estado de Yucatán, se dispone que todos los anteproyectos de presupuesto de las entidades contendrán el programa presupuestario con los programas, actividades y proyectos que deberán realizar y las previsiones de gasto público requeridas para su ejecución.</w:t>
            </w:r>
          </w:p>
        </w:tc>
      </w:tr>
      <w:tr w:rsidR="00061A08" w:rsidRPr="002B45F1" w14:paraId="02AAF002" w14:textId="77777777" w:rsidTr="00E708D4">
        <w:trPr>
          <w:trHeight w:val="745"/>
          <w:jc w:val="center"/>
        </w:trPr>
        <w:tc>
          <w:tcPr>
            <w:tcW w:w="810" w:type="dxa"/>
            <w:shd w:val="clear" w:color="auto" w:fill="FFFFFF" w:themeFill="background1"/>
            <w:vAlign w:val="center"/>
            <w:hideMark/>
          </w:tcPr>
          <w:p w14:paraId="23DC0573"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V</w:t>
            </w:r>
          </w:p>
        </w:tc>
        <w:tc>
          <w:tcPr>
            <w:tcW w:w="4106" w:type="dxa"/>
            <w:shd w:val="clear" w:color="auto" w:fill="FFFFFF" w:themeFill="background1"/>
            <w:vAlign w:val="center"/>
            <w:hideMark/>
          </w:tcPr>
          <w:p w14:paraId="4AC9E066"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indicadores relacionados con temas de interés público o trascendencia social que conforme a sus funciones, deban establecer;</w:t>
            </w:r>
          </w:p>
        </w:tc>
        <w:tc>
          <w:tcPr>
            <w:tcW w:w="4397" w:type="dxa"/>
            <w:shd w:val="clear" w:color="auto" w:fill="FFFFFF" w:themeFill="background1"/>
            <w:vAlign w:val="center"/>
            <w:hideMark/>
          </w:tcPr>
          <w:p w14:paraId="3DB277CE" w14:textId="77777777" w:rsidR="00061A08" w:rsidRPr="002B45F1" w:rsidRDefault="00061A08" w:rsidP="00E708D4">
            <w:pPr>
              <w:spacing w:after="0" w:line="240" w:lineRule="auto"/>
              <w:jc w:val="both"/>
              <w:rPr>
                <w:rFonts w:asciiTheme="majorHAnsi" w:eastAsia="Times New Roman" w:hAnsiTheme="majorHAnsi" w:cstheme="majorHAnsi"/>
                <w:b/>
                <w:bCs/>
                <w:sz w:val="24"/>
                <w:szCs w:val="24"/>
                <w:lang w:eastAsia="es-MX"/>
              </w:rPr>
            </w:pPr>
            <w:r w:rsidRPr="002B45F1">
              <w:rPr>
                <w:rFonts w:asciiTheme="majorHAnsi" w:eastAsia="Times New Roman" w:hAnsiTheme="majorHAnsi" w:cstheme="majorHAnsi"/>
                <w:color w:val="000000"/>
                <w:sz w:val="24"/>
                <w:szCs w:val="24"/>
                <w:lang w:eastAsia="es-MX"/>
              </w:rPr>
              <w:t xml:space="preserve">Le es aplicable. Al respecto, conviene precisar que de acuerdo con los Lineamientos técnicos generales, en esta fracción todos los sujetos obligados publicarán y actualizarán información relativa a los indicadores que valoren sus resultados en su conjunto, de acuerdo con su misión, objetivos y/o atribuciones previstas en las disposiciones que los regulen; aunado a lo anterior el artículo 66 del Código de la Administración Pública de Yucatán, señala que los organismos públicos descentralizados son creados para cubrir la prestación de un servicio público, la realización de actividades correspondientes </w:t>
            </w:r>
            <w:r w:rsidRPr="002B45F1">
              <w:rPr>
                <w:rFonts w:asciiTheme="majorHAnsi" w:eastAsia="Times New Roman" w:hAnsiTheme="majorHAnsi" w:cstheme="majorHAnsi"/>
                <w:color w:val="000000"/>
                <w:sz w:val="24"/>
                <w:szCs w:val="24"/>
                <w:lang w:eastAsia="es-MX"/>
              </w:rPr>
              <w:lastRenderedPageBreak/>
              <w:t xml:space="preserve">a áreas prioritarias y para la obtención o aplicación de recursos para fines de asistencia o seguridad social, motivo por el cual, estos deben publicar aquellos indicadores que son relevantes o beneficiosos para la sociedad, y cuya divulgación resulte útil para que el público comprenda las actividades que llevan a cabo, para el cumplimiento de sus objetivos. </w:t>
            </w:r>
          </w:p>
        </w:tc>
      </w:tr>
      <w:tr w:rsidR="00061A08" w:rsidRPr="002B45F1" w14:paraId="58BBF906" w14:textId="77777777" w:rsidTr="00E708D4">
        <w:trPr>
          <w:trHeight w:val="1723"/>
          <w:jc w:val="center"/>
        </w:trPr>
        <w:tc>
          <w:tcPr>
            <w:tcW w:w="810" w:type="dxa"/>
            <w:shd w:val="clear" w:color="auto" w:fill="FFFFFF" w:themeFill="background1"/>
            <w:vAlign w:val="center"/>
            <w:hideMark/>
          </w:tcPr>
          <w:p w14:paraId="72C62BDB"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VI</w:t>
            </w:r>
          </w:p>
        </w:tc>
        <w:tc>
          <w:tcPr>
            <w:tcW w:w="4106" w:type="dxa"/>
            <w:shd w:val="clear" w:color="auto" w:fill="FFFFFF" w:themeFill="background1"/>
            <w:vAlign w:val="center"/>
            <w:hideMark/>
          </w:tcPr>
          <w:p w14:paraId="378D5411"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indicadores que permitan rendir cuenta de sus objetivos y resultados</w:t>
            </w:r>
          </w:p>
        </w:tc>
        <w:tc>
          <w:tcPr>
            <w:tcW w:w="4397" w:type="dxa"/>
            <w:shd w:val="clear" w:color="auto" w:fill="FFFFFF" w:themeFill="background1"/>
            <w:vAlign w:val="center"/>
            <w:hideMark/>
          </w:tcPr>
          <w:p w14:paraId="43DEE31F"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de conformidad con lo señalado en los artículos 4 último párrafo y 34 fracción I de la Ley del Presupuesto y Contabilidad Gubernamental del Estado de Yucatán, donde se señala que el proyecto de presupuesto de egresos incluirá los resultados que se propongan alcanzar con los programas presupuestados e incluirá los correspondientes indicadores de desempeño para medir el cumplimiento de sus programas.</w:t>
            </w:r>
          </w:p>
        </w:tc>
      </w:tr>
      <w:tr w:rsidR="00061A08" w:rsidRPr="002B45F1" w14:paraId="748D7F50" w14:textId="77777777" w:rsidTr="00E708D4">
        <w:trPr>
          <w:trHeight w:val="3434"/>
          <w:jc w:val="center"/>
        </w:trPr>
        <w:tc>
          <w:tcPr>
            <w:tcW w:w="810" w:type="dxa"/>
            <w:shd w:val="clear" w:color="auto" w:fill="FFFFFF" w:themeFill="background1"/>
            <w:vAlign w:val="center"/>
            <w:hideMark/>
          </w:tcPr>
          <w:p w14:paraId="3E4D3013"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VII</w:t>
            </w:r>
          </w:p>
        </w:tc>
        <w:tc>
          <w:tcPr>
            <w:tcW w:w="4106" w:type="dxa"/>
            <w:shd w:val="clear" w:color="auto" w:fill="FFFFFF" w:themeFill="background1"/>
            <w:vAlign w:val="center"/>
            <w:hideMark/>
          </w:tcPr>
          <w:p w14:paraId="323A1B06"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auto"/>
            <w:vAlign w:val="center"/>
            <w:hideMark/>
          </w:tcPr>
          <w:p w14:paraId="7A2B9203"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la publicación de dicha información permitirá a las personas conocer la relación de las personas servidoras públicas que integran una unidad administrativa, identificándolas y estableciendo medios de comunicación, entre éstas. Por lo que, dentro del ámbito de sus facultades, competencias y funciones, el sujeto obligado puede integrar el directorio a que hace referencia esta fracción.</w:t>
            </w:r>
          </w:p>
        </w:tc>
      </w:tr>
      <w:tr w:rsidR="00061A08" w:rsidRPr="002B45F1" w14:paraId="33F9670F" w14:textId="77777777" w:rsidTr="00E708D4">
        <w:trPr>
          <w:trHeight w:val="545"/>
          <w:jc w:val="center"/>
        </w:trPr>
        <w:tc>
          <w:tcPr>
            <w:tcW w:w="810" w:type="dxa"/>
            <w:shd w:val="clear" w:color="auto" w:fill="FFFFFF" w:themeFill="background1"/>
            <w:vAlign w:val="center"/>
            <w:hideMark/>
          </w:tcPr>
          <w:p w14:paraId="735A1493"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VIII</w:t>
            </w:r>
          </w:p>
        </w:tc>
        <w:tc>
          <w:tcPr>
            <w:tcW w:w="4106" w:type="dxa"/>
            <w:shd w:val="clear" w:color="auto" w:fill="FFFFFF" w:themeFill="background1"/>
            <w:vAlign w:val="center"/>
            <w:hideMark/>
          </w:tcPr>
          <w:p w14:paraId="61D4369F"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La remuneración bruta y neta de todos los Servidores Públicos de base o de confianza, de todas las percepciones, </w:t>
            </w:r>
            <w:r w:rsidRPr="002B45F1">
              <w:rPr>
                <w:rFonts w:asciiTheme="majorHAnsi" w:eastAsia="Times New Roman" w:hAnsiTheme="majorHAnsi" w:cstheme="majorHAnsi"/>
                <w:sz w:val="24"/>
                <w:szCs w:val="24"/>
                <w:lang w:eastAsia="es-MX"/>
              </w:rPr>
              <w:lastRenderedPageBreak/>
              <w:t>incluyendo sueldos, prestaciones, gratificaciones, primas, comisiones, dietas, bonos, estímulos, ingresos y sistemas de compensación, señalando la periodicidad de dicha remuneración;</w:t>
            </w:r>
          </w:p>
        </w:tc>
        <w:tc>
          <w:tcPr>
            <w:tcW w:w="4397" w:type="dxa"/>
            <w:shd w:val="clear" w:color="auto" w:fill="FFFFFF" w:themeFill="background1"/>
            <w:vAlign w:val="center"/>
            <w:hideMark/>
          </w:tcPr>
          <w:p w14:paraId="25406F45" w14:textId="77777777" w:rsidR="00061A08" w:rsidRPr="002B45F1" w:rsidRDefault="00061A08"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lastRenderedPageBreak/>
              <w:t xml:space="preserve">Le es aplicable de conformidad con lo señalado en el artículo 39 de la Ley del Presupuesto y Contabilidad Gubernamental </w:t>
            </w:r>
            <w:r w:rsidRPr="002B45F1">
              <w:rPr>
                <w:rFonts w:asciiTheme="majorHAnsi" w:eastAsia="Times New Roman" w:hAnsiTheme="majorHAnsi" w:cstheme="majorHAnsi"/>
                <w:sz w:val="24"/>
                <w:szCs w:val="24"/>
                <w:lang w:eastAsia="es-MX"/>
              </w:rPr>
              <w:lastRenderedPageBreak/>
              <w:t>del Estado de Yucatán; se establece que el órgano descentralizado como ejecutor del gasto, debe incluir en su proyecto de presupuesto de egresos las remuneraciones de las personas servidoras públicas, desglosando las percepciones ordinarias y percepciones extraordinarias e incluyendo las erogaciones por concepto de obligaciones de carácter fiscal y de seguridad social inherentes a dichas remuneraciones.</w:t>
            </w:r>
          </w:p>
        </w:tc>
      </w:tr>
      <w:tr w:rsidR="00061A08" w:rsidRPr="002B45F1" w14:paraId="2C37890C" w14:textId="77777777" w:rsidTr="00E708D4">
        <w:trPr>
          <w:trHeight w:val="602"/>
          <w:jc w:val="center"/>
        </w:trPr>
        <w:tc>
          <w:tcPr>
            <w:tcW w:w="810" w:type="dxa"/>
            <w:shd w:val="clear" w:color="auto" w:fill="FFFFFF" w:themeFill="background1"/>
            <w:vAlign w:val="center"/>
            <w:hideMark/>
          </w:tcPr>
          <w:p w14:paraId="01F37EBF"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IX</w:t>
            </w:r>
          </w:p>
        </w:tc>
        <w:tc>
          <w:tcPr>
            <w:tcW w:w="4106" w:type="dxa"/>
            <w:shd w:val="clear" w:color="auto" w:fill="FFFFFF" w:themeFill="background1"/>
            <w:vAlign w:val="center"/>
            <w:hideMark/>
          </w:tcPr>
          <w:p w14:paraId="7552261F"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gastos de representación y viáticos, así como el objeto e informe de comisión correspondiente;</w:t>
            </w:r>
          </w:p>
        </w:tc>
        <w:tc>
          <w:tcPr>
            <w:tcW w:w="4397" w:type="dxa"/>
            <w:shd w:val="clear" w:color="auto" w:fill="FFFFFF" w:themeFill="background1"/>
            <w:vAlign w:val="center"/>
            <w:hideMark/>
          </w:tcPr>
          <w:p w14:paraId="6B8D7111"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p>
        </w:tc>
      </w:tr>
      <w:tr w:rsidR="00061A08" w:rsidRPr="002B45F1" w14:paraId="6B6377A6" w14:textId="77777777" w:rsidTr="00E708D4">
        <w:trPr>
          <w:trHeight w:val="1234"/>
          <w:jc w:val="center"/>
        </w:trPr>
        <w:tc>
          <w:tcPr>
            <w:tcW w:w="810" w:type="dxa"/>
            <w:shd w:val="clear" w:color="auto" w:fill="FFFFFF" w:themeFill="background1"/>
            <w:vAlign w:val="center"/>
            <w:hideMark/>
          </w:tcPr>
          <w:p w14:paraId="69914C2D"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w:t>
            </w:r>
          </w:p>
        </w:tc>
        <w:tc>
          <w:tcPr>
            <w:tcW w:w="4106" w:type="dxa"/>
            <w:shd w:val="clear" w:color="auto" w:fill="FFFFFF" w:themeFill="background1"/>
            <w:vAlign w:val="center"/>
            <w:hideMark/>
          </w:tcPr>
          <w:p w14:paraId="06244ABE"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número total de las plazas y del personal de base y confianza, especificando el total de las vacantes, por nivel de puesto, para cada unidad administrativa;</w:t>
            </w:r>
          </w:p>
        </w:tc>
        <w:tc>
          <w:tcPr>
            <w:tcW w:w="4397" w:type="dxa"/>
            <w:shd w:val="clear" w:color="auto" w:fill="FFFFFF" w:themeFill="background1"/>
            <w:vAlign w:val="center"/>
            <w:hideMark/>
          </w:tcPr>
          <w:p w14:paraId="3954202F"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Le es aplicable de conformidad con lo señalado en el artículo 39 de la Ley del Presupuesto y Contabilidad Gubernamental del Estado de Yucatán; toda vez que dicho numeral establece que los ejecutores del gasto, entre ellos los organismos descentralizados, deben incluir en sus proyectos de presupuestos de egresos una sección específica de las erogaciones correspondientes al gasto en servicios </w:t>
            </w:r>
            <w:r w:rsidRPr="002B45F1">
              <w:rPr>
                <w:rFonts w:asciiTheme="majorHAnsi" w:eastAsia="Times New Roman" w:hAnsiTheme="majorHAnsi" w:cstheme="majorHAnsi"/>
                <w:sz w:val="24"/>
                <w:szCs w:val="24"/>
                <w:lang w:eastAsia="es-MX"/>
              </w:rPr>
              <w:lastRenderedPageBreak/>
              <w:t xml:space="preserve">personales, incluidas las previsiones salariales y económicas para cubrir la creación de plazas y otras medidas de índole laboral, por lo que el sujeto obligado puede generar la información a que hace referencia esta fracción. </w:t>
            </w:r>
          </w:p>
        </w:tc>
      </w:tr>
      <w:tr w:rsidR="00061A08" w:rsidRPr="002B45F1" w14:paraId="325F7951" w14:textId="77777777" w:rsidTr="00E708D4">
        <w:trPr>
          <w:trHeight w:val="970"/>
          <w:jc w:val="center"/>
        </w:trPr>
        <w:tc>
          <w:tcPr>
            <w:tcW w:w="810" w:type="dxa"/>
            <w:shd w:val="clear" w:color="auto" w:fill="FFFFFF" w:themeFill="background1"/>
            <w:vAlign w:val="center"/>
            <w:hideMark/>
          </w:tcPr>
          <w:p w14:paraId="61F20D92"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XI</w:t>
            </w:r>
          </w:p>
        </w:tc>
        <w:tc>
          <w:tcPr>
            <w:tcW w:w="4106" w:type="dxa"/>
            <w:shd w:val="clear" w:color="auto" w:fill="FFFFFF" w:themeFill="background1"/>
            <w:vAlign w:val="center"/>
            <w:hideMark/>
          </w:tcPr>
          <w:p w14:paraId="1DFF7408"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contrataciones de servicios profesionales por honorarios, señalando los nombres de los prestadores de servicios, los servicios contratados, el monto de los honorarios y el periodo de contratación;</w:t>
            </w:r>
          </w:p>
        </w:tc>
        <w:tc>
          <w:tcPr>
            <w:tcW w:w="4397" w:type="dxa"/>
            <w:shd w:val="clear" w:color="auto" w:fill="FFFFFF" w:themeFill="background1"/>
            <w:vAlign w:val="center"/>
            <w:hideMark/>
          </w:tcPr>
          <w:p w14:paraId="6C131026"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de conformidad con lo señalado en el artículo 123 de la Ley del Presupuesto y Contabilidad Gubernamental del Estado de Yucatán, toda vez que el citado numeral posibilita a los ejecutores del gasto, entre ellos a los organismos descentralizados, a contratar servicios profesionales, debiéndose sujetar a los requisitos señalados en dicho artículo.</w:t>
            </w:r>
          </w:p>
        </w:tc>
      </w:tr>
      <w:tr w:rsidR="00061A08" w:rsidRPr="002B45F1" w14:paraId="2146F9CF" w14:textId="77777777" w:rsidTr="00E708D4">
        <w:trPr>
          <w:trHeight w:val="160"/>
          <w:jc w:val="center"/>
        </w:trPr>
        <w:tc>
          <w:tcPr>
            <w:tcW w:w="810" w:type="dxa"/>
            <w:shd w:val="clear" w:color="auto" w:fill="FFFFFF" w:themeFill="background1"/>
            <w:vAlign w:val="center"/>
          </w:tcPr>
          <w:p w14:paraId="13BDE77A"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XII</w:t>
            </w:r>
          </w:p>
        </w:tc>
        <w:tc>
          <w:tcPr>
            <w:tcW w:w="4106" w:type="dxa"/>
            <w:shd w:val="clear" w:color="auto" w:fill="FFFFFF" w:themeFill="background1"/>
            <w:vAlign w:val="center"/>
          </w:tcPr>
          <w:p w14:paraId="7765FEFF"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FFFFFF" w:themeFill="background1"/>
            <w:vAlign w:val="center"/>
          </w:tcPr>
          <w:p w14:paraId="1EF46803"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No le es aplicable, por no encontrarse dentro del ámbito de sus facultades, competencias y funciones; toda vez que de conformidad con lo señalado en el artículo 46 fracción VII del Código de la Administración Pública de Yucatán, </w:t>
            </w:r>
            <w:r w:rsidRPr="002B45F1">
              <w:rPr>
                <w:rFonts w:asciiTheme="majorHAnsi" w:eastAsia="Times New Roman" w:hAnsiTheme="majorHAnsi" w:cstheme="majorHAnsi"/>
                <w:color w:val="000000"/>
                <w:sz w:val="24"/>
                <w:szCs w:val="24"/>
                <w:lang w:eastAsia="es-MX"/>
              </w:rPr>
              <w:t>le corresponde a la Secretaría de la Contraloría General del Estado (SECOGEY) en términos de los artículos 28 y 29 de la Ley de Responsabilidades Administrativas del Estado de Yucatán, recibir y registrar las declaraciones de situación patrimonial de los servidores públicos del Estado.</w:t>
            </w:r>
          </w:p>
        </w:tc>
      </w:tr>
      <w:tr w:rsidR="00061A08" w:rsidRPr="002B45F1" w14:paraId="6A179B6D" w14:textId="77777777" w:rsidTr="00E708D4">
        <w:trPr>
          <w:trHeight w:val="989"/>
          <w:jc w:val="center"/>
        </w:trPr>
        <w:tc>
          <w:tcPr>
            <w:tcW w:w="810" w:type="dxa"/>
            <w:shd w:val="clear" w:color="auto" w:fill="FFFFFF" w:themeFill="background1"/>
            <w:vAlign w:val="center"/>
            <w:hideMark/>
          </w:tcPr>
          <w:p w14:paraId="3AEA2EF3"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XIII</w:t>
            </w:r>
          </w:p>
        </w:tc>
        <w:tc>
          <w:tcPr>
            <w:tcW w:w="4106" w:type="dxa"/>
            <w:shd w:val="clear" w:color="auto" w:fill="FFFFFF" w:themeFill="background1"/>
            <w:vAlign w:val="center"/>
            <w:hideMark/>
          </w:tcPr>
          <w:p w14:paraId="4517F552"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domicilio de la Unidad de Transparencia, además de la dirección electrónica donde podrán recibirse las solicitudes para obtener la información;</w:t>
            </w:r>
          </w:p>
        </w:tc>
        <w:tc>
          <w:tcPr>
            <w:tcW w:w="4397" w:type="dxa"/>
            <w:shd w:val="clear" w:color="auto" w:fill="FFFFFF" w:themeFill="background1"/>
            <w:vAlign w:val="center"/>
            <w:hideMark/>
          </w:tcPr>
          <w:p w14:paraId="432B2AD9"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Le es aplicable, ya que la publicación de la información permite que los ciudadanos puedan ejercer de manera fácil y accesible, su derecho de acceso a la información y de protección de datos personales, ya que, de no conocer el espacio físico de entrega de las solicitudes por escrito, existiría un derecho limitado. Aunado a lo anterior, el sujeto obligado está obligado a constituir su unidad de transparencia, además de recibir </w:t>
            </w:r>
            <w:r w:rsidRPr="002B45F1">
              <w:rPr>
                <w:rFonts w:asciiTheme="majorHAnsi" w:eastAsia="Times New Roman" w:hAnsiTheme="majorHAnsi" w:cstheme="majorHAnsi"/>
                <w:sz w:val="24"/>
                <w:szCs w:val="24"/>
                <w:lang w:eastAsia="es-MX"/>
              </w:rPr>
              <w:lastRenderedPageBreak/>
              <w:t>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061A08" w:rsidRPr="002B45F1" w14:paraId="7AC8CB49" w14:textId="77777777" w:rsidTr="00E708D4">
        <w:trPr>
          <w:trHeight w:val="745"/>
          <w:jc w:val="center"/>
        </w:trPr>
        <w:tc>
          <w:tcPr>
            <w:tcW w:w="810" w:type="dxa"/>
            <w:shd w:val="clear" w:color="auto" w:fill="FFFFFF" w:themeFill="background1"/>
            <w:vAlign w:val="center"/>
            <w:hideMark/>
          </w:tcPr>
          <w:p w14:paraId="26B28136"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XIV</w:t>
            </w:r>
          </w:p>
        </w:tc>
        <w:tc>
          <w:tcPr>
            <w:tcW w:w="4106" w:type="dxa"/>
            <w:shd w:val="clear" w:color="auto" w:fill="FFFFFF" w:themeFill="background1"/>
            <w:vAlign w:val="center"/>
            <w:hideMark/>
          </w:tcPr>
          <w:p w14:paraId="2913BB93" w14:textId="77777777" w:rsidR="00061A08" w:rsidRPr="002B45F1" w:rsidRDefault="00061A08" w:rsidP="00E708D4">
            <w:pPr>
              <w:spacing w:after="0" w:line="240" w:lineRule="auto"/>
              <w:jc w:val="both"/>
              <w:rPr>
                <w:rFonts w:asciiTheme="majorHAnsi" w:eastAsia="Times New Roman" w:hAnsiTheme="majorHAnsi" w:cstheme="majorHAnsi"/>
                <w:color w:val="000000" w:themeColor="text1"/>
                <w:sz w:val="24"/>
                <w:szCs w:val="24"/>
                <w:highlight w:val="yellow"/>
                <w:lang w:eastAsia="es-MX"/>
              </w:rPr>
            </w:pPr>
            <w:r w:rsidRPr="002B45F1">
              <w:rPr>
                <w:rFonts w:asciiTheme="majorHAnsi" w:eastAsia="Times New Roman" w:hAnsiTheme="majorHAnsi" w:cstheme="majorHAnsi"/>
                <w:color w:val="000000" w:themeColor="text1"/>
                <w:sz w:val="24"/>
                <w:szCs w:val="24"/>
                <w:lang w:eastAsia="es-MX"/>
              </w:rPr>
              <w:t>Las convocatorias a concursos para ocupar cargos públicos y los resultados de los mismos;</w:t>
            </w:r>
          </w:p>
        </w:tc>
        <w:tc>
          <w:tcPr>
            <w:tcW w:w="4397" w:type="dxa"/>
            <w:shd w:val="clear" w:color="auto" w:fill="FFFFFF" w:themeFill="background1"/>
            <w:vAlign w:val="center"/>
            <w:hideMark/>
          </w:tcPr>
          <w:p w14:paraId="750FD0C3" w14:textId="77777777" w:rsidR="00061A08" w:rsidRPr="002B45F1" w:rsidRDefault="00061A08" w:rsidP="00E708D4">
            <w:pPr>
              <w:spacing w:after="0" w:line="240" w:lineRule="auto"/>
              <w:jc w:val="both"/>
              <w:rPr>
                <w:rFonts w:asciiTheme="majorHAnsi" w:eastAsia="Times New Roman" w:hAnsiTheme="majorHAnsi" w:cstheme="majorHAnsi"/>
                <w:color w:val="000000" w:themeColor="text1"/>
                <w:sz w:val="24"/>
                <w:szCs w:val="24"/>
                <w:highlight w:val="yellow"/>
                <w:lang w:eastAsia="es-MX"/>
              </w:rPr>
            </w:pPr>
            <w:r w:rsidRPr="002B45F1">
              <w:rPr>
                <w:rFonts w:asciiTheme="majorHAnsi" w:eastAsia="Times New Roman" w:hAnsiTheme="majorHAnsi" w:cstheme="majorHAnsi"/>
                <w:color w:val="000000" w:themeColor="text1"/>
                <w:sz w:val="24"/>
                <w:szCs w:val="24"/>
                <w:lang w:eastAsia="es-MX"/>
              </w:rPr>
              <w:t>Le es aplicable, toda vez que de conformidad con el artículo 116 fracción VI del Código de la Administración Pública de Yucatán, el Director General o su equivalente, cuenta con atribuciones para nombrar y remover libremente a los servidores públicos de su entidad, que ocupen cargos con la jerarquía inmediata inferior a la de éste, aunado a que la junta de gobierno tiene facultades suficientes para aprobar las normas, políticas y bases generales para las contrataciones de servicios, de conformidad con lo señalado en el artículo 614 fracción III del Reglamento del Código de la Administración Pública de Yucatán; por lo que bajo esta premisa, se infiere que el titular del sujeto obligado no se encuentra impedido a realizar o implementar procedimientos convocatorios, no obstante lo anterior, en concordancia con lo señalado en los Lineamientos técnicos generales, se publicarán los avisos, invitaciones y/o convocatorias que se emitan para ocupar cualquier tipo de cargo, puesto o equivalente.</w:t>
            </w:r>
          </w:p>
        </w:tc>
      </w:tr>
      <w:tr w:rsidR="00061A08" w:rsidRPr="002B45F1" w14:paraId="734526F3" w14:textId="77777777" w:rsidTr="00E708D4">
        <w:trPr>
          <w:trHeight w:val="886"/>
          <w:jc w:val="center"/>
        </w:trPr>
        <w:tc>
          <w:tcPr>
            <w:tcW w:w="810" w:type="dxa"/>
            <w:shd w:val="clear" w:color="auto" w:fill="FFFFFF" w:themeFill="background1"/>
            <w:vAlign w:val="center"/>
            <w:hideMark/>
          </w:tcPr>
          <w:p w14:paraId="042BB8DE"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XV</w:t>
            </w:r>
          </w:p>
        </w:tc>
        <w:tc>
          <w:tcPr>
            <w:tcW w:w="4106" w:type="dxa"/>
            <w:shd w:val="clear" w:color="auto" w:fill="FFFFFF" w:themeFill="background1"/>
            <w:vAlign w:val="center"/>
            <w:hideMark/>
          </w:tcPr>
          <w:p w14:paraId="1C5FCE2E"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información de los programas de subsidios, estímulos y apoyos, en el que se deberá informar respecto de los programas de transferencia, de servicios, de infraestructura social y de subsidio, en los que se deberá contener lo siguiente:</w:t>
            </w:r>
          </w:p>
          <w:p w14:paraId="227570A9"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w:t>
            </w:r>
          </w:p>
        </w:tc>
        <w:tc>
          <w:tcPr>
            <w:tcW w:w="4397" w:type="dxa"/>
            <w:shd w:val="clear" w:color="auto" w:fill="FFFFFF" w:themeFill="background1"/>
            <w:vAlign w:val="center"/>
            <w:hideMark/>
          </w:tcPr>
          <w:p w14:paraId="0E6FD4D8" w14:textId="77777777" w:rsidR="00061A08" w:rsidRPr="002B45F1" w:rsidRDefault="00061A08" w:rsidP="00E708D4">
            <w:pPr>
              <w:autoSpaceDE w:val="0"/>
              <w:autoSpaceDN w:val="0"/>
              <w:adjustRightInd w:val="0"/>
              <w:spacing w:after="0" w:line="240" w:lineRule="auto"/>
              <w:jc w:val="both"/>
              <w:rPr>
                <w:rFonts w:asciiTheme="majorHAnsi" w:hAnsiTheme="majorHAnsi" w:cstheme="majorHAnsi"/>
                <w:sz w:val="24"/>
                <w:szCs w:val="24"/>
              </w:rPr>
            </w:pPr>
            <w:r w:rsidRPr="002B45F1">
              <w:rPr>
                <w:rFonts w:asciiTheme="majorHAnsi" w:hAnsiTheme="majorHAnsi" w:cstheme="majorHAnsi"/>
                <w:sz w:val="24"/>
                <w:szCs w:val="24"/>
              </w:rPr>
              <w:lastRenderedPageBreak/>
              <w:t xml:space="preserve">No le es aplicable, toda vez que, de conformidad con Ley Orgánica del Centro de Conciliación Laboral del Estado de Yucatán, no se encuentra dentro del ámbito de sus facultades, competencias o funciones de este organismo descentralizado, ya que no </w:t>
            </w:r>
            <w:r w:rsidRPr="002B45F1">
              <w:rPr>
                <w:rFonts w:asciiTheme="majorHAnsi" w:hAnsiTheme="majorHAnsi" w:cstheme="majorHAnsi"/>
                <w:sz w:val="24"/>
                <w:szCs w:val="24"/>
              </w:rPr>
              <w:lastRenderedPageBreak/>
              <w:t>desarrolla ni opera programas que impliquen el otorgamiento de subsidios, estímulos y apoyos en efectivo o en especie.</w:t>
            </w:r>
          </w:p>
        </w:tc>
      </w:tr>
      <w:tr w:rsidR="00061A08" w:rsidRPr="002B45F1" w14:paraId="3DB4F9EC" w14:textId="77777777" w:rsidTr="00E708D4">
        <w:trPr>
          <w:trHeight w:val="744"/>
          <w:jc w:val="center"/>
        </w:trPr>
        <w:tc>
          <w:tcPr>
            <w:tcW w:w="810" w:type="dxa"/>
            <w:shd w:val="clear" w:color="auto" w:fill="FFFFFF" w:themeFill="background1"/>
            <w:vAlign w:val="center"/>
            <w:hideMark/>
          </w:tcPr>
          <w:p w14:paraId="3EF4393B"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XVI</w:t>
            </w:r>
          </w:p>
        </w:tc>
        <w:tc>
          <w:tcPr>
            <w:tcW w:w="4106" w:type="dxa"/>
            <w:shd w:val="clear" w:color="auto" w:fill="FFFFFF" w:themeFill="background1"/>
            <w:vAlign w:val="center"/>
            <w:hideMark/>
          </w:tcPr>
          <w:p w14:paraId="3A445723"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FFFFFF" w:themeFill="background1"/>
            <w:vAlign w:val="center"/>
            <w:hideMark/>
          </w:tcPr>
          <w:p w14:paraId="6ACFB739" w14:textId="77777777" w:rsidR="00061A08" w:rsidRPr="002B45F1" w:rsidRDefault="00061A08"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 xml:space="preserve">Le es aplicable de conformidad con lo señalado en la fracción X del artículo 116 del Código de la Administración Pública de Yucatán, el cual otorga la facultad a los Directores generales o equivalentes de las entidades paraestatales, para suscribir contratos individuales y colectivos que regulen las relaciones laborales del organismo descentralizado con sus trabajadores. </w:t>
            </w:r>
          </w:p>
        </w:tc>
      </w:tr>
      <w:tr w:rsidR="00061A08" w:rsidRPr="002B45F1" w14:paraId="3EE49629" w14:textId="77777777" w:rsidTr="00E708D4">
        <w:trPr>
          <w:trHeight w:val="1362"/>
          <w:jc w:val="center"/>
        </w:trPr>
        <w:tc>
          <w:tcPr>
            <w:tcW w:w="810" w:type="dxa"/>
            <w:shd w:val="clear" w:color="auto" w:fill="FFFFFF" w:themeFill="background1"/>
            <w:vAlign w:val="center"/>
            <w:hideMark/>
          </w:tcPr>
          <w:p w14:paraId="62E4A215"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XVII</w:t>
            </w:r>
          </w:p>
        </w:tc>
        <w:tc>
          <w:tcPr>
            <w:tcW w:w="4106" w:type="dxa"/>
            <w:shd w:val="clear" w:color="auto" w:fill="FFFFFF" w:themeFill="background1"/>
            <w:vAlign w:val="center"/>
            <w:hideMark/>
          </w:tcPr>
          <w:p w14:paraId="782AE72D"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información curricular, desde el nivel de jefe de departamento o equivalente, hasta el titular del sujeto obligado, así como, en su caso, las sanciones administrativas de que haya sido objeto;</w:t>
            </w:r>
          </w:p>
        </w:tc>
        <w:tc>
          <w:tcPr>
            <w:tcW w:w="4397" w:type="dxa"/>
            <w:shd w:val="clear" w:color="auto" w:fill="FFFFFF" w:themeFill="background1"/>
            <w:vAlign w:val="center"/>
            <w:hideMark/>
          </w:tcPr>
          <w:p w14:paraId="20F3AA9A"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la publicación de esta información permitirá conocer la trayectoria en el ámbito escolar y laboral de las personas servidoras públicas que desempeñen empleo, cargo o comisión en el sujeto obligado, desde el nivel de jefe de departamento o equivalente, y también permitirá conocer las infracciones y faltas que haya cometido la persona servidora pública.</w:t>
            </w:r>
          </w:p>
        </w:tc>
      </w:tr>
      <w:tr w:rsidR="00061A08" w:rsidRPr="002B45F1" w14:paraId="5681F899" w14:textId="77777777" w:rsidTr="00E708D4">
        <w:trPr>
          <w:trHeight w:val="780"/>
          <w:jc w:val="center"/>
        </w:trPr>
        <w:tc>
          <w:tcPr>
            <w:tcW w:w="810" w:type="dxa"/>
            <w:shd w:val="clear" w:color="auto" w:fill="FFFFFF" w:themeFill="background1"/>
            <w:vAlign w:val="center"/>
            <w:hideMark/>
          </w:tcPr>
          <w:p w14:paraId="62616FEB"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XVIII</w:t>
            </w:r>
          </w:p>
        </w:tc>
        <w:tc>
          <w:tcPr>
            <w:tcW w:w="4106" w:type="dxa"/>
            <w:shd w:val="clear" w:color="auto" w:fill="FFFFFF" w:themeFill="background1"/>
            <w:vAlign w:val="center"/>
            <w:hideMark/>
          </w:tcPr>
          <w:p w14:paraId="4F0F8015"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listado de Servidores Públicos con sanciones administrativas definitivas, especificando la causa de sanción y la disposición;</w:t>
            </w:r>
          </w:p>
        </w:tc>
        <w:tc>
          <w:tcPr>
            <w:tcW w:w="4397" w:type="dxa"/>
            <w:shd w:val="clear" w:color="auto" w:fill="FFFFFF" w:themeFill="background1"/>
            <w:vAlign w:val="center"/>
            <w:hideMark/>
          </w:tcPr>
          <w:p w14:paraId="20B18D2F"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de conformidad con lo dispuesto en los Lineamientos técnicos generales, los sujetos obligados deberán publicar la información relativa a los datos de las personas servidoras públicas y/o personas que desempeñen un empleo, cargo o comisión y/o ejerzan actos de autoridad, así como las sanciones administrativas definitivas, que hayan sido emitidas en su contra por los órganos de control correspondientes, además de que deberán incluir un hipervínculo al sistema de registro de sanciones administrativas que les corresponda.</w:t>
            </w:r>
          </w:p>
        </w:tc>
      </w:tr>
      <w:tr w:rsidR="00061A08" w:rsidRPr="002B45F1" w14:paraId="57F4EAFA" w14:textId="77777777" w:rsidTr="00E708D4">
        <w:trPr>
          <w:trHeight w:val="256"/>
          <w:jc w:val="center"/>
        </w:trPr>
        <w:tc>
          <w:tcPr>
            <w:tcW w:w="810" w:type="dxa"/>
            <w:shd w:val="clear" w:color="auto" w:fill="FFFFFF" w:themeFill="background1"/>
            <w:vAlign w:val="center"/>
            <w:hideMark/>
          </w:tcPr>
          <w:p w14:paraId="532AEC15"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XIX</w:t>
            </w:r>
          </w:p>
        </w:tc>
        <w:tc>
          <w:tcPr>
            <w:tcW w:w="4106" w:type="dxa"/>
            <w:shd w:val="clear" w:color="auto" w:fill="FFFFFF" w:themeFill="background1"/>
            <w:vAlign w:val="center"/>
            <w:hideMark/>
          </w:tcPr>
          <w:p w14:paraId="30AFCE0D"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servicios que ofrecen señalando los requisitos para acceder a ellos;</w:t>
            </w:r>
          </w:p>
        </w:tc>
        <w:tc>
          <w:tcPr>
            <w:tcW w:w="4397" w:type="dxa"/>
            <w:shd w:val="clear" w:color="auto" w:fill="FFFFFF" w:themeFill="background1"/>
            <w:vAlign w:val="center"/>
            <w:hideMark/>
          </w:tcPr>
          <w:p w14:paraId="63809C31"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de conformidad con lo señalado en los Lineamientos técnicos generales, los sujetos obligados en todos los casos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061A08" w:rsidRPr="002B45F1" w14:paraId="76BFFD6B" w14:textId="77777777" w:rsidTr="00E708D4">
        <w:trPr>
          <w:trHeight w:val="501"/>
          <w:jc w:val="center"/>
        </w:trPr>
        <w:tc>
          <w:tcPr>
            <w:tcW w:w="810" w:type="dxa"/>
            <w:shd w:val="clear" w:color="auto" w:fill="FFFFFF" w:themeFill="background1"/>
            <w:vAlign w:val="center"/>
            <w:hideMark/>
          </w:tcPr>
          <w:p w14:paraId="69E7573A"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w:t>
            </w:r>
          </w:p>
        </w:tc>
        <w:tc>
          <w:tcPr>
            <w:tcW w:w="4106" w:type="dxa"/>
            <w:shd w:val="clear" w:color="auto" w:fill="FFFFFF" w:themeFill="background1"/>
            <w:vAlign w:val="center"/>
            <w:hideMark/>
          </w:tcPr>
          <w:p w14:paraId="6B0A472D"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trámites, requisitos y formatos que ofrecen;</w:t>
            </w:r>
          </w:p>
        </w:tc>
        <w:tc>
          <w:tcPr>
            <w:tcW w:w="4397" w:type="dxa"/>
            <w:shd w:val="clear" w:color="auto" w:fill="FFFFFF" w:themeFill="background1"/>
            <w:vAlign w:val="center"/>
            <w:hideMark/>
          </w:tcPr>
          <w:p w14:paraId="045973E6" w14:textId="77777777" w:rsidR="00061A08" w:rsidRPr="002B45F1" w:rsidRDefault="00061A08" w:rsidP="00E708D4">
            <w:pPr>
              <w:autoSpaceDE w:val="0"/>
              <w:autoSpaceDN w:val="0"/>
              <w:adjustRightInd w:val="0"/>
              <w:spacing w:after="0" w:line="240" w:lineRule="auto"/>
              <w:jc w:val="both"/>
              <w:rPr>
                <w:rFonts w:asciiTheme="majorHAnsi" w:hAnsiTheme="majorHAnsi" w:cstheme="majorHAnsi"/>
                <w:sz w:val="24"/>
                <w:szCs w:val="24"/>
                <w:highlight w:val="yellow"/>
              </w:rPr>
            </w:pPr>
            <w:r w:rsidRPr="002B45F1">
              <w:rPr>
                <w:rFonts w:asciiTheme="majorHAnsi" w:eastAsia="Times New Roman" w:hAnsiTheme="majorHAnsi" w:cstheme="majorHAnsi"/>
                <w:sz w:val="24"/>
                <w:szCs w:val="24"/>
                <w:lang w:eastAsia="es-MX"/>
              </w:rPr>
              <w:t>Le es aplicable, ya que los Lineamientos técnicos generales señalan que en todos los casos, los sujetos obligados deberán incluir en esta fracción, los relativos a los trámites en materia de acceso a la información y protección de datos personales, tales como solicitudes de acceso a la información pública, recursos de revisión, denuncias ciudadanas, y las solicitudes de acceso, rectificación, cancelación y oposición de datos personales que todo sujeto obligado debe proporcionar.</w:t>
            </w:r>
          </w:p>
        </w:tc>
      </w:tr>
      <w:tr w:rsidR="00061A08" w:rsidRPr="002B45F1" w14:paraId="1E76D340" w14:textId="77777777" w:rsidTr="00E708D4">
        <w:trPr>
          <w:trHeight w:val="1479"/>
          <w:jc w:val="center"/>
        </w:trPr>
        <w:tc>
          <w:tcPr>
            <w:tcW w:w="810" w:type="dxa"/>
            <w:shd w:val="clear" w:color="auto" w:fill="FFFFFF" w:themeFill="background1"/>
            <w:vAlign w:val="center"/>
            <w:hideMark/>
          </w:tcPr>
          <w:p w14:paraId="3E69DAEC"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XXI</w:t>
            </w:r>
          </w:p>
        </w:tc>
        <w:tc>
          <w:tcPr>
            <w:tcW w:w="4106" w:type="dxa"/>
            <w:shd w:val="clear" w:color="auto" w:fill="FFFFFF" w:themeFill="background1"/>
            <w:vAlign w:val="center"/>
            <w:hideMark/>
          </w:tcPr>
          <w:p w14:paraId="7E005CAF"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FFFFFF" w:themeFill="background1"/>
            <w:vAlign w:val="center"/>
            <w:hideMark/>
          </w:tcPr>
          <w:p w14:paraId="6EF09451" w14:textId="77777777" w:rsidR="00061A08" w:rsidRPr="002B45F1" w:rsidRDefault="00061A08"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 xml:space="preserve">Le es aplicable de conformidad con lo señalado en el artículo 107 del Código de la Administración Pública del Estado de Yucatán, 638 fracción III del Reglamento del Código de la Administración Pública del Estado de Yucatán, y los artículos 5 y 6 fracción II, y del capítulo II del Título Quinto </w:t>
            </w:r>
            <w:r w:rsidRPr="002B45F1">
              <w:rPr>
                <w:rFonts w:asciiTheme="majorHAnsi" w:hAnsiTheme="majorHAnsi" w:cstheme="majorHAnsi"/>
                <w:sz w:val="24"/>
                <w:szCs w:val="24"/>
              </w:rPr>
              <w:t xml:space="preserve">de la </w:t>
            </w:r>
            <w:r w:rsidRPr="002B45F1">
              <w:rPr>
                <w:rFonts w:asciiTheme="majorHAnsi" w:eastAsia="Times New Roman" w:hAnsiTheme="majorHAnsi" w:cstheme="majorHAnsi"/>
                <w:sz w:val="24"/>
                <w:szCs w:val="24"/>
                <w:lang w:eastAsia="es-MX"/>
              </w:rPr>
              <w:t xml:space="preserve">Ley del Presupuesto y Contabilidad Gubernamental del Estado de Yucatán; ya que en virtud de dichos ordenamientos, los ejecutores del gasto deben generar los informes financieros, presupuestarios, programáticos y contables para la integración de la cuenta pública. </w:t>
            </w:r>
          </w:p>
        </w:tc>
      </w:tr>
      <w:tr w:rsidR="00061A08" w:rsidRPr="002B45F1" w14:paraId="2BA0ABFA" w14:textId="77777777" w:rsidTr="00E708D4">
        <w:trPr>
          <w:trHeight w:val="501"/>
          <w:jc w:val="center"/>
        </w:trPr>
        <w:tc>
          <w:tcPr>
            <w:tcW w:w="810" w:type="dxa"/>
            <w:shd w:val="clear" w:color="auto" w:fill="FFFFFF" w:themeFill="background1"/>
            <w:vAlign w:val="center"/>
            <w:hideMark/>
          </w:tcPr>
          <w:p w14:paraId="4F930069"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XXII</w:t>
            </w:r>
          </w:p>
        </w:tc>
        <w:tc>
          <w:tcPr>
            <w:tcW w:w="4106" w:type="dxa"/>
            <w:shd w:val="clear" w:color="auto" w:fill="FFFFFF" w:themeFill="background1"/>
            <w:vAlign w:val="center"/>
            <w:hideMark/>
          </w:tcPr>
          <w:p w14:paraId="5583A4E5"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información relativa a la deuda pública, en términos de la normatividad aplicable;</w:t>
            </w:r>
          </w:p>
        </w:tc>
        <w:tc>
          <w:tcPr>
            <w:tcW w:w="4397" w:type="dxa"/>
            <w:shd w:val="clear" w:color="auto" w:fill="FFFFFF" w:themeFill="background1"/>
            <w:vAlign w:val="center"/>
            <w:hideMark/>
          </w:tcPr>
          <w:p w14:paraId="3659BC7C"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de conformidad con lo señalado en los artículos 1, 7 fracción X y 14 de la Ley de Deuda Pública del Estado de Yucatán, las entidades paraestatales pueden contratar y gestionar deuda, siempre y cuando acrediten solvencia suficiente para afrontar los compromisos que pretenden contraer o adquirir.</w:t>
            </w:r>
          </w:p>
        </w:tc>
      </w:tr>
      <w:tr w:rsidR="00061A08" w:rsidRPr="002B45F1" w14:paraId="5896CC97" w14:textId="77777777" w:rsidTr="00E708D4">
        <w:trPr>
          <w:trHeight w:val="537"/>
          <w:jc w:val="center"/>
        </w:trPr>
        <w:tc>
          <w:tcPr>
            <w:tcW w:w="810" w:type="dxa"/>
            <w:shd w:val="clear" w:color="auto" w:fill="FFFFFF" w:themeFill="background1"/>
            <w:vAlign w:val="center"/>
            <w:hideMark/>
          </w:tcPr>
          <w:p w14:paraId="4DF261DF"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XXIII</w:t>
            </w:r>
          </w:p>
        </w:tc>
        <w:tc>
          <w:tcPr>
            <w:tcW w:w="4106" w:type="dxa"/>
            <w:shd w:val="clear" w:color="auto" w:fill="FFFFFF" w:themeFill="background1"/>
            <w:vAlign w:val="center"/>
            <w:hideMark/>
          </w:tcPr>
          <w:p w14:paraId="66A18FDC"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montos destinados a gastos relativos a comunicación social y publicidad oficial desglosada por tipo de medio, proveedores, número de contrato y concepto o campaña;</w:t>
            </w:r>
          </w:p>
        </w:tc>
        <w:tc>
          <w:tcPr>
            <w:tcW w:w="4397" w:type="dxa"/>
            <w:shd w:val="clear" w:color="auto" w:fill="FFFFFF" w:themeFill="background1"/>
            <w:vAlign w:val="center"/>
            <w:hideMark/>
          </w:tcPr>
          <w:p w14:paraId="5F18E1AF" w14:textId="77777777" w:rsidR="00061A08" w:rsidRPr="002B45F1" w:rsidRDefault="00061A08" w:rsidP="00E708D4">
            <w:pPr>
              <w:spacing w:after="0" w:line="240" w:lineRule="auto"/>
              <w:jc w:val="both"/>
              <w:rPr>
                <w:rFonts w:asciiTheme="majorHAnsi" w:hAnsiTheme="majorHAnsi" w:cstheme="majorHAnsi"/>
                <w:sz w:val="24"/>
                <w:szCs w:val="24"/>
              </w:rPr>
            </w:pPr>
            <w:r w:rsidRPr="002B45F1">
              <w:rPr>
                <w:rFonts w:asciiTheme="majorHAnsi" w:eastAsia="Times New Roman" w:hAnsiTheme="majorHAnsi" w:cstheme="majorHAnsi"/>
                <w:sz w:val="24"/>
                <w:szCs w:val="24"/>
                <w:lang w:eastAsia="es-MX"/>
              </w:rPr>
              <w:t>Le es aplicable de conformidad con lo señalado en el artículo 44 de la Ley de Presupuesto y Contabilidad Gubernamental del Estado de Yucatán, que prevé que para el caso de las entidades paraestatales, los gastos destinados al rubro de comunicación social, deberán ser autorizados por la dependencia de la administración pública competente y adicionalmente por su órgano de gobierno.</w:t>
            </w:r>
          </w:p>
        </w:tc>
      </w:tr>
      <w:tr w:rsidR="00061A08" w:rsidRPr="002B45F1" w14:paraId="0184336C" w14:textId="77777777" w:rsidTr="00E708D4">
        <w:trPr>
          <w:trHeight w:val="989"/>
          <w:jc w:val="center"/>
        </w:trPr>
        <w:tc>
          <w:tcPr>
            <w:tcW w:w="810" w:type="dxa"/>
            <w:shd w:val="clear" w:color="auto" w:fill="FFFFFF" w:themeFill="background1"/>
            <w:vAlign w:val="center"/>
            <w:hideMark/>
          </w:tcPr>
          <w:p w14:paraId="2C33AAC7"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XXIV</w:t>
            </w:r>
          </w:p>
        </w:tc>
        <w:tc>
          <w:tcPr>
            <w:tcW w:w="4106" w:type="dxa"/>
            <w:shd w:val="clear" w:color="auto" w:fill="FFFFFF" w:themeFill="background1"/>
            <w:vAlign w:val="center"/>
            <w:hideMark/>
          </w:tcPr>
          <w:p w14:paraId="552B59AD"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informes de resultados de las auditorías al ejercicio presupuestal de cada sujeto obligado que se realicen y, en su caso, las aclaraciones que correspondan;</w:t>
            </w:r>
          </w:p>
        </w:tc>
        <w:tc>
          <w:tcPr>
            <w:tcW w:w="4397" w:type="dxa"/>
            <w:shd w:val="clear" w:color="auto" w:fill="FFFFFF" w:themeFill="background1"/>
            <w:vAlign w:val="center"/>
            <w:hideMark/>
          </w:tcPr>
          <w:p w14:paraId="7B1C2353"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rPr>
              <w:t>Le es aplicable, 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la ASEY, en términos de lo establecido en el artículo 76 de la Ley de Fiscalización de la Cuenta Pública del Estado de Yucatán; y en lo que respecta a las auditorías internas, estas se refieren a las revisiones realizadas por el órgano de control interno.</w:t>
            </w:r>
          </w:p>
        </w:tc>
      </w:tr>
      <w:tr w:rsidR="00061A08" w:rsidRPr="002B45F1" w14:paraId="56CD4B9C" w14:textId="77777777" w:rsidTr="00E708D4">
        <w:trPr>
          <w:trHeight w:val="501"/>
          <w:jc w:val="center"/>
        </w:trPr>
        <w:tc>
          <w:tcPr>
            <w:tcW w:w="810" w:type="dxa"/>
            <w:shd w:val="clear" w:color="auto" w:fill="FFFFFF" w:themeFill="background1"/>
            <w:vAlign w:val="center"/>
            <w:hideMark/>
          </w:tcPr>
          <w:p w14:paraId="47B56AE9"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XXV</w:t>
            </w:r>
          </w:p>
        </w:tc>
        <w:tc>
          <w:tcPr>
            <w:tcW w:w="4106" w:type="dxa"/>
            <w:shd w:val="clear" w:color="auto" w:fill="FFFFFF" w:themeFill="background1"/>
            <w:vAlign w:val="center"/>
            <w:hideMark/>
          </w:tcPr>
          <w:p w14:paraId="15D33AB9"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resultado de la dictaminación de los estados financieros;</w:t>
            </w:r>
          </w:p>
        </w:tc>
        <w:tc>
          <w:tcPr>
            <w:tcW w:w="4397" w:type="dxa"/>
            <w:shd w:val="clear" w:color="auto" w:fill="FFFFFF" w:themeFill="background1"/>
            <w:vAlign w:val="center"/>
            <w:hideMark/>
          </w:tcPr>
          <w:p w14:paraId="6380947C"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Le es aplicable, por lo que el sujeto obligado deberá publicar los informes de resultados de los dictámenes realizados a sus estados financieros por las empresas auditoras contratadas para tal fin, por lo que de no contar con la información a la que hace </w:t>
            </w:r>
            <w:r w:rsidRPr="002B45F1">
              <w:rPr>
                <w:rFonts w:asciiTheme="majorHAnsi" w:eastAsia="Times New Roman" w:hAnsiTheme="majorHAnsi" w:cstheme="majorHAnsi"/>
                <w:sz w:val="24"/>
                <w:szCs w:val="24"/>
                <w:lang w:eastAsia="es-MX"/>
              </w:rPr>
              <w:lastRenderedPageBreak/>
              <w:t>referencia, la presente fracción, se deberá señalar de forma motivada la no disponibilidad de la misma.</w:t>
            </w:r>
          </w:p>
        </w:tc>
      </w:tr>
      <w:tr w:rsidR="00061A08" w:rsidRPr="002B45F1" w14:paraId="2E89CECB" w14:textId="77777777" w:rsidTr="00E708D4">
        <w:trPr>
          <w:trHeight w:val="1967"/>
          <w:jc w:val="center"/>
        </w:trPr>
        <w:tc>
          <w:tcPr>
            <w:tcW w:w="810" w:type="dxa"/>
            <w:shd w:val="clear" w:color="auto" w:fill="FFFFFF" w:themeFill="background1"/>
            <w:vAlign w:val="center"/>
            <w:hideMark/>
          </w:tcPr>
          <w:p w14:paraId="1CDA9576"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XXVI</w:t>
            </w:r>
          </w:p>
        </w:tc>
        <w:tc>
          <w:tcPr>
            <w:tcW w:w="4106" w:type="dxa"/>
            <w:shd w:val="clear" w:color="auto" w:fill="FFFFFF" w:themeFill="background1"/>
            <w:vAlign w:val="center"/>
            <w:hideMark/>
          </w:tcPr>
          <w:p w14:paraId="08A49807"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FFFFFF" w:themeFill="background1"/>
            <w:vAlign w:val="center"/>
            <w:hideMark/>
          </w:tcPr>
          <w:p w14:paraId="2D68F4F3" w14:textId="77777777" w:rsidR="00061A08" w:rsidRPr="002B45F1" w:rsidRDefault="00061A08"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Le es aplicable, toda vez que de conformidad con lo dispuesto en la fracción V del artículo 5 y el artículo 137 de la Ley del Presupuesto y Contabilidad Gubernamental del Estado de Yucatán, los ejecutores del gasto, entre ellos las entidades de la administración pública paraestatal, pueden otorgar excepcionalmente ayudas a personas físicas o morales, siempre que cuente con suficiencia presupuestal, reúna los requisitos establecidos en el reglamento y medie autorización previa.</w:t>
            </w:r>
          </w:p>
        </w:tc>
      </w:tr>
      <w:tr w:rsidR="00061A08" w:rsidRPr="002B45F1" w14:paraId="3DB56657" w14:textId="77777777" w:rsidTr="00E708D4">
        <w:trPr>
          <w:trHeight w:val="602"/>
          <w:jc w:val="center"/>
        </w:trPr>
        <w:tc>
          <w:tcPr>
            <w:tcW w:w="810" w:type="dxa"/>
            <w:shd w:val="clear" w:color="auto" w:fill="FFFFFF" w:themeFill="background1"/>
            <w:vAlign w:val="center"/>
            <w:hideMark/>
          </w:tcPr>
          <w:p w14:paraId="77CF0448"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w:t>
            </w:r>
            <w:r w:rsidRPr="002B45F1">
              <w:rPr>
                <w:rFonts w:asciiTheme="majorHAnsi" w:eastAsia="Times New Roman" w:hAnsiTheme="majorHAnsi" w:cstheme="majorHAnsi"/>
                <w:color w:val="000000" w:themeColor="text1"/>
                <w:sz w:val="24"/>
                <w:szCs w:val="24"/>
                <w:lang w:eastAsia="es-MX"/>
              </w:rPr>
              <w:t>X</w:t>
            </w:r>
            <w:r w:rsidRPr="002B45F1">
              <w:rPr>
                <w:rFonts w:asciiTheme="majorHAnsi" w:eastAsia="Times New Roman" w:hAnsiTheme="majorHAnsi" w:cstheme="majorHAnsi"/>
                <w:color w:val="000000" w:themeColor="text1"/>
                <w:sz w:val="24"/>
                <w:szCs w:val="24"/>
                <w:shd w:val="clear" w:color="auto" w:fill="FFFFFF" w:themeFill="background1"/>
                <w:lang w:eastAsia="es-MX"/>
              </w:rPr>
              <w:t>V</w:t>
            </w:r>
            <w:r w:rsidRPr="002B45F1">
              <w:rPr>
                <w:rFonts w:asciiTheme="majorHAnsi" w:eastAsia="Times New Roman" w:hAnsiTheme="majorHAnsi" w:cstheme="majorHAnsi"/>
                <w:sz w:val="24"/>
                <w:szCs w:val="24"/>
                <w:shd w:val="clear" w:color="auto" w:fill="FFFFFF" w:themeFill="background1"/>
                <w:lang w:eastAsia="es-MX"/>
              </w:rPr>
              <w:t>II</w:t>
            </w:r>
          </w:p>
        </w:tc>
        <w:tc>
          <w:tcPr>
            <w:tcW w:w="4106" w:type="dxa"/>
            <w:shd w:val="clear" w:color="auto" w:fill="FFFFFF" w:themeFill="background1"/>
            <w:vAlign w:val="center"/>
            <w:hideMark/>
          </w:tcPr>
          <w:p w14:paraId="5BE42362" w14:textId="77777777" w:rsidR="00061A08" w:rsidRPr="002B45F1" w:rsidRDefault="00061A08" w:rsidP="00E708D4">
            <w:pPr>
              <w:spacing w:after="0" w:line="240" w:lineRule="auto"/>
              <w:jc w:val="both"/>
              <w:rPr>
                <w:rFonts w:asciiTheme="majorHAnsi" w:eastAsia="Times New Roman" w:hAnsiTheme="majorHAnsi" w:cstheme="majorHAnsi"/>
                <w:color w:val="000000" w:themeColor="text1"/>
                <w:sz w:val="24"/>
                <w:szCs w:val="24"/>
                <w:lang w:eastAsia="es-MX"/>
              </w:rPr>
            </w:pPr>
            <w:r w:rsidRPr="002B45F1">
              <w:rPr>
                <w:rFonts w:asciiTheme="majorHAnsi" w:eastAsia="Times New Roman" w:hAnsiTheme="majorHAnsi" w:cstheme="majorHAnsi"/>
                <w:color w:val="000000" w:themeColor="text1"/>
                <w:sz w:val="24"/>
                <w:szCs w:val="24"/>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FFFFFF" w:themeFill="background1"/>
            <w:vAlign w:val="center"/>
            <w:hideMark/>
          </w:tcPr>
          <w:p w14:paraId="5A2E4FBA" w14:textId="77777777" w:rsidR="00061A08" w:rsidRPr="002B45F1" w:rsidRDefault="00061A08" w:rsidP="00E708D4">
            <w:pPr>
              <w:spacing w:after="0" w:line="240" w:lineRule="auto"/>
              <w:jc w:val="both"/>
              <w:rPr>
                <w:rFonts w:asciiTheme="majorHAnsi" w:eastAsia="Times New Roman" w:hAnsiTheme="majorHAnsi" w:cstheme="majorHAnsi"/>
                <w:color w:val="000000" w:themeColor="text1"/>
                <w:sz w:val="24"/>
                <w:szCs w:val="24"/>
                <w:lang w:eastAsia="es-MX"/>
              </w:rPr>
            </w:pPr>
            <w:r w:rsidRPr="002B45F1">
              <w:rPr>
                <w:rFonts w:asciiTheme="majorHAnsi" w:eastAsia="Times New Roman" w:hAnsiTheme="majorHAnsi" w:cstheme="majorHAnsi"/>
                <w:color w:val="000000" w:themeColor="text1"/>
                <w:sz w:val="24"/>
                <w:szCs w:val="24"/>
                <w:lang w:eastAsia="es-MX"/>
              </w:rPr>
              <w:t>Le es aplicable en lo relativo a contratos y convenios, lo anterior de conformidad con el artículo 76 fracción I del Código de la Administración Pública de Yucatán, pues se encuentra dentro del ámbito de sus facultades, competencias y funciones la celebración de contratos y convenios; y no le resulta aplicable en cuanto a concesiones, permisos, licencias y autorizaciones por no encontrarse dentro del ámbito de sus facultades, competencias y funciones.</w:t>
            </w:r>
          </w:p>
        </w:tc>
      </w:tr>
      <w:tr w:rsidR="00061A08" w:rsidRPr="002B45F1" w14:paraId="00CBEA89" w14:textId="77777777" w:rsidTr="00650C1B">
        <w:trPr>
          <w:trHeight w:val="1240"/>
          <w:jc w:val="center"/>
        </w:trPr>
        <w:tc>
          <w:tcPr>
            <w:tcW w:w="810" w:type="dxa"/>
            <w:shd w:val="clear" w:color="auto" w:fill="FFFFFF" w:themeFill="background1"/>
            <w:vAlign w:val="center"/>
            <w:hideMark/>
          </w:tcPr>
          <w:p w14:paraId="7323F44A"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XXVIII</w:t>
            </w:r>
          </w:p>
        </w:tc>
        <w:tc>
          <w:tcPr>
            <w:tcW w:w="4106" w:type="dxa"/>
            <w:shd w:val="clear" w:color="auto" w:fill="FFFFFF" w:themeFill="background1"/>
            <w:vAlign w:val="center"/>
            <w:hideMark/>
          </w:tcPr>
          <w:p w14:paraId="455FAF2C"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FFFFFF" w:themeFill="background1"/>
            <w:vAlign w:val="center"/>
            <w:hideMark/>
          </w:tcPr>
          <w:p w14:paraId="02D0013B" w14:textId="77777777" w:rsidR="00061A08" w:rsidRPr="002B45F1" w:rsidRDefault="00061A08"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 xml:space="preserve">Le es aplicable, toda vez que para la adquisición de bienes muebles, arrendamientos de bienes muebles y de prestación de servicios relacionados con dichos bienes, el sujeto obligado debe observar lo dispuesto por la Ley de Adquisiciones, Arrendamientos y Prestación de Servicios Relacionados con Bienes Muebles del Estado, esto de conformidad con los artículos 1, 2 fracción V y 8 de dicha Ley; asimismo para realización de obra pública, le son aplicables las disposiciones de </w:t>
            </w:r>
            <w:r w:rsidRPr="002B45F1">
              <w:rPr>
                <w:rFonts w:asciiTheme="majorHAnsi" w:eastAsia="Times New Roman" w:hAnsiTheme="majorHAnsi" w:cstheme="majorHAnsi"/>
                <w:sz w:val="24"/>
                <w:szCs w:val="24"/>
                <w:lang w:eastAsia="es-MX"/>
              </w:rPr>
              <w:lastRenderedPageBreak/>
              <w:t>la Ley de Obra Pública y Servicios Conexos del Estado de Yucatán, de conformidad con lo señalado en el artículo 1 de dicho ordenamiento.</w:t>
            </w:r>
          </w:p>
        </w:tc>
      </w:tr>
      <w:tr w:rsidR="00061A08" w:rsidRPr="002B45F1" w14:paraId="388BA487" w14:textId="77777777" w:rsidTr="00E708D4">
        <w:trPr>
          <w:trHeight w:val="629"/>
          <w:jc w:val="center"/>
        </w:trPr>
        <w:tc>
          <w:tcPr>
            <w:tcW w:w="810" w:type="dxa"/>
            <w:shd w:val="clear" w:color="auto" w:fill="FFFFFF" w:themeFill="background1"/>
            <w:vAlign w:val="center"/>
            <w:hideMark/>
          </w:tcPr>
          <w:p w14:paraId="29F142CB"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XXIX</w:t>
            </w:r>
          </w:p>
        </w:tc>
        <w:tc>
          <w:tcPr>
            <w:tcW w:w="4106" w:type="dxa"/>
            <w:shd w:val="clear" w:color="auto" w:fill="FFFFFF" w:themeFill="background1"/>
            <w:vAlign w:val="center"/>
            <w:hideMark/>
          </w:tcPr>
          <w:p w14:paraId="279C38FD"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informes que por disposición legal generen los sujetos obligados;</w:t>
            </w:r>
          </w:p>
        </w:tc>
        <w:tc>
          <w:tcPr>
            <w:tcW w:w="4397" w:type="dxa"/>
            <w:shd w:val="clear" w:color="auto" w:fill="FFFFFF" w:themeFill="background1"/>
            <w:vAlign w:val="center"/>
            <w:hideMark/>
          </w:tcPr>
          <w:p w14:paraId="2F43010A"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de conformidad con el artículo 15 fracción IX del decreto que regula su funcionamiento, el Director General debe elaborar y presentar a la junta de gobierno un informe anual de resultados y los demás informes o reportes que ésta le solicite.</w:t>
            </w:r>
          </w:p>
        </w:tc>
      </w:tr>
      <w:tr w:rsidR="00061A08" w:rsidRPr="002B45F1" w14:paraId="6818AE8D" w14:textId="77777777" w:rsidTr="00E708D4">
        <w:trPr>
          <w:trHeight w:val="885"/>
          <w:jc w:val="center"/>
        </w:trPr>
        <w:tc>
          <w:tcPr>
            <w:tcW w:w="810" w:type="dxa"/>
            <w:shd w:val="clear" w:color="auto" w:fill="FFFFFF" w:themeFill="background1"/>
            <w:vAlign w:val="center"/>
            <w:hideMark/>
          </w:tcPr>
          <w:p w14:paraId="6033A09A"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w:t>
            </w:r>
          </w:p>
        </w:tc>
        <w:tc>
          <w:tcPr>
            <w:tcW w:w="4106" w:type="dxa"/>
            <w:shd w:val="clear" w:color="auto" w:fill="FFFFFF" w:themeFill="background1"/>
            <w:vAlign w:val="center"/>
            <w:hideMark/>
          </w:tcPr>
          <w:p w14:paraId="37A5161A"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estadísticas que generen en cumplimiento de sus facultades, competencias o funciones con la mayor desagregación posible;</w:t>
            </w:r>
          </w:p>
        </w:tc>
        <w:tc>
          <w:tcPr>
            <w:tcW w:w="4397" w:type="dxa"/>
            <w:shd w:val="clear" w:color="auto" w:fill="FFFFFF" w:themeFill="background1"/>
            <w:vAlign w:val="center"/>
            <w:hideMark/>
          </w:tcPr>
          <w:p w14:paraId="534DBB56"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color w:val="000000"/>
                <w:sz w:val="24"/>
                <w:szCs w:val="24"/>
                <w:lang w:eastAsia="es-MX"/>
              </w:rPr>
              <w:t xml:space="preserve">Le es aplicable, considerando que los Lineamientos técnicos generales, disponen que todos los sujetos obligados deben publicar una relación de las estadísticas de cualquier tipo que hayan generado en cumplimiento de su competencia, facultades y/o funciones. </w:t>
            </w:r>
          </w:p>
        </w:tc>
      </w:tr>
      <w:tr w:rsidR="00061A08" w:rsidRPr="002B45F1" w14:paraId="69910204" w14:textId="77777777" w:rsidTr="00E708D4">
        <w:trPr>
          <w:trHeight w:val="256"/>
          <w:jc w:val="center"/>
        </w:trPr>
        <w:tc>
          <w:tcPr>
            <w:tcW w:w="810" w:type="dxa"/>
            <w:shd w:val="clear" w:color="auto" w:fill="FFFFFF" w:themeFill="background1"/>
            <w:vAlign w:val="center"/>
            <w:hideMark/>
          </w:tcPr>
          <w:p w14:paraId="15ED4F09"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XXXI</w:t>
            </w:r>
          </w:p>
        </w:tc>
        <w:tc>
          <w:tcPr>
            <w:tcW w:w="4106" w:type="dxa"/>
            <w:shd w:val="clear" w:color="auto" w:fill="FFFFFF" w:themeFill="background1"/>
            <w:vAlign w:val="center"/>
            <w:hideMark/>
          </w:tcPr>
          <w:p w14:paraId="4BFDD0C1"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Informe de avances programáticos o presupuestales, balances generales y su estado financiero;</w:t>
            </w:r>
          </w:p>
        </w:tc>
        <w:tc>
          <w:tcPr>
            <w:tcW w:w="4397" w:type="dxa"/>
            <w:shd w:val="clear" w:color="auto" w:fill="FFFFFF" w:themeFill="background1"/>
            <w:vAlign w:val="center"/>
            <w:hideMark/>
          </w:tcPr>
          <w:p w14:paraId="633E56B3"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de conformidad con lo señalado en el artículo 156 de la Ley del Presupuesto y Contabilidad Gubernamental del Estado de Yucatán y los artículos 69 y 70 de la Ley de Fiscalización de la Cuenta Pública del Estado de Yucatán, que señalan la información sobre los estados y la situación financiera que deben generar; y lo que se debe de reportar en el informe de avance de la gestión financiera, por los ejecutores del gasto, respectivamente.</w:t>
            </w:r>
          </w:p>
        </w:tc>
      </w:tr>
      <w:tr w:rsidR="00061A08" w:rsidRPr="002B45F1" w14:paraId="390D14B4" w14:textId="77777777" w:rsidTr="00650C1B">
        <w:trPr>
          <w:trHeight w:val="672"/>
          <w:jc w:val="center"/>
        </w:trPr>
        <w:tc>
          <w:tcPr>
            <w:tcW w:w="810" w:type="dxa"/>
            <w:shd w:val="clear" w:color="auto" w:fill="FFFFFF" w:themeFill="background1"/>
            <w:vAlign w:val="center"/>
            <w:hideMark/>
          </w:tcPr>
          <w:p w14:paraId="7B07505B"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XXXII</w:t>
            </w:r>
          </w:p>
        </w:tc>
        <w:tc>
          <w:tcPr>
            <w:tcW w:w="4106" w:type="dxa"/>
            <w:shd w:val="clear" w:color="auto" w:fill="FFFFFF" w:themeFill="background1"/>
            <w:vAlign w:val="center"/>
            <w:hideMark/>
          </w:tcPr>
          <w:p w14:paraId="62A2AB64"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Padrón de proveedores y contratistas;</w:t>
            </w:r>
          </w:p>
        </w:tc>
        <w:tc>
          <w:tcPr>
            <w:tcW w:w="4397" w:type="dxa"/>
            <w:shd w:val="clear" w:color="auto" w:fill="FFFFFF" w:themeFill="background1"/>
            <w:vAlign w:val="center"/>
            <w:hideMark/>
          </w:tcPr>
          <w:p w14:paraId="159610BE"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color w:val="000000"/>
                <w:sz w:val="24"/>
                <w:szCs w:val="24"/>
                <w:lang w:eastAsia="es-MX"/>
              </w:rPr>
              <w:t xml:space="preserve">Le es aplicable, toda vez que de conformidad con el artículo 13 último párrafo de la </w:t>
            </w:r>
            <w:r w:rsidRPr="002B45F1">
              <w:rPr>
                <w:rFonts w:asciiTheme="majorHAnsi" w:eastAsia="Times New Roman" w:hAnsiTheme="majorHAnsi" w:cstheme="majorHAnsi"/>
                <w:sz w:val="24"/>
                <w:szCs w:val="24"/>
                <w:lang w:eastAsia="es-MX"/>
              </w:rPr>
              <w:t xml:space="preserve">Ley de Adquisiciones, Arrendamientos y Prestación de Servicios Relacionados con Bienes Muebles del Estado, solo se podrán celebrar contratos con las personas inscritas en el padrón de proveedores, por lo que la información que para efecto de esta fracción </w:t>
            </w:r>
            <w:r w:rsidRPr="002B45F1">
              <w:rPr>
                <w:rFonts w:asciiTheme="majorHAnsi" w:eastAsia="Times New Roman" w:hAnsiTheme="majorHAnsi" w:cstheme="majorHAnsi"/>
                <w:sz w:val="24"/>
                <w:szCs w:val="24"/>
                <w:lang w:eastAsia="es-MX"/>
              </w:rPr>
              <w:lastRenderedPageBreak/>
              <w:t>publiquen los sujetos obligados, deberá guardar relación con dicho padrón.</w:t>
            </w:r>
          </w:p>
        </w:tc>
      </w:tr>
      <w:tr w:rsidR="00061A08" w:rsidRPr="002B45F1" w14:paraId="1A75AF63" w14:textId="77777777" w:rsidTr="00E708D4">
        <w:trPr>
          <w:trHeight w:val="745"/>
          <w:jc w:val="center"/>
        </w:trPr>
        <w:tc>
          <w:tcPr>
            <w:tcW w:w="810" w:type="dxa"/>
            <w:shd w:val="clear" w:color="auto" w:fill="FFFFFF" w:themeFill="background1"/>
            <w:vAlign w:val="center"/>
            <w:hideMark/>
          </w:tcPr>
          <w:p w14:paraId="45E00266"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XXXIII</w:t>
            </w:r>
          </w:p>
        </w:tc>
        <w:tc>
          <w:tcPr>
            <w:tcW w:w="4106" w:type="dxa"/>
            <w:shd w:val="clear" w:color="auto" w:fill="FFFFFF" w:themeFill="background1"/>
            <w:vAlign w:val="center"/>
            <w:hideMark/>
          </w:tcPr>
          <w:p w14:paraId="3DC8E80F"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convenios de coordinación de concertación con los sectores social y privado;</w:t>
            </w:r>
          </w:p>
        </w:tc>
        <w:tc>
          <w:tcPr>
            <w:tcW w:w="4397" w:type="dxa"/>
            <w:shd w:val="clear" w:color="auto" w:fill="FFFFFF" w:themeFill="background1"/>
            <w:vAlign w:val="center"/>
            <w:hideMark/>
          </w:tcPr>
          <w:p w14:paraId="5F7B5B98" w14:textId="77777777" w:rsidR="00061A08" w:rsidRPr="002B45F1" w:rsidRDefault="00061A08" w:rsidP="00E708D4">
            <w:pPr>
              <w:spacing w:after="0" w:line="240" w:lineRule="auto"/>
              <w:jc w:val="both"/>
              <w:rPr>
                <w:rFonts w:asciiTheme="majorHAnsi" w:eastAsia="Times New Roman" w:hAnsiTheme="majorHAnsi" w:cstheme="majorHAnsi"/>
                <w:color w:val="000000" w:themeColor="text1"/>
                <w:sz w:val="24"/>
                <w:szCs w:val="24"/>
                <w:lang w:eastAsia="es-MX"/>
              </w:rPr>
            </w:pPr>
            <w:r w:rsidRPr="002B45F1">
              <w:rPr>
                <w:rFonts w:asciiTheme="majorHAnsi" w:eastAsia="Times New Roman" w:hAnsiTheme="majorHAnsi" w:cstheme="majorHAnsi"/>
                <w:sz w:val="24"/>
                <w:szCs w:val="24"/>
                <w:lang w:eastAsia="es-MX"/>
              </w:rPr>
              <w:t>Le es aplicable, toda vez que de conformidad con el artículo 5 fracción IX de la Ley Orgánica del Centro de Conciliación Laboral del Estado de Yucatán</w:t>
            </w:r>
            <w:r w:rsidRPr="002B45F1">
              <w:rPr>
                <w:rFonts w:asciiTheme="majorHAnsi" w:eastAsia="Times New Roman" w:hAnsiTheme="majorHAnsi" w:cstheme="majorHAnsi"/>
                <w:color w:val="000000" w:themeColor="text1"/>
                <w:sz w:val="24"/>
                <w:szCs w:val="24"/>
                <w:lang w:eastAsia="es-MX"/>
              </w:rPr>
              <w:t>,</w:t>
            </w:r>
            <w:r w:rsidRPr="002B45F1">
              <w:rPr>
                <w:rFonts w:asciiTheme="majorHAnsi" w:eastAsia="Times New Roman" w:hAnsiTheme="majorHAnsi" w:cstheme="majorHAnsi"/>
                <w:sz w:val="24"/>
                <w:szCs w:val="24"/>
                <w:lang w:eastAsia="es-MX"/>
              </w:rPr>
              <w:t xml:space="preserve"> y el artículo 76 fracción I del Código de la Administración Pública de Yucatán, se encuentra dentro del ámbito de sus facultades, competencias y funciones.</w:t>
            </w:r>
          </w:p>
        </w:tc>
      </w:tr>
      <w:tr w:rsidR="00061A08" w:rsidRPr="002B45F1" w14:paraId="49F7819F" w14:textId="77777777" w:rsidTr="00E708D4">
        <w:trPr>
          <w:trHeight w:val="501"/>
          <w:jc w:val="center"/>
        </w:trPr>
        <w:tc>
          <w:tcPr>
            <w:tcW w:w="810" w:type="dxa"/>
            <w:shd w:val="clear" w:color="auto" w:fill="FFFFFF" w:themeFill="background1"/>
            <w:vAlign w:val="center"/>
            <w:hideMark/>
          </w:tcPr>
          <w:p w14:paraId="2FD62249"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XXXIV</w:t>
            </w:r>
          </w:p>
        </w:tc>
        <w:tc>
          <w:tcPr>
            <w:tcW w:w="4106" w:type="dxa"/>
            <w:shd w:val="clear" w:color="auto" w:fill="FFFFFF" w:themeFill="background1"/>
            <w:vAlign w:val="center"/>
            <w:hideMark/>
          </w:tcPr>
          <w:p w14:paraId="44EE22A3"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inventario de bienes muebles e inmuebles en posesión y propiedad;</w:t>
            </w:r>
          </w:p>
        </w:tc>
        <w:tc>
          <w:tcPr>
            <w:tcW w:w="4397" w:type="dxa"/>
            <w:shd w:val="clear" w:color="auto" w:fill="FFFFFF" w:themeFill="background1"/>
            <w:vAlign w:val="center"/>
            <w:hideMark/>
          </w:tcPr>
          <w:p w14:paraId="7EB39211" w14:textId="77777777" w:rsidR="00061A08" w:rsidRPr="002B45F1" w:rsidRDefault="00061A08"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rPr>
              <w:t>Le es aplicable, de conformidad con lo señalado en el artículo 155 de la Ley del Presupuesto y Contabilidad Gubernamental del Estado de Yucatán, pues señala que como parte de la contabilidad gubernamental, los ejecutores del gasto, deberán llevar el registro de los bienes muebles e inmuebles.</w:t>
            </w:r>
          </w:p>
        </w:tc>
      </w:tr>
      <w:tr w:rsidR="00061A08" w:rsidRPr="002B45F1" w14:paraId="1026B229" w14:textId="77777777" w:rsidTr="00E708D4">
        <w:trPr>
          <w:trHeight w:val="1234"/>
          <w:jc w:val="center"/>
        </w:trPr>
        <w:tc>
          <w:tcPr>
            <w:tcW w:w="810" w:type="dxa"/>
            <w:shd w:val="clear" w:color="auto" w:fill="FFFFFF" w:themeFill="background1"/>
            <w:vAlign w:val="center"/>
            <w:hideMark/>
          </w:tcPr>
          <w:p w14:paraId="37349CE2"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XXXV</w:t>
            </w:r>
          </w:p>
        </w:tc>
        <w:tc>
          <w:tcPr>
            <w:tcW w:w="4106" w:type="dxa"/>
            <w:shd w:val="clear" w:color="auto" w:fill="FFFFFF" w:themeFill="background1"/>
            <w:vAlign w:val="center"/>
            <w:hideMark/>
          </w:tcPr>
          <w:p w14:paraId="7873680F"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FFFFFF" w:themeFill="background1"/>
            <w:vAlign w:val="center"/>
            <w:hideMark/>
          </w:tcPr>
          <w:p w14:paraId="7E6BFF1B"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color w:val="000000" w:themeColor="text1"/>
                <w:sz w:val="24"/>
                <w:szCs w:val="24"/>
                <w:lang w:eastAsia="es-MX"/>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los órganos descentralizados, quienes están obligados a responder dichas recomendaciones.</w:t>
            </w:r>
          </w:p>
        </w:tc>
      </w:tr>
      <w:tr w:rsidR="00061A08" w:rsidRPr="002B45F1" w14:paraId="23E30ADA" w14:textId="77777777" w:rsidTr="00E708D4">
        <w:trPr>
          <w:trHeight w:val="745"/>
          <w:jc w:val="center"/>
        </w:trPr>
        <w:tc>
          <w:tcPr>
            <w:tcW w:w="810" w:type="dxa"/>
            <w:shd w:val="clear" w:color="auto" w:fill="FFFFFF" w:themeFill="background1"/>
            <w:vAlign w:val="center"/>
            <w:hideMark/>
          </w:tcPr>
          <w:p w14:paraId="378D9268"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XXXVI</w:t>
            </w:r>
          </w:p>
        </w:tc>
        <w:tc>
          <w:tcPr>
            <w:tcW w:w="4106" w:type="dxa"/>
            <w:shd w:val="clear" w:color="auto" w:fill="FFFFFF" w:themeFill="background1"/>
            <w:vAlign w:val="center"/>
            <w:hideMark/>
          </w:tcPr>
          <w:p w14:paraId="4D366C82"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resoluciones y laudos que se emitan en procesos o procedimientos seguidos en forma de juicio;</w:t>
            </w:r>
          </w:p>
        </w:tc>
        <w:tc>
          <w:tcPr>
            <w:tcW w:w="4397" w:type="dxa"/>
            <w:shd w:val="clear" w:color="auto" w:fill="FFFFFF" w:themeFill="background1"/>
            <w:vAlign w:val="center"/>
            <w:hideMark/>
          </w:tcPr>
          <w:p w14:paraId="3BED9111" w14:textId="77777777" w:rsidR="00061A08" w:rsidRPr="002B45F1" w:rsidRDefault="00061A08" w:rsidP="00E708D4">
            <w:pPr>
              <w:spacing w:after="0" w:line="240" w:lineRule="auto"/>
              <w:jc w:val="both"/>
              <w:rPr>
                <w:rFonts w:asciiTheme="majorHAnsi" w:eastAsia="Times New Roman" w:hAnsiTheme="majorHAnsi" w:cstheme="majorHAnsi"/>
                <w:color w:val="000000" w:themeColor="text1"/>
                <w:sz w:val="24"/>
                <w:szCs w:val="24"/>
                <w:lang w:eastAsia="es-MX"/>
              </w:rPr>
            </w:pPr>
            <w:r w:rsidRPr="002B45F1">
              <w:rPr>
                <w:rFonts w:asciiTheme="majorHAnsi" w:eastAsia="Times New Roman" w:hAnsiTheme="majorHAnsi" w:cstheme="majorHAnsi"/>
                <w:color w:val="000000" w:themeColor="text1"/>
                <w:sz w:val="24"/>
                <w:szCs w:val="24"/>
                <w:lang w:eastAsia="es-MX"/>
              </w:rPr>
              <w:t xml:space="preserve">No le resulta aplicable, toda vez que de conformidad con lo establecido en la Ley Orgánica del Centro de Conciliación Laboral del Estado de Yucatán, sustanciará el procedimiento de conciliación que deberán agotar las personas trabajadoras y las personas empleadoras, siempre que no sea de competencia federal; y no así la </w:t>
            </w:r>
            <w:r w:rsidRPr="002B45F1">
              <w:rPr>
                <w:rFonts w:asciiTheme="majorHAnsi" w:eastAsia="Times New Roman" w:hAnsiTheme="majorHAnsi" w:cstheme="majorHAnsi"/>
                <w:color w:val="000000" w:themeColor="text1"/>
                <w:sz w:val="24"/>
                <w:szCs w:val="24"/>
                <w:lang w:eastAsia="es-MX"/>
              </w:rPr>
              <w:lastRenderedPageBreak/>
              <w:t>sustanciación de procedimientos seguidos en forma de juicio.</w:t>
            </w:r>
          </w:p>
        </w:tc>
      </w:tr>
      <w:tr w:rsidR="00061A08" w:rsidRPr="002B45F1" w14:paraId="3961BDD2" w14:textId="77777777" w:rsidTr="00E708D4">
        <w:trPr>
          <w:trHeight w:val="256"/>
          <w:jc w:val="center"/>
        </w:trPr>
        <w:tc>
          <w:tcPr>
            <w:tcW w:w="810" w:type="dxa"/>
            <w:shd w:val="clear" w:color="auto" w:fill="FFFFFF" w:themeFill="background1"/>
            <w:vAlign w:val="center"/>
            <w:hideMark/>
          </w:tcPr>
          <w:p w14:paraId="58240038"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XXXVII</w:t>
            </w:r>
          </w:p>
        </w:tc>
        <w:tc>
          <w:tcPr>
            <w:tcW w:w="4106" w:type="dxa"/>
            <w:shd w:val="clear" w:color="auto" w:fill="FFFFFF" w:themeFill="background1"/>
            <w:vAlign w:val="center"/>
            <w:hideMark/>
          </w:tcPr>
          <w:p w14:paraId="782958EE"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mecanismos de participación ciudadana;</w:t>
            </w:r>
          </w:p>
        </w:tc>
        <w:tc>
          <w:tcPr>
            <w:tcW w:w="4397" w:type="dxa"/>
            <w:shd w:val="clear" w:color="auto" w:fill="FFFFFF" w:themeFill="background1"/>
            <w:vAlign w:val="center"/>
            <w:hideMark/>
          </w:tcPr>
          <w:p w14:paraId="65459493" w14:textId="77777777" w:rsidR="00061A08" w:rsidRPr="002B45F1" w:rsidRDefault="00061A08"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No aplicable, toda vez que la generación de la información a la que se refiere la presente obligación, no se encuentra dentro del ámbito de las facultades, competencias o funciones atribuidas a este sujeto obligado.</w:t>
            </w:r>
          </w:p>
        </w:tc>
      </w:tr>
      <w:tr w:rsidR="00061A08" w:rsidRPr="002B45F1" w14:paraId="575EF937" w14:textId="77777777" w:rsidTr="00E708D4">
        <w:trPr>
          <w:trHeight w:val="679"/>
          <w:jc w:val="center"/>
        </w:trPr>
        <w:tc>
          <w:tcPr>
            <w:tcW w:w="810" w:type="dxa"/>
            <w:shd w:val="clear" w:color="auto" w:fill="auto"/>
            <w:vAlign w:val="center"/>
            <w:hideMark/>
          </w:tcPr>
          <w:p w14:paraId="75BBE2C6"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XXXVIII</w:t>
            </w:r>
          </w:p>
        </w:tc>
        <w:tc>
          <w:tcPr>
            <w:tcW w:w="4106" w:type="dxa"/>
            <w:shd w:val="clear" w:color="auto" w:fill="auto"/>
            <w:vAlign w:val="center"/>
            <w:hideMark/>
          </w:tcPr>
          <w:p w14:paraId="43F7BCB1"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programas que ofrecen, incluyendo información sobre la población, objetivo y destino, así como los trámites, tiempos de respuesta, requisitos y formatos para acceder a los mismos;</w:t>
            </w:r>
          </w:p>
        </w:tc>
        <w:tc>
          <w:tcPr>
            <w:tcW w:w="4397" w:type="dxa"/>
            <w:shd w:val="clear" w:color="auto" w:fill="FFFFFF" w:themeFill="background1"/>
            <w:vAlign w:val="center"/>
            <w:hideMark/>
          </w:tcPr>
          <w:p w14:paraId="120EA866" w14:textId="77777777" w:rsidR="00061A08" w:rsidRPr="002B45F1" w:rsidRDefault="00061A08" w:rsidP="00E708D4">
            <w:pPr>
              <w:autoSpaceDE w:val="0"/>
              <w:autoSpaceDN w:val="0"/>
              <w:adjustRightInd w:val="0"/>
              <w:spacing w:after="0" w:line="240" w:lineRule="auto"/>
              <w:jc w:val="both"/>
              <w:rPr>
                <w:rFonts w:asciiTheme="majorHAnsi" w:hAnsiTheme="majorHAnsi" w:cstheme="majorHAnsi"/>
                <w:sz w:val="24"/>
                <w:szCs w:val="24"/>
              </w:rPr>
            </w:pPr>
            <w:r w:rsidRPr="002B45F1">
              <w:rPr>
                <w:rFonts w:asciiTheme="majorHAnsi" w:hAnsiTheme="majorHAnsi" w:cstheme="majorHAnsi"/>
                <w:sz w:val="24"/>
                <w:szCs w:val="24"/>
              </w:rPr>
              <w:t>No aplicable, toda vez que de conformidad con lo establecido en la Ley Orgánica del Centro de Conciliación Laboral del Estado de Yucatán, la generación de la información a la que se refiere esta fracción, no se encuentra dentro del ámbito de las facultades, competencias y atribuciones de este sujeto obligado, toda vez que éste no desarrolla, ni opera programas que impliquen el otorgamiento de apoyos en efectivo o en especie.</w:t>
            </w:r>
          </w:p>
        </w:tc>
      </w:tr>
      <w:tr w:rsidR="00061A08" w:rsidRPr="002B45F1" w14:paraId="5BE070C0" w14:textId="77777777" w:rsidTr="00E708D4">
        <w:trPr>
          <w:trHeight w:val="501"/>
          <w:jc w:val="center"/>
        </w:trPr>
        <w:tc>
          <w:tcPr>
            <w:tcW w:w="810" w:type="dxa"/>
            <w:shd w:val="clear" w:color="auto" w:fill="FFFFFF" w:themeFill="background1"/>
            <w:vAlign w:val="center"/>
            <w:hideMark/>
          </w:tcPr>
          <w:p w14:paraId="718B9A9B"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XXXIX</w:t>
            </w:r>
          </w:p>
        </w:tc>
        <w:tc>
          <w:tcPr>
            <w:tcW w:w="4106" w:type="dxa"/>
            <w:shd w:val="clear" w:color="auto" w:fill="FFFFFF" w:themeFill="background1"/>
            <w:vAlign w:val="center"/>
            <w:hideMark/>
          </w:tcPr>
          <w:p w14:paraId="13B70E2B"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actas y resoluciones del Comité de Transparencia de los sujetos obligados;</w:t>
            </w:r>
          </w:p>
        </w:tc>
        <w:tc>
          <w:tcPr>
            <w:tcW w:w="4397" w:type="dxa"/>
            <w:shd w:val="clear" w:color="auto" w:fill="FFFFFF" w:themeFill="background1"/>
            <w:vAlign w:val="center"/>
            <w:hideMark/>
          </w:tcPr>
          <w:p w14:paraId="70A743C9"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de conformidad con los artículos 24 fracción I de la Ley General de Transparencia y Acceso a la Información Pública, y los artículos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061A08" w:rsidRPr="002B45F1" w14:paraId="5080F8B3" w14:textId="77777777" w:rsidTr="00E708D4">
        <w:trPr>
          <w:trHeight w:val="920"/>
          <w:jc w:val="center"/>
        </w:trPr>
        <w:tc>
          <w:tcPr>
            <w:tcW w:w="810" w:type="dxa"/>
            <w:shd w:val="clear" w:color="auto" w:fill="auto"/>
            <w:vAlign w:val="center"/>
            <w:hideMark/>
          </w:tcPr>
          <w:p w14:paraId="4C5263F8"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w:t>
            </w:r>
          </w:p>
        </w:tc>
        <w:tc>
          <w:tcPr>
            <w:tcW w:w="4106" w:type="dxa"/>
            <w:shd w:val="clear" w:color="auto" w:fill="auto"/>
            <w:vAlign w:val="center"/>
            <w:hideMark/>
          </w:tcPr>
          <w:p w14:paraId="0FD2025B"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Todas las evaluaciones y encuestas que hagan los sujetos obligados a programas financiados con recursos públicos;</w:t>
            </w:r>
          </w:p>
        </w:tc>
        <w:tc>
          <w:tcPr>
            <w:tcW w:w="4397" w:type="dxa"/>
            <w:shd w:val="clear" w:color="auto" w:fill="auto"/>
            <w:vAlign w:val="center"/>
            <w:hideMark/>
          </w:tcPr>
          <w:p w14:paraId="06B107B2"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No le es aplicable, toda vez que de conformidad con lo establecido en los Lineamientos Técnicos Generales, la información que se publique con motivo de la presente fracción, deberá guardar </w:t>
            </w:r>
            <w:r w:rsidRPr="002B45F1">
              <w:rPr>
                <w:rFonts w:asciiTheme="majorHAnsi" w:eastAsia="Times New Roman" w:hAnsiTheme="majorHAnsi" w:cstheme="majorHAnsi"/>
                <w:sz w:val="24"/>
                <w:szCs w:val="24"/>
                <w:lang w:eastAsia="es-MX"/>
              </w:rPr>
              <w:lastRenderedPageBreak/>
              <w:t>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así como de bienes y servicios, consecuentemente tampoco le aplicará la presente fracción.</w:t>
            </w:r>
          </w:p>
        </w:tc>
      </w:tr>
      <w:tr w:rsidR="00061A08" w:rsidRPr="002B45F1" w14:paraId="3E6DC89E" w14:textId="77777777" w:rsidTr="00E708D4">
        <w:trPr>
          <w:trHeight w:val="617"/>
          <w:jc w:val="center"/>
        </w:trPr>
        <w:tc>
          <w:tcPr>
            <w:tcW w:w="810" w:type="dxa"/>
            <w:shd w:val="clear" w:color="auto" w:fill="FFFFFF" w:themeFill="background1"/>
            <w:vAlign w:val="center"/>
            <w:hideMark/>
          </w:tcPr>
          <w:p w14:paraId="7ED1DE57"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XLI</w:t>
            </w:r>
          </w:p>
        </w:tc>
        <w:tc>
          <w:tcPr>
            <w:tcW w:w="4106" w:type="dxa"/>
            <w:shd w:val="clear" w:color="auto" w:fill="FFFFFF" w:themeFill="background1"/>
            <w:vAlign w:val="center"/>
            <w:hideMark/>
          </w:tcPr>
          <w:p w14:paraId="544B9E59"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estudios financiados con recursos públicos;</w:t>
            </w:r>
          </w:p>
        </w:tc>
        <w:tc>
          <w:tcPr>
            <w:tcW w:w="4397" w:type="dxa"/>
            <w:shd w:val="clear" w:color="auto" w:fill="FFFFFF" w:themeFill="background1"/>
            <w:vAlign w:val="center"/>
            <w:hideMark/>
          </w:tcPr>
          <w:p w14:paraId="7406A827" w14:textId="77777777" w:rsidR="00061A08" w:rsidRPr="002B45F1" w:rsidRDefault="00061A08" w:rsidP="00E708D4">
            <w:pPr>
              <w:autoSpaceDE w:val="0"/>
              <w:autoSpaceDN w:val="0"/>
              <w:adjustRightInd w:val="0"/>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No le es aplicable, toda vez que no se encuentra dentro de sus facultades, atribuciones y competencias de este sujeto obligado la generación de la información a la que hace referencia esta obligación; por no encontrarse establecidas en la Ley orgánica que regula al Centro de conciliación.</w:t>
            </w:r>
          </w:p>
        </w:tc>
      </w:tr>
      <w:tr w:rsidR="00061A08" w:rsidRPr="002B45F1" w14:paraId="421CA5B1" w14:textId="77777777" w:rsidTr="00E708D4">
        <w:trPr>
          <w:trHeight w:val="536"/>
          <w:jc w:val="center"/>
        </w:trPr>
        <w:tc>
          <w:tcPr>
            <w:tcW w:w="810" w:type="dxa"/>
            <w:shd w:val="clear" w:color="auto" w:fill="FFFFFF" w:themeFill="background1"/>
            <w:vAlign w:val="center"/>
            <w:hideMark/>
          </w:tcPr>
          <w:p w14:paraId="14B63755"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XLII</w:t>
            </w:r>
          </w:p>
        </w:tc>
        <w:tc>
          <w:tcPr>
            <w:tcW w:w="4106" w:type="dxa"/>
            <w:shd w:val="clear" w:color="auto" w:fill="FFFFFF" w:themeFill="background1"/>
            <w:vAlign w:val="center"/>
            <w:hideMark/>
          </w:tcPr>
          <w:p w14:paraId="2D757ADE"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listado de jubilados y pensionados y el monto que reciben;</w:t>
            </w:r>
          </w:p>
        </w:tc>
        <w:tc>
          <w:tcPr>
            <w:tcW w:w="4397" w:type="dxa"/>
            <w:shd w:val="clear" w:color="auto" w:fill="FFFFFF" w:themeFill="background1"/>
            <w:vAlign w:val="center"/>
            <w:hideMark/>
          </w:tcPr>
          <w:p w14:paraId="0EF758F7" w14:textId="77777777" w:rsidR="00061A08" w:rsidRPr="002B45F1" w:rsidRDefault="00061A08" w:rsidP="00E708D4">
            <w:pPr>
              <w:spacing w:after="0" w:line="240" w:lineRule="auto"/>
              <w:jc w:val="both"/>
              <w:rPr>
                <w:rFonts w:asciiTheme="majorHAnsi" w:hAnsiTheme="majorHAnsi" w:cstheme="majorHAnsi"/>
                <w:sz w:val="24"/>
                <w:szCs w:val="24"/>
              </w:rPr>
            </w:pPr>
            <w:r w:rsidRPr="002B45F1">
              <w:rPr>
                <w:rFonts w:asciiTheme="majorHAnsi" w:hAnsiTheme="majorHAnsi" w:cstheme="majorHAnsi"/>
                <w:sz w:val="24"/>
                <w:szCs w:val="24"/>
              </w:rPr>
              <w:t>No le es aplicable, no obstante lo anterior, de conformidad con lo señalado en los Lineamientos técnicos generales, todos los sujetos obligados deberán publicar el formato 42 A que contenga el hipervínculo al sitio de internet en el que los institutos de seguridad social publicarán listados de jubilados y pensionados, así como el monto de la pensión que reciban.</w:t>
            </w:r>
          </w:p>
        </w:tc>
      </w:tr>
      <w:tr w:rsidR="00061A08" w:rsidRPr="002B45F1" w14:paraId="5392D42E" w14:textId="77777777" w:rsidTr="00E708D4">
        <w:trPr>
          <w:trHeight w:val="1479"/>
          <w:jc w:val="center"/>
        </w:trPr>
        <w:tc>
          <w:tcPr>
            <w:tcW w:w="810" w:type="dxa"/>
            <w:shd w:val="clear" w:color="auto" w:fill="FFFFFF" w:themeFill="background1"/>
            <w:vAlign w:val="center"/>
            <w:hideMark/>
          </w:tcPr>
          <w:p w14:paraId="600D4659" w14:textId="77777777" w:rsidR="00061A08" w:rsidRPr="002B45F1" w:rsidRDefault="00061A08"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XLIII</w:t>
            </w:r>
          </w:p>
        </w:tc>
        <w:tc>
          <w:tcPr>
            <w:tcW w:w="4106" w:type="dxa"/>
            <w:shd w:val="clear" w:color="auto" w:fill="FFFFFF" w:themeFill="background1"/>
            <w:vAlign w:val="center"/>
            <w:hideMark/>
          </w:tcPr>
          <w:p w14:paraId="7850B65F"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ingresos recibidos por cualquier concepto señalando el nombre de los responsables de recibirlos, administrarlos y ejercerlos, así como su destino, indicando el destino de cada uno de ellos;</w:t>
            </w:r>
          </w:p>
        </w:tc>
        <w:tc>
          <w:tcPr>
            <w:tcW w:w="4397" w:type="dxa"/>
            <w:shd w:val="clear" w:color="auto" w:fill="FFFFFF" w:themeFill="background1"/>
            <w:vAlign w:val="center"/>
            <w:hideMark/>
          </w:tcPr>
          <w:p w14:paraId="4B7145E2" w14:textId="77777777" w:rsidR="00061A08" w:rsidRPr="002B45F1" w:rsidRDefault="00061A08"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Le es aplicable de conformidad con lo </w:t>
            </w:r>
            <w:r w:rsidRPr="002B45F1">
              <w:rPr>
                <w:rFonts w:asciiTheme="majorHAnsi" w:hAnsiTheme="majorHAnsi" w:cstheme="majorHAnsi"/>
                <w:sz w:val="24"/>
                <w:szCs w:val="24"/>
              </w:rPr>
              <w:t>señalado en el artículo 6 de la Ley Orgánica del Centro de Conciliación Laboral del Estado de Yucatán, se establece</w:t>
            </w:r>
            <w:r w:rsidRPr="002B45F1">
              <w:rPr>
                <w:rFonts w:asciiTheme="majorHAnsi" w:eastAsia="Times New Roman" w:hAnsiTheme="majorHAnsi" w:cstheme="majorHAnsi"/>
                <w:sz w:val="24"/>
                <w:szCs w:val="24"/>
                <w:lang w:eastAsia="es-MX"/>
              </w:rPr>
              <w:t xml:space="preserve"> la forma de integrar o incrementar su patrimonio.</w:t>
            </w:r>
          </w:p>
        </w:tc>
      </w:tr>
      <w:tr w:rsidR="00061A08" w:rsidRPr="002B45F1" w14:paraId="7AE183CC" w14:textId="77777777" w:rsidTr="00E708D4">
        <w:trPr>
          <w:trHeight w:val="756"/>
          <w:jc w:val="center"/>
        </w:trPr>
        <w:tc>
          <w:tcPr>
            <w:tcW w:w="810" w:type="dxa"/>
            <w:shd w:val="clear" w:color="auto" w:fill="FFFFFF" w:themeFill="background1"/>
            <w:vAlign w:val="center"/>
            <w:hideMark/>
          </w:tcPr>
          <w:p w14:paraId="42E2C3D3" w14:textId="77777777" w:rsidR="00061A08" w:rsidRPr="002B45F1" w:rsidRDefault="00061A08" w:rsidP="00E708D4">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XLIV</w:t>
            </w:r>
          </w:p>
        </w:tc>
        <w:tc>
          <w:tcPr>
            <w:tcW w:w="4106" w:type="dxa"/>
            <w:shd w:val="clear" w:color="auto" w:fill="FFFFFF" w:themeFill="background1"/>
            <w:vAlign w:val="center"/>
            <w:hideMark/>
          </w:tcPr>
          <w:p w14:paraId="107F4AB3" w14:textId="77777777" w:rsidR="00061A08" w:rsidRPr="002B45F1" w:rsidRDefault="00061A08"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Donaciones hechas a terceros en dinero o en especie;</w:t>
            </w:r>
          </w:p>
        </w:tc>
        <w:tc>
          <w:tcPr>
            <w:tcW w:w="4397" w:type="dxa"/>
            <w:shd w:val="clear" w:color="auto" w:fill="FFFFFF" w:themeFill="background1"/>
            <w:vAlign w:val="center"/>
            <w:hideMark/>
          </w:tcPr>
          <w:p w14:paraId="7E616EB8" w14:textId="77777777" w:rsidR="00061A08" w:rsidRPr="002B45F1" w:rsidRDefault="00061A08"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de conformidad con lo señalado en el artículo 7 fracción III de la Ley de Bienes del Estado de Yucatán, se encuentra dentro del ámbito de sus competencias, facultades o funciones.</w:t>
            </w:r>
          </w:p>
        </w:tc>
      </w:tr>
      <w:tr w:rsidR="00061A08" w:rsidRPr="002B45F1" w14:paraId="19B0DBC3" w14:textId="77777777" w:rsidTr="00E708D4">
        <w:trPr>
          <w:trHeight w:val="780"/>
          <w:jc w:val="center"/>
        </w:trPr>
        <w:tc>
          <w:tcPr>
            <w:tcW w:w="810" w:type="dxa"/>
            <w:shd w:val="clear" w:color="auto" w:fill="FFFFFF" w:themeFill="background1"/>
            <w:vAlign w:val="center"/>
            <w:hideMark/>
          </w:tcPr>
          <w:p w14:paraId="388A2C29" w14:textId="77777777" w:rsidR="00061A08" w:rsidRPr="002B45F1" w:rsidRDefault="00061A08" w:rsidP="00E708D4">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XLV</w:t>
            </w:r>
          </w:p>
        </w:tc>
        <w:tc>
          <w:tcPr>
            <w:tcW w:w="4106" w:type="dxa"/>
            <w:shd w:val="clear" w:color="auto" w:fill="FFFFFF" w:themeFill="background1"/>
            <w:vAlign w:val="center"/>
            <w:hideMark/>
          </w:tcPr>
          <w:p w14:paraId="27CCEEE6" w14:textId="77777777" w:rsidR="00061A08" w:rsidRPr="002B45F1" w:rsidRDefault="00061A08"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catálogo de disposición y guía de archivo documental;</w:t>
            </w:r>
          </w:p>
        </w:tc>
        <w:tc>
          <w:tcPr>
            <w:tcW w:w="4397" w:type="dxa"/>
            <w:shd w:val="clear" w:color="auto" w:fill="FFFFFF" w:themeFill="background1"/>
            <w:vAlign w:val="center"/>
            <w:hideMark/>
          </w:tcPr>
          <w:p w14:paraId="7BF5A466" w14:textId="77777777" w:rsidR="00061A08" w:rsidRPr="002B45F1" w:rsidRDefault="00061A08" w:rsidP="00E708D4">
            <w:pPr>
              <w:shd w:val="clear" w:color="auto" w:fill="FFFFFF" w:themeFill="background1"/>
              <w:spacing w:after="0" w:line="240" w:lineRule="auto"/>
              <w:jc w:val="both"/>
              <w:rPr>
                <w:rFonts w:asciiTheme="majorHAnsi" w:eastAsia="Times New Roman" w:hAnsiTheme="majorHAnsi" w:cstheme="majorHAnsi"/>
                <w:b/>
                <w:sz w:val="24"/>
                <w:szCs w:val="24"/>
                <w:lang w:eastAsia="es-MX"/>
              </w:rPr>
            </w:pPr>
            <w:r w:rsidRPr="002B45F1">
              <w:rPr>
                <w:rFonts w:asciiTheme="majorHAnsi" w:eastAsia="Times New Roman" w:hAnsiTheme="majorHAnsi" w:cstheme="majorHAnsi"/>
                <w:sz w:val="24"/>
                <w:szCs w:val="24"/>
                <w:lang w:eastAsia="es-MX"/>
              </w:rPr>
              <w:t xml:space="preserve">Le es aplicable, toda vez que de conformidad con artículo 13 de la Ley General de Archivos </w:t>
            </w:r>
            <w:r w:rsidRPr="002B45F1">
              <w:rPr>
                <w:rFonts w:asciiTheme="majorHAnsi" w:eastAsia="Times New Roman" w:hAnsiTheme="majorHAnsi" w:cstheme="majorHAnsi"/>
                <w:sz w:val="24"/>
                <w:szCs w:val="24"/>
                <w:lang w:eastAsia="es-MX"/>
              </w:rPr>
              <w:lastRenderedPageBreak/>
              <w:t>y el numeral sexto fracción V de los Lineamientos para la Organización y Conservación de Archivos, emitidos por el Sistema Nacional de Transparencia, todos los sujetos obligados deben elaborar los instrumentos de control y consulta archivísticos a que hace referencia esta fracción.</w:t>
            </w:r>
          </w:p>
        </w:tc>
      </w:tr>
      <w:tr w:rsidR="00061A08" w:rsidRPr="002B45F1" w14:paraId="3AB9FC67" w14:textId="77777777" w:rsidTr="00E708D4">
        <w:trPr>
          <w:trHeight w:val="744"/>
          <w:jc w:val="center"/>
        </w:trPr>
        <w:tc>
          <w:tcPr>
            <w:tcW w:w="810" w:type="dxa"/>
            <w:shd w:val="clear" w:color="auto" w:fill="FFFFFF" w:themeFill="background1"/>
            <w:vAlign w:val="center"/>
            <w:hideMark/>
          </w:tcPr>
          <w:p w14:paraId="30EB8150" w14:textId="77777777" w:rsidR="00061A08" w:rsidRPr="002B45F1" w:rsidRDefault="00061A08" w:rsidP="00E708D4">
            <w:pPr>
              <w:shd w:val="clear" w:color="auto" w:fill="FFFFFF" w:themeFill="background1"/>
              <w:spacing w:after="0" w:line="240" w:lineRule="auto"/>
              <w:jc w:val="center"/>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lastRenderedPageBreak/>
              <w:t>XLVI</w:t>
            </w:r>
          </w:p>
        </w:tc>
        <w:tc>
          <w:tcPr>
            <w:tcW w:w="4106" w:type="dxa"/>
            <w:shd w:val="clear" w:color="auto" w:fill="FFFFFF" w:themeFill="background1"/>
            <w:vAlign w:val="center"/>
            <w:hideMark/>
          </w:tcPr>
          <w:p w14:paraId="55CC99C0" w14:textId="77777777" w:rsidR="00061A08" w:rsidRPr="002B45F1" w:rsidRDefault="00061A08"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actas de sesiones ordinarias y extraordinarias, así como las opiniones y recomendaciones que emitan, en su caso, los consejos consultivos (Artículo 47 de la LG);</w:t>
            </w:r>
          </w:p>
        </w:tc>
        <w:tc>
          <w:tcPr>
            <w:tcW w:w="4397" w:type="dxa"/>
            <w:shd w:val="clear" w:color="auto" w:fill="FFFFFF" w:themeFill="background1"/>
            <w:vAlign w:val="center"/>
            <w:hideMark/>
          </w:tcPr>
          <w:p w14:paraId="253343BA" w14:textId="77777777" w:rsidR="00061A08" w:rsidRPr="002B45F1" w:rsidRDefault="00061A08"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No le es aplicable, toda vez que en la Ley Orgánica del Centro de Conciliación Laboral del Estado de Yucatán, no se dispone la conformación o integración de un consejo consultivo.</w:t>
            </w:r>
          </w:p>
        </w:tc>
      </w:tr>
      <w:tr w:rsidR="00061A08" w:rsidRPr="002B45F1" w14:paraId="1EB553E7" w14:textId="77777777" w:rsidTr="00E708D4">
        <w:trPr>
          <w:trHeight w:val="1234"/>
          <w:jc w:val="center"/>
        </w:trPr>
        <w:tc>
          <w:tcPr>
            <w:tcW w:w="810" w:type="dxa"/>
            <w:shd w:val="clear" w:color="auto" w:fill="FFFFFF" w:themeFill="background1"/>
            <w:vAlign w:val="center"/>
          </w:tcPr>
          <w:p w14:paraId="0C14E05A" w14:textId="77777777" w:rsidR="00061A08" w:rsidRPr="002B45F1" w:rsidRDefault="00061A08" w:rsidP="00E708D4">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XLVII</w:t>
            </w:r>
          </w:p>
        </w:tc>
        <w:tc>
          <w:tcPr>
            <w:tcW w:w="4106" w:type="dxa"/>
            <w:shd w:val="clear" w:color="auto" w:fill="FFFFFF" w:themeFill="background1"/>
            <w:vAlign w:val="center"/>
          </w:tcPr>
          <w:p w14:paraId="17EF8383" w14:textId="77777777" w:rsidR="00061A08" w:rsidRPr="002B45F1" w:rsidRDefault="00061A08"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shd w:val="clear" w:color="auto" w:fill="FFFFFF" w:themeFill="background1"/>
            <w:vAlign w:val="center"/>
          </w:tcPr>
          <w:p w14:paraId="5A94EF83" w14:textId="77777777" w:rsidR="00061A08" w:rsidRPr="002B45F1" w:rsidRDefault="00061A08" w:rsidP="00E708D4">
            <w:pPr>
              <w:shd w:val="clear" w:color="auto" w:fill="FFFFFF" w:themeFill="background1"/>
              <w:spacing w:after="0" w:line="240" w:lineRule="auto"/>
              <w:jc w:val="both"/>
              <w:rPr>
                <w:rFonts w:asciiTheme="majorHAnsi" w:eastAsia="Times New Roman" w:hAnsiTheme="majorHAnsi" w:cstheme="majorHAnsi"/>
                <w:color w:val="000000"/>
                <w:sz w:val="24"/>
                <w:szCs w:val="24"/>
                <w:lang w:eastAsia="es-MX"/>
              </w:rPr>
            </w:pPr>
            <w:r w:rsidRPr="002B45F1">
              <w:rPr>
                <w:rFonts w:asciiTheme="majorHAnsi" w:eastAsia="Times New Roman" w:hAnsiTheme="majorHAnsi" w:cstheme="majorHAnsi"/>
                <w:color w:val="000000"/>
                <w:sz w:val="24"/>
                <w:szCs w:val="24"/>
                <w:lang w:eastAsia="es-MX"/>
              </w:rPr>
              <w:t>No le es aplicable, en razón de que este sujeto obligado no tiene competencias, facultades o funciones para solicitar, o en su caso autorizar la intervención de comunicaciones privadas, sin embargo, en términos de lo señalado en los Lineamientos técnicos generales, este sujeto obligado deberá publicar el formato 47 c.</w:t>
            </w:r>
          </w:p>
        </w:tc>
      </w:tr>
      <w:tr w:rsidR="00061A08" w:rsidRPr="002B45F1" w14:paraId="5D850270" w14:textId="77777777" w:rsidTr="00650C1B">
        <w:trPr>
          <w:trHeight w:val="673"/>
          <w:jc w:val="center"/>
        </w:trPr>
        <w:tc>
          <w:tcPr>
            <w:tcW w:w="810" w:type="dxa"/>
            <w:shd w:val="clear" w:color="auto" w:fill="FFFFFF" w:themeFill="background1"/>
            <w:vAlign w:val="center"/>
            <w:hideMark/>
          </w:tcPr>
          <w:p w14:paraId="2D607A32" w14:textId="77777777" w:rsidR="00061A08" w:rsidRPr="002B45F1" w:rsidRDefault="00061A08" w:rsidP="00E708D4">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XLVIII</w:t>
            </w:r>
          </w:p>
        </w:tc>
        <w:tc>
          <w:tcPr>
            <w:tcW w:w="4106" w:type="dxa"/>
            <w:shd w:val="clear" w:color="auto" w:fill="FFFFFF" w:themeFill="background1"/>
            <w:vAlign w:val="center"/>
            <w:hideMark/>
          </w:tcPr>
          <w:p w14:paraId="693C8942" w14:textId="77777777" w:rsidR="00061A08" w:rsidRPr="002B45F1" w:rsidRDefault="00061A08"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FFFFFF" w:themeFill="background1"/>
            <w:vAlign w:val="center"/>
            <w:hideMark/>
          </w:tcPr>
          <w:p w14:paraId="526A928D" w14:textId="77777777" w:rsidR="00061A08" w:rsidRPr="002B45F1" w:rsidRDefault="00061A08"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w:t>
            </w:r>
            <w:r w:rsidRPr="002B45F1">
              <w:rPr>
                <w:rFonts w:asciiTheme="majorHAnsi" w:eastAsia="Times New Roman" w:hAnsiTheme="majorHAnsi" w:cstheme="majorHAnsi"/>
                <w:sz w:val="24"/>
                <w:szCs w:val="24"/>
                <w:lang w:eastAsia="es-MX"/>
              </w:rPr>
              <w:lastRenderedPageBreak/>
              <w:t>personas cuenten con elementos para la toma de decisiones en cualquier ámbito.</w:t>
            </w:r>
          </w:p>
        </w:tc>
      </w:tr>
    </w:tbl>
    <w:p w14:paraId="7E90C196" w14:textId="77777777" w:rsidR="00061A08" w:rsidRPr="002B45F1" w:rsidRDefault="00061A08" w:rsidP="009E4BFB">
      <w:pPr>
        <w:spacing w:after="0" w:line="240" w:lineRule="auto"/>
        <w:jc w:val="both"/>
        <w:rPr>
          <w:rFonts w:asciiTheme="majorHAnsi" w:eastAsia="Arial" w:hAnsiTheme="majorHAnsi" w:cstheme="majorHAnsi"/>
          <w:b/>
          <w:bCs/>
          <w:sz w:val="24"/>
          <w:szCs w:val="24"/>
        </w:rPr>
      </w:pPr>
    </w:p>
    <w:p w14:paraId="7FABC357" w14:textId="776A4DC3" w:rsidR="003A558E" w:rsidRPr="002B45F1" w:rsidRDefault="00061A08" w:rsidP="009E4BFB">
      <w:pPr>
        <w:spacing w:after="0" w:line="240" w:lineRule="auto"/>
        <w:jc w:val="both"/>
        <w:rPr>
          <w:rFonts w:asciiTheme="majorHAnsi" w:eastAsia="Arial" w:hAnsiTheme="majorHAnsi" w:cstheme="majorHAnsi"/>
          <w:b/>
          <w:bCs/>
          <w:sz w:val="24"/>
          <w:szCs w:val="24"/>
        </w:rPr>
      </w:pPr>
      <w:r w:rsidRPr="002B45F1">
        <w:rPr>
          <w:rFonts w:asciiTheme="majorHAnsi" w:eastAsia="Arial" w:hAnsiTheme="majorHAnsi" w:cstheme="majorHAnsi"/>
          <w:b/>
          <w:bCs/>
          <w:sz w:val="24"/>
          <w:szCs w:val="24"/>
        </w:rPr>
        <w:t>31-01-03-056</w:t>
      </w:r>
      <w:r w:rsidR="003A558E" w:rsidRPr="002B45F1">
        <w:rPr>
          <w:rFonts w:asciiTheme="majorHAnsi" w:eastAsia="Arial" w:hAnsiTheme="majorHAnsi" w:cstheme="majorHAnsi"/>
          <w:b/>
          <w:bCs/>
          <w:sz w:val="24"/>
          <w:szCs w:val="24"/>
        </w:rPr>
        <w:t xml:space="preserve"> </w:t>
      </w:r>
      <w:r w:rsidRPr="002B45F1">
        <w:rPr>
          <w:rFonts w:asciiTheme="majorHAnsi" w:eastAsia="Arial" w:hAnsiTheme="majorHAnsi" w:cstheme="majorHAnsi"/>
          <w:b/>
          <w:bCs/>
          <w:sz w:val="24"/>
          <w:szCs w:val="24"/>
        </w:rPr>
        <w:t>Parque Científico y Tecnológico de Yucatán, PCTY</w:t>
      </w:r>
      <w:r w:rsidR="003A558E" w:rsidRPr="002B45F1">
        <w:rPr>
          <w:rFonts w:asciiTheme="majorHAnsi" w:eastAsia="Arial" w:hAnsiTheme="majorHAnsi" w:cstheme="majorHAnsi"/>
          <w:b/>
          <w:bCs/>
          <w:sz w:val="24"/>
          <w:szCs w:val="24"/>
        </w:rPr>
        <w:t>.</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4106"/>
        <w:gridCol w:w="4397"/>
      </w:tblGrid>
      <w:tr w:rsidR="00001AC6" w:rsidRPr="002B45F1" w14:paraId="73BB7F1A" w14:textId="77777777" w:rsidTr="00E708D4">
        <w:trPr>
          <w:trHeight w:val="501"/>
          <w:tblHeader/>
          <w:jc w:val="center"/>
        </w:trPr>
        <w:tc>
          <w:tcPr>
            <w:tcW w:w="4916" w:type="dxa"/>
            <w:gridSpan w:val="2"/>
            <w:shd w:val="clear" w:color="auto" w:fill="D5DCE4" w:themeFill="text2" w:themeFillTint="33"/>
            <w:vAlign w:val="center"/>
            <w:hideMark/>
          </w:tcPr>
          <w:p w14:paraId="67918453" w14:textId="77777777" w:rsidR="00001AC6" w:rsidRPr="002B45F1" w:rsidRDefault="00001AC6" w:rsidP="00E708D4">
            <w:pPr>
              <w:spacing w:after="0" w:line="240" w:lineRule="auto"/>
              <w:jc w:val="center"/>
              <w:rPr>
                <w:rFonts w:asciiTheme="majorHAnsi" w:eastAsia="Times New Roman" w:hAnsiTheme="majorHAnsi" w:cstheme="majorHAnsi"/>
                <w:b/>
                <w:bCs/>
                <w:sz w:val="24"/>
                <w:szCs w:val="24"/>
                <w:lang w:eastAsia="es-MX"/>
              </w:rPr>
            </w:pPr>
            <w:r w:rsidRPr="002B45F1">
              <w:rPr>
                <w:rFonts w:asciiTheme="majorHAnsi" w:eastAsia="Times New Roman" w:hAnsiTheme="majorHAnsi" w:cstheme="majorHAnsi"/>
                <w:b/>
                <w:bCs/>
                <w:sz w:val="24"/>
                <w:szCs w:val="24"/>
                <w:lang w:eastAsia="es-MX"/>
              </w:rPr>
              <w:t>FRACCIÓN</w:t>
            </w:r>
          </w:p>
        </w:tc>
        <w:tc>
          <w:tcPr>
            <w:tcW w:w="4397" w:type="dxa"/>
            <w:shd w:val="clear" w:color="auto" w:fill="D5DCE4" w:themeFill="text2" w:themeFillTint="33"/>
            <w:vAlign w:val="center"/>
            <w:hideMark/>
          </w:tcPr>
          <w:p w14:paraId="548E5764" w14:textId="77777777" w:rsidR="00001AC6" w:rsidRPr="002B45F1" w:rsidRDefault="00001AC6" w:rsidP="00E708D4">
            <w:pPr>
              <w:spacing w:after="0" w:line="240" w:lineRule="auto"/>
              <w:jc w:val="center"/>
              <w:rPr>
                <w:rFonts w:asciiTheme="majorHAnsi" w:eastAsia="Times New Roman" w:hAnsiTheme="majorHAnsi" w:cstheme="majorHAnsi"/>
                <w:b/>
                <w:bCs/>
                <w:sz w:val="24"/>
                <w:szCs w:val="24"/>
                <w:lang w:eastAsia="es-MX"/>
              </w:rPr>
            </w:pPr>
            <w:r w:rsidRPr="002B45F1">
              <w:rPr>
                <w:rFonts w:asciiTheme="majorHAnsi" w:eastAsia="Times New Roman" w:hAnsiTheme="majorHAnsi" w:cstheme="majorHAnsi"/>
                <w:b/>
                <w:bCs/>
                <w:sz w:val="24"/>
                <w:szCs w:val="24"/>
                <w:lang w:eastAsia="es-MX"/>
              </w:rPr>
              <w:t>APLICABLE / NO APLICABLE</w:t>
            </w:r>
          </w:p>
        </w:tc>
      </w:tr>
      <w:tr w:rsidR="00001AC6" w:rsidRPr="002B45F1" w14:paraId="1AA35A62" w14:textId="77777777" w:rsidTr="00E708D4">
        <w:trPr>
          <w:trHeight w:val="1967"/>
          <w:jc w:val="center"/>
        </w:trPr>
        <w:tc>
          <w:tcPr>
            <w:tcW w:w="810" w:type="dxa"/>
            <w:shd w:val="clear" w:color="auto" w:fill="FFFFFF" w:themeFill="background1"/>
            <w:vAlign w:val="center"/>
            <w:hideMark/>
          </w:tcPr>
          <w:p w14:paraId="7B07F83C"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I</w:t>
            </w:r>
          </w:p>
        </w:tc>
        <w:tc>
          <w:tcPr>
            <w:tcW w:w="4106" w:type="dxa"/>
            <w:shd w:val="clear" w:color="auto" w:fill="FFFFFF" w:themeFill="background1"/>
            <w:vAlign w:val="center"/>
            <w:hideMark/>
          </w:tcPr>
          <w:p w14:paraId="7BCB164C"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FFFFFF" w:themeFill="background1"/>
            <w:vAlign w:val="center"/>
            <w:hideMark/>
          </w:tcPr>
          <w:p w14:paraId="39234F3B" w14:textId="77777777" w:rsidR="00001AC6" w:rsidRPr="002B45F1" w:rsidRDefault="00001AC6"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color w:val="000000"/>
                <w:sz w:val="24"/>
                <w:szCs w:val="24"/>
              </w:rPr>
              <w:t>Le es aplicable, en virtud que la publicación de las disposiciones normativas que regulan el ejercicio de este sujeto obligado, permitirá a las personas dotarse de las herramientas y mecanismos necesarios para la defensa eficaz y eficiente de sus derechos fundamentales, y para verificar que los actos de éste se encuentren debidamente fundados y motivados.</w:t>
            </w:r>
          </w:p>
        </w:tc>
      </w:tr>
      <w:tr w:rsidR="00001AC6" w:rsidRPr="002B45F1" w14:paraId="6DE24923" w14:textId="77777777" w:rsidTr="00E708D4">
        <w:trPr>
          <w:trHeight w:val="970"/>
          <w:jc w:val="center"/>
        </w:trPr>
        <w:tc>
          <w:tcPr>
            <w:tcW w:w="810" w:type="dxa"/>
            <w:shd w:val="clear" w:color="auto" w:fill="FFFFFF" w:themeFill="background1"/>
            <w:vAlign w:val="center"/>
            <w:hideMark/>
          </w:tcPr>
          <w:p w14:paraId="07CF342D"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II</w:t>
            </w:r>
          </w:p>
        </w:tc>
        <w:tc>
          <w:tcPr>
            <w:tcW w:w="4106" w:type="dxa"/>
            <w:shd w:val="clear" w:color="auto" w:fill="FFFFFF" w:themeFill="background1"/>
            <w:vAlign w:val="center"/>
            <w:hideMark/>
          </w:tcPr>
          <w:p w14:paraId="33115C45"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auto"/>
            <w:vAlign w:val="center"/>
            <w:hideMark/>
          </w:tcPr>
          <w:p w14:paraId="3C0D8634"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rPr>
              <w:t>Le es aplicable, con motivo de lo anterior este sujeto obligado deberá publicar la estructura orgánica que para tal efecto apruebe su junta de gobierno, en términos de lo dispuesto en el artículo 6 fracción III del  Decreto 434/2021 por el que se regula el Parque Científico y Tecnológico de Yucatán.</w:t>
            </w:r>
          </w:p>
        </w:tc>
      </w:tr>
      <w:tr w:rsidR="00001AC6" w:rsidRPr="002B45F1" w14:paraId="2E643B11" w14:textId="77777777" w:rsidTr="00E708D4">
        <w:trPr>
          <w:trHeight w:val="1234"/>
          <w:jc w:val="center"/>
        </w:trPr>
        <w:tc>
          <w:tcPr>
            <w:tcW w:w="810" w:type="dxa"/>
            <w:shd w:val="clear" w:color="auto" w:fill="FFFFFF" w:themeFill="background1"/>
            <w:vAlign w:val="center"/>
            <w:hideMark/>
          </w:tcPr>
          <w:p w14:paraId="1D1CB229"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III</w:t>
            </w:r>
          </w:p>
        </w:tc>
        <w:tc>
          <w:tcPr>
            <w:tcW w:w="4106" w:type="dxa"/>
            <w:shd w:val="clear" w:color="auto" w:fill="FFFFFF" w:themeFill="background1"/>
            <w:vAlign w:val="center"/>
            <w:hideMark/>
          </w:tcPr>
          <w:p w14:paraId="70EB9ED7"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facultades de cada Área;</w:t>
            </w:r>
          </w:p>
        </w:tc>
        <w:tc>
          <w:tcPr>
            <w:tcW w:w="4397" w:type="dxa"/>
            <w:shd w:val="clear" w:color="auto" w:fill="FFFFFF" w:themeFill="background1"/>
            <w:vAlign w:val="center"/>
            <w:hideMark/>
          </w:tcPr>
          <w:p w14:paraId="1A39970B" w14:textId="77777777" w:rsidR="00001AC6" w:rsidRPr="002B45F1" w:rsidRDefault="00001AC6"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rPr>
              <w:t>Le es aplicable. En cumplimiento a esta fracción, este sujeto obligado publicará las facultades respecto de cada una de las áreas previstas en el reglamento interior, estatuto orgánico o normatividad equivalente respectiva, entendidas éstas como las aptitudes o potestades que les otorga la ley para para llevar a cabo actos administrativos y/o legales válidos, de los cuales surgen obligaciones, derechos y atribuciones.</w:t>
            </w:r>
          </w:p>
        </w:tc>
      </w:tr>
      <w:tr w:rsidR="00001AC6" w:rsidRPr="002B45F1" w14:paraId="3C29DCF5" w14:textId="77777777" w:rsidTr="00E708D4">
        <w:trPr>
          <w:trHeight w:val="545"/>
          <w:jc w:val="center"/>
        </w:trPr>
        <w:tc>
          <w:tcPr>
            <w:tcW w:w="810" w:type="dxa"/>
            <w:shd w:val="clear" w:color="auto" w:fill="FFFFFF" w:themeFill="background1"/>
            <w:vAlign w:val="center"/>
            <w:hideMark/>
          </w:tcPr>
          <w:p w14:paraId="563ACC3F"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IV</w:t>
            </w:r>
          </w:p>
        </w:tc>
        <w:tc>
          <w:tcPr>
            <w:tcW w:w="4106" w:type="dxa"/>
            <w:shd w:val="clear" w:color="auto" w:fill="FFFFFF" w:themeFill="background1"/>
            <w:vAlign w:val="center"/>
            <w:hideMark/>
          </w:tcPr>
          <w:p w14:paraId="28BA7B42"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metas y objetivos de las Áreas de conformidad con sus programas operativos.</w:t>
            </w:r>
          </w:p>
        </w:tc>
        <w:tc>
          <w:tcPr>
            <w:tcW w:w="4397" w:type="dxa"/>
            <w:shd w:val="clear" w:color="auto" w:fill="FFFFFF" w:themeFill="background1"/>
            <w:vAlign w:val="center"/>
            <w:hideMark/>
          </w:tcPr>
          <w:p w14:paraId="15175BCF" w14:textId="77777777" w:rsidR="00001AC6" w:rsidRPr="002B45F1" w:rsidRDefault="00001AC6"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 xml:space="preserve">Le es aplicable, toda vez que en los artículos 33, 34, 34 bis y 64 de la Ley del Presupuesto y Contabilidad Gubernamental del Estado de Yucatán, se dispone que todos los anteproyectos de presupuesto de las </w:t>
            </w:r>
            <w:r w:rsidRPr="002B45F1">
              <w:rPr>
                <w:rFonts w:asciiTheme="majorHAnsi" w:eastAsia="Times New Roman" w:hAnsiTheme="majorHAnsi" w:cstheme="majorHAnsi"/>
                <w:sz w:val="24"/>
                <w:szCs w:val="24"/>
                <w:lang w:eastAsia="es-MX"/>
              </w:rPr>
              <w:lastRenderedPageBreak/>
              <w:t>entidades contendrán el programa presupuestario con los programas, actividades y proyectos que deberán realizar y las previsiones de gasto público requeridas para su ejecución.</w:t>
            </w:r>
          </w:p>
        </w:tc>
      </w:tr>
      <w:tr w:rsidR="00001AC6" w:rsidRPr="002B45F1" w14:paraId="6C55DABA" w14:textId="77777777" w:rsidTr="00E708D4">
        <w:trPr>
          <w:trHeight w:val="745"/>
          <w:jc w:val="center"/>
        </w:trPr>
        <w:tc>
          <w:tcPr>
            <w:tcW w:w="810" w:type="dxa"/>
            <w:shd w:val="clear" w:color="auto" w:fill="FFFFFF" w:themeFill="background1"/>
            <w:vAlign w:val="center"/>
            <w:hideMark/>
          </w:tcPr>
          <w:p w14:paraId="2D0E64CB"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V</w:t>
            </w:r>
          </w:p>
        </w:tc>
        <w:tc>
          <w:tcPr>
            <w:tcW w:w="4106" w:type="dxa"/>
            <w:shd w:val="clear" w:color="auto" w:fill="FFFFFF" w:themeFill="background1"/>
            <w:vAlign w:val="center"/>
            <w:hideMark/>
          </w:tcPr>
          <w:p w14:paraId="1C3D85A8"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indicadores relacionados con temas de interés público o trascendencia social que conforme a sus funciones, deban establecer;</w:t>
            </w:r>
          </w:p>
        </w:tc>
        <w:tc>
          <w:tcPr>
            <w:tcW w:w="4397" w:type="dxa"/>
            <w:shd w:val="clear" w:color="auto" w:fill="FFFFFF" w:themeFill="background1"/>
            <w:vAlign w:val="center"/>
            <w:hideMark/>
          </w:tcPr>
          <w:p w14:paraId="7F3D4390" w14:textId="77777777" w:rsidR="00001AC6" w:rsidRPr="002B45F1" w:rsidRDefault="00001AC6" w:rsidP="00E708D4">
            <w:pPr>
              <w:spacing w:after="0" w:line="240" w:lineRule="auto"/>
              <w:jc w:val="both"/>
              <w:rPr>
                <w:rFonts w:asciiTheme="majorHAnsi" w:eastAsia="Times New Roman" w:hAnsiTheme="majorHAnsi" w:cstheme="majorHAnsi"/>
                <w:b/>
                <w:bCs/>
                <w:sz w:val="24"/>
                <w:szCs w:val="24"/>
                <w:lang w:eastAsia="es-MX"/>
              </w:rPr>
            </w:pPr>
            <w:r w:rsidRPr="002B45F1">
              <w:rPr>
                <w:rFonts w:asciiTheme="majorHAnsi" w:eastAsia="Times New Roman" w:hAnsiTheme="majorHAnsi" w:cstheme="majorHAnsi"/>
                <w:color w:val="000000"/>
                <w:sz w:val="24"/>
                <w:szCs w:val="24"/>
                <w:lang w:eastAsia="es-MX"/>
              </w:rPr>
              <w:t>Le es aplicable. Al respecto, conviene precisar que de acuerdo con los Lineamientos técnicos generales, en esta fracción todos los sujetos obligados publicarán y actualizarán información relativa a los indicadores que valoren sus resultados en su conjunto, de acuerdo con su misión, objetivos y/o atribuciones previstas en las disposiciones que los regulen; aunado a lo anterior el artículo 66 del Código de la Administración Pública de Yucatán, señala que los organismos públicos descentralizados son creados para cubrir la prestación de un servicio público, la realización de actividades correspondientes a áreas prioritarias y para la obtención o aplicación de recursos para fines de asistencia o seguridad social, motivo por el cual, estos deben publicar aquellos indicadores que son relevantes o beneficiosos para la sociedad, y cuya divulgación resulte útil para que el público comprenda las actividades que llevan a cabo, para el cumplimiento de sus objetivos.</w:t>
            </w:r>
          </w:p>
        </w:tc>
      </w:tr>
      <w:tr w:rsidR="00001AC6" w:rsidRPr="002B45F1" w14:paraId="5B91F8E7" w14:textId="77777777" w:rsidTr="00650C1B">
        <w:trPr>
          <w:trHeight w:val="389"/>
          <w:jc w:val="center"/>
        </w:trPr>
        <w:tc>
          <w:tcPr>
            <w:tcW w:w="810" w:type="dxa"/>
            <w:shd w:val="clear" w:color="auto" w:fill="FFFFFF" w:themeFill="background1"/>
            <w:vAlign w:val="center"/>
            <w:hideMark/>
          </w:tcPr>
          <w:p w14:paraId="34B515AB"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VI</w:t>
            </w:r>
          </w:p>
        </w:tc>
        <w:tc>
          <w:tcPr>
            <w:tcW w:w="4106" w:type="dxa"/>
            <w:shd w:val="clear" w:color="auto" w:fill="FFFFFF" w:themeFill="background1"/>
            <w:vAlign w:val="center"/>
            <w:hideMark/>
          </w:tcPr>
          <w:p w14:paraId="220D23F4"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indicadores que permitan rendir cuenta de sus objetivos y resultados</w:t>
            </w:r>
          </w:p>
        </w:tc>
        <w:tc>
          <w:tcPr>
            <w:tcW w:w="4397" w:type="dxa"/>
            <w:shd w:val="clear" w:color="auto" w:fill="FFFFFF" w:themeFill="background1"/>
            <w:vAlign w:val="center"/>
            <w:hideMark/>
          </w:tcPr>
          <w:p w14:paraId="6D291184"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Le es aplicable de conformidad con lo señalado en los artículos 4 último párrafo y 34 fracción I de la Ley del Presupuesto y Contabilidad Gubernamental del Estado de Yucatán, donde se señala que el proyecto de presupuesto de egresos incluirá los resultados que se propongan alcanzar con los programas presupuestados e incluirá los correspondientes indicadores de </w:t>
            </w:r>
            <w:r w:rsidRPr="002B45F1">
              <w:rPr>
                <w:rFonts w:asciiTheme="majorHAnsi" w:eastAsia="Times New Roman" w:hAnsiTheme="majorHAnsi" w:cstheme="majorHAnsi"/>
                <w:sz w:val="24"/>
                <w:szCs w:val="24"/>
                <w:lang w:eastAsia="es-MX"/>
              </w:rPr>
              <w:lastRenderedPageBreak/>
              <w:t>desempeño para medir el cumplimiento de sus programas.</w:t>
            </w:r>
          </w:p>
        </w:tc>
      </w:tr>
      <w:tr w:rsidR="00001AC6" w:rsidRPr="002B45F1" w14:paraId="63D6ED01" w14:textId="77777777" w:rsidTr="00E708D4">
        <w:trPr>
          <w:trHeight w:val="3434"/>
          <w:jc w:val="center"/>
        </w:trPr>
        <w:tc>
          <w:tcPr>
            <w:tcW w:w="810" w:type="dxa"/>
            <w:shd w:val="clear" w:color="auto" w:fill="FFFFFF" w:themeFill="background1"/>
            <w:vAlign w:val="center"/>
            <w:hideMark/>
          </w:tcPr>
          <w:p w14:paraId="0A068AD1"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VII</w:t>
            </w:r>
          </w:p>
        </w:tc>
        <w:tc>
          <w:tcPr>
            <w:tcW w:w="4106" w:type="dxa"/>
            <w:shd w:val="clear" w:color="auto" w:fill="FFFFFF" w:themeFill="background1"/>
            <w:vAlign w:val="center"/>
            <w:hideMark/>
          </w:tcPr>
          <w:p w14:paraId="38081FAF"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FFFFFF" w:themeFill="background1"/>
            <w:vAlign w:val="center"/>
            <w:hideMark/>
          </w:tcPr>
          <w:p w14:paraId="2AB45969"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la publicación de dicha información permitirá a las personas conocer la relación de las personas servidoras públicas que integran una unidad administrativa, identificándolas y estableciendo medios de comunicación, entre éstas. Por lo que, dentro del ámbito de sus facultades, competencias y funciones, el sujeto obligado puede integrar el directorio a que hace referencia esta fracción.</w:t>
            </w:r>
          </w:p>
        </w:tc>
      </w:tr>
      <w:tr w:rsidR="00001AC6" w:rsidRPr="002B45F1" w14:paraId="4BCC4165" w14:textId="77777777" w:rsidTr="00E708D4">
        <w:trPr>
          <w:trHeight w:val="545"/>
          <w:jc w:val="center"/>
        </w:trPr>
        <w:tc>
          <w:tcPr>
            <w:tcW w:w="810" w:type="dxa"/>
            <w:shd w:val="clear" w:color="auto" w:fill="FFFFFF" w:themeFill="background1"/>
            <w:vAlign w:val="center"/>
            <w:hideMark/>
          </w:tcPr>
          <w:p w14:paraId="474F33BA"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VIII</w:t>
            </w:r>
          </w:p>
        </w:tc>
        <w:tc>
          <w:tcPr>
            <w:tcW w:w="4106" w:type="dxa"/>
            <w:shd w:val="clear" w:color="auto" w:fill="FFFFFF" w:themeFill="background1"/>
            <w:vAlign w:val="center"/>
            <w:hideMark/>
          </w:tcPr>
          <w:p w14:paraId="448043C8"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shd w:val="clear" w:color="auto" w:fill="FFFFFF" w:themeFill="background1"/>
            <w:vAlign w:val="center"/>
            <w:hideMark/>
          </w:tcPr>
          <w:p w14:paraId="07B52800" w14:textId="77777777" w:rsidR="00001AC6" w:rsidRPr="002B45F1" w:rsidRDefault="00001AC6"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Le es aplicable de conformidad con lo señalado en el artículo 39 de la Ley del Presupuesto y Contabilidad Gubernamental del Estado de Yucatán; se establece que el órgano descentralizado como ejecutor del gasto, debe incluir en su proyecto de presupuesto de egresos las remuneraciones de las personas servidoras públicas, desglosando las percepciones ordinarias y percepciones extraordinarias e incluyendo las erogaciones por concepto de obligaciones de carácter fiscal y de seguridad social inherentes a dichas remuneraciones.</w:t>
            </w:r>
          </w:p>
        </w:tc>
      </w:tr>
      <w:tr w:rsidR="00001AC6" w:rsidRPr="002B45F1" w14:paraId="55E16986" w14:textId="77777777" w:rsidTr="00E708D4">
        <w:trPr>
          <w:trHeight w:val="602"/>
          <w:jc w:val="center"/>
        </w:trPr>
        <w:tc>
          <w:tcPr>
            <w:tcW w:w="810" w:type="dxa"/>
            <w:shd w:val="clear" w:color="auto" w:fill="FFFFFF" w:themeFill="background1"/>
            <w:vAlign w:val="center"/>
            <w:hideMark/>
          </w:tcPr>
          <w:p w14:paraId="75F59EC6"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IX</w:t>
            </w:r>
          </w:p>
        </w:tc>
        <w:tc>
          <w:tcPr>
            <w:tcW w:w="4106" w:type="dxa"/>
            <w:shd w:val="clear" w:color="auto" w:fill="FFFFFF" w:themeFill="background1"/>
            <w:vAlign w:val="center"/>
            <w:hideMark/>
          </w:tcPr>
          <w:p w14:paraId="6AD8FF06"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gastos de representación y viáticos, así como el objeto e informe de comisión correspondiente;</w:t>
            </w:r>
          </w:p>
        </w:tc>
        <w:tc>
          <w:tcPr>
            <w:tcW w:w="4397" w:type="dxa"/>
            <w:shd w:val="clear" w:color="auto" w:fill="FFFFFF" w:themeFill="background1"/>
            <w:vAlign w:val="center"/>
            <w:hideMark/>
          </w:tcPr>
          <w:p w14:paraId="21BC7501"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w:t>
            </w:r>
            <w:r w:rsidRPr="002B45F1">
              <w:rPr>
                <w:rFonts w:asciiTheme="majorHAnsi" w:eastAsia="Times New Roman" w:hAnsiTheme="majorHAnsi" w:cstheme="majorHAnsi"/>
                <w:sz w:val="24"/>
                <w:szCs w:val="24"/>
                <w:lang w:eastAsia="es-MX"/>
              </w:rPr>
              <w:lastRenderedPageBreak/>
              <w:t>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p>
        </w:tc>
      </w:tr>
      <w:tr w:rsidR="00001AC6" w:rsidRPr="002B45F1" w14:paraId="6A60DD8C" w14:textId="77777777" w:rsidTr="00E708D4">
        <w:trPr>
          <w:trHeight w:val="1234"/>
          <w:jc w:val="center"/>
        </w:trPr>
        <w:tc>
          <w:tcPr>
            <w:tcW w:w="810" w:type="dxa"/>
            <w:shd w:val="clear" w:color="auto" w:fill="FFFFFF" w:themeFill="background1"/>
            <w:vAlign w:val="center"/>
            <w:hideMark/>
          </w:tcPr>
          <w:p w14:paraId="439A226E"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w:t>
            </w:r>
          </w:p>
        </w:tc>
        <w:tc>
          <w:tcPr>
            <w:tcW w:w="4106" w:type="dxa"/>
            <w:shd w:val="clear" w:color="auto" w:fill="FFFFFF" w:themeFill="background1"/>
            <w:vAlign w:val="center"/>
            <w:hideMark/>
          </w:tcPr>
          <w:p w14:paraId="0B27AD42"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número total de las plazas y del personal de base y confianza, especificando el total de las vacantes, por nivel de puesto, para cada unidad administrativa;</w:t>
            </w:r>
          </w:p>
        </w:tc>
        <w:tc>
          <w:tcPr>
            <w:tcW w:w="4397" w:type="dxa"/>
            <w:shd w:val="clear" w:color="auto" w:fill="FFFFFF" w:themeFill="background1"/>
            <w:vAlign w:val="center"/>
            <w:hideMark/>
          </w:tcPr>
          <w:p w14:paraId="0C2E618C"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de conformidad con lo señalado en el artículo 39 de la Ley del Presupuesto y Contabilidad Gubernamental del Estado de Yucatán; toda vez que dicho numeral establece que los ejecutores del gasto, entre ellos los organismos descentralizados, deben incluir en sus proyectos de presupuestos de egresos una sección específica de las erogaciones correspondientes al gasto en servicios personales, incluidas las previsiones salariales y económicas para cubrir la creación de plazas y otras medidas de índole laboral, por lo que el sujeto obligado puede generar la información a que hace referencia esta fracción.</w:t>
            </w:r>
          </w:p>
        </w:tc>
      </w:tr>
      <w:tr w:rsidR="00001AC6" w:rsidRPr="002B45F1" w14:paraId="5A493E03" w14:textId="77777777" w:rsidTr="00E708D4">
        <w:trPr>
          <w:trHeight w:val="970"/>
          <w:jc w:val="center"/>
        </w:trPr>
        <w:tc>
          <w:tcPr>
            <w:tcW w:w="810" w:type="dxa"/>
            <w:shd w:val="clear" w:color="auto" w:fill="FFFFFF" w:themeFill="background1"/>
            <w:vAlign w:val="center"/>
            <w:hideMark/>
          </w:tcPr>
          <w:p w14:paraId="21202BB6"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XI</w:t>
            </w:r>
          </w:p>
        </w:tc>
        <w:tc>
          <w:tcPr>
            <w:tcW w:w="4106" w:type="dxa"/>
            <w:shd w:val="clear" w:color="auto" w:fill="FFFFFF" w:themeFill="background1"/>
            <w:vAlign w:val="center"/>
            <w:hideMark/>
          </w:tcPr>
          <w:p w14:paraId="6A39B583"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contrataciones de servicios profesionales por honorarios, señalando los nombres de los prestadores de servicios, los servicios contratados, el monto de los honorarios y el periodo de contratación;</w:t>
            </w:r>
          </w:p>
        </w:tc>
        <w:tc>
          <w:tcPr>
            <w:tcW w:w="4397" w:type="dxa"/>
            <w:shd w:val="clear" w:color="auto" w:fill="FFFFFF" w:themeFill="background1"/>
            <w:vAlign w:val="center"/>
            <w:hideMark/>
          </w:tcPr>
          <w:p w14:paraId="42F55EF9"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de conformidad con lo señalado en el artículo 123 de la Ley del Presupuesto y Contabilidad Gubernamental del Estado de Yucatán, toda vez que el citado numeral posibilita a los ejecutores del gasto, entre ellos a los organismos descentralizados, a contratar servicios profesionales, debiéndose sujetar a los requisitos señalados en dicho artículo.</w:t>
            </w:r>
          </w:p>
        </w:tc>
      </w:tr>
      <w:tr w:rsidR="00001AC6" w:rsidRPr="002B45F1" w14:paraId="53B02AB5" w14:textId="77777777" w:rsidTr="00E708D4">
        <w:trPr>
          <w:trHeight w:val="160"/>
          <w:jc w:val="center"/>
        </w:trPr>
        <w:tc>
          <w:tcPr>
            <w:tcW w:w="810" w:type="dxa"/>
            <w:shd w:val="clear" w:color="auto" w:fill="FFFFFF" w:themeFill="background1"/>
            <w:vAlign w:val="center"/>
          </w:tcPr>
          <w:p w14:paraId="46DCE4D6"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XII</w:t>
            </w:r>
          </w:p>
        </w:tc>
        <w:tc>
          <w:tcPr>
            <w:tcW w:w="4106" w:type="dxa"/>
            <w:shd w:val="clear" w:color="auto" w:fill="FFFFFF" w:themeFill="background1"/>
            <w:vAlign w:val="center"/>
          </w:tcPr>
          <w:p w14:paraId="2343C73A"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La información en Versión Pública de las declaraciones patrimoniales de los Servidores Públicos que así lo </w:t>
            </w:r>
            <w:r w:rsidRPr="002B45F1">
              <w:rPr>
                <w:rFonts w:asciiTheme="majorHAnsi" w:eastAsia="Times New Roman" w:hAnsiTheme="majorHAnsi" w:cstheme="majorHAnsi"/>
                <w:sz w:val="24"/>
                <w:szCs w:val="24"/>
                <w:lang w:eastAsia="es-MX"/>
              </w:rPr>
              <w:lastRenderedPageBreak/>
              <w:t>determinen, en los sistemas habilitados para ello, de acuerdo a la normatividad aplicable;</w:t>
            </w:r>
          </w:p>
        </w:tc>
        <w:tc>
          <w:tcPr>
            <w:tcW w:w="4397" w:type="dxa"/>
            <w:shd w:val="clear" w:color="auto" w:fill="FFFFFF" w:themeFill="background1"/>
            <w:vAlign w:val="center"/>
          </w:tcPr>
          <w:p w14:paraId="7A3EBB9B"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 xml:space="preserve">No le es aplicable, por no encontrarse dentro del ámbito de sus facultades, competencias y funciones; toda vez que de </w:t>
            </w:r>
            <w:r w:rsidRPr="002B45F1">
              <w:rPr>
                <w:rFonts w:asciiTheme="majorHAnsi" w:eastAsia="Times New Roman" w:hAnsiTheme="majorHAnsi" w:cstheme="majorHAnsi"/>
                <w:sz w:val="24"/>
                <w:szCs w:val="24"/>
                <w:lang w:eastAsia="es-MX"/>
              </w:rPr>
              <w:lastRenderedPageBreak/>
              <w:t xml:space="preserve">conformidad con lo señalado en el artículo 46 fracción VII del Código de la Administración Pública de Yucatán, </w:t>
            </w:r>
            <w:r w:rsidRPr="002B45F1">
              <w:rPr>
                <w:rFonts w:asciiTheme="majorHAnsi" w:eastAsia="Times New Roman" w:hAnsiTheme="majorHAnsi" w:cstheme="majorHAnsi"/>
                <w:color w:val="000000"/>
                <w:sz w:val="24"/>
                <w:szCs w:val="24"/>
                <w:lang w:eastAsia="es-MX"/>
              </w:rPr>
              <w:t>le corresponde a la Secretaría de la Contraloría General del Estado (SECOGEY) en términos de los artículos 28 y 29 de la Ley de Responsabilidades Administrativas del Estado de Yucatán, recibir y registrar las declaraciones de situación patrimonial de los servidores públicos del Estado.</w:t>
            </w:r>
          </w:p>
        </w:tc>
      </w:tr>
      <w:tr w:rsidR="00001AC6" w:rsidRPr="002B45F1" w14:paraId="7B13ADC0" w14:textId="77777777" w:rsidTr="00E708D4">
        <w:trPr>
          <w:trHeight w:val="989"/>
          <w:jc w:val="center"/>
        </w:trPr>
        <w:tc>
          <w:tcPr>
            <w:tcW w:w="810" w:type="dxa"/>
            <w:shd w:val="clear" w:color="auto" w:fill="FFFFFF" w:themeFill="background1"/>
            <w:vAlign w:val="center"/>
            <w:hideMark/>
          </w:tcPr>
          <w:p w14:paraId="28635645"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XIII</w:t>
            </w:r>
          </w:p>
        </w:tc>
        <w:tc>
          <w:tcPr>
            <w:tcW w:w="4106" w:type="dxa"/>
            <w:shd w:val="clear" w:color="auto" w:fill="FFFFFF" w:themeFill="background1"/>
            <w:vAlign w:val="center"/>
            <w:hideMark/>
          </w:tcPr>
          <w:p w14:paraId="05F159DB"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domicilio de la Unidad de Transparencia, además de la dirección electrónica donde podrán recibirse las solicitudes para obtener la información;</w:t>
            </w:r>
          </w:p>
        </w:tc>
        <w:tc>
          <w:tcPr>
            <w:tcW w:w="4397" w:type="dxa"/>
            <w:shd w:val="clear" w:color="auto" w:fill="FFFFFF" w:themeFill="background1"/>
            <w:vAlign w:val="center"/>
            <w:hideMark/>
          </w:tcPr>
          <w:p w14:paraId="1710D04C"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ya que la publicación de la información permite que los ciudadanos puedan ejercer de manera fácil y accesible, su derecho de acceso a la información y de protección de datos personales,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001AC6" w:rsidRPr="002B45F1" w14:paraId="3D8ADB64" w14:textId="77777777" w:rsidTr="00E708D4">
        <w:trPr>
          <w:trHeight w:val="745"/>
          <w:jc w:val="center"/>
        </w:trPr>
        <w:tc>
          <w:tcPr>
            <w:tcW w:w="810" w:type="dxa"/>
            <w:shd w:val="clear" w:color="auto" w:fill="FFFFFF" w:themeFill="background1"/>
            <w:vAlign w:val="center"/>
            <w:hideMark/>
          </w:tcPr>
          <w:p w14:paraId="3CFD9D28"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XIV</w:t>
            </w:r>
          </w:p>
        </w:tc>
        <w:tc>
          <w:tcPr>
            <w:tcW w:w="4106" w:type="dxa"/>
            <w:shd w:val="clear" w:color="auto" w:fill="FFFFFF" w:themeFill="background1"/>
            <w:vAlign w:val="center"/>
            <w:hideMark/>
          </w:tcPr>
          <w:p w14:paraId="6882CB7D" w14:textId="77777777" w:rsidR="00001AC6" w:rsidRPr="002B45F1" w:rsidRDefault="00001AC6" w:rsidP="00E708D4">
            <w:pPr>
              <w:spacing w:after="0" w:line="240" w:lineRule="auto"/>
              <w:jc w:val="both"/>
              <w:rPr>
                <w:rFonts w:asciiTheme="majorHAnsi" w:eastAsia="Times New Roman" w:hAnsiTheme="majorHAnsi" w:cstheme="majorHAnsi"/>
                <w:color w:val="000000" w:themeColor="text1"/>
                <w:sz w:val="24"/>
                <w:szCs w:val="24"/>
                <w:highlight w:val="yellow"/>
                <w:lang w:eastAsia="es-MX"/>
              </w:rPr>
            </w:pPr>
            <w:r w:rsidRPr="002B45F1">
              <w:rPr>
                <w:rFonts w:asciiTheme="majorHAnsi" w:eastAsia="Times New Roman" w:hAnsiTheme="majorHAnsi" w:cstheme="majorHAnsi"/>
                <w:color w:val="000000" w:themeColor="text1"/>
                <w:sz w:val="24"/>
                <w:szCs w:val="24"/>
                <w:lang w:eastAsia="es-MX"/>
              </w:rPr>
              <w:t>Las convocatorias a concursos para ocupar cargos públicos y los resultados de los mismos;</w:t>
            </w:r>
          </w:p>
        </w:tc>
        <w:tc>
          <w:tcPr>
            <w:tcW w:w="4397" w:type="dxa"/>
            <w:shd w:val="clear" w:color="auto" w:fill="FFFFFF" w:themeFill="background1"/>
            <w:vAlign w:val="center"/>
            <w:hideMark/>
          </w:tcPr>
          <w:p w14:paraId="7CC570F1" w14:textId="77777777" w:rsidR="00001AC6" w:rsidRPr="002B45F1" w:rsidRDefault="00001AC6" w:rsidP="00E708D4">
            <w:pPr>
              <w:spacing w:after="0" w:line="240" w:lineRule="auto"/>
              <w:jc w:val="both"/>
              <w:rPr>
                <w:rFonts w:asciiTheme="majorHAnsi" w:eastAsia="Times New Roman" w:hAnsiTheme="majorHAnsi" w:cstheme="majorHAnsi"/>
                <w:color w:val="000000" w:themeColor="text1"/>
                <w:sz w:val="24"/>
                <w:szCs w:val="24"/>
                <w:highlight w:val="yellow"/>
                <w:lang w:eastAsia="es-MX"/>
              </w:rPr>
            </w:pPr>
            <w:r w:rsidRPr="002B45F1">
              <w:rPr>
                <w:rFonts w:asciiTheme="majorHAnsi" w:eastAsia="Times New Roman" w:hAnsiTheme="majorHAnsi" w:cstheme="majorHAnsi"/>
                <w:color w:val="000000" w:themeColor="text1"/>
                <w:sz w:val="24"/>
                <w:szCs w:val="24"/>
                <w:lang w:eastAsia="es-MX"/>
              </w:rPr>
              <w:t xml:space="preserve">Le es aplicable, toda vez que de conformidad con el artículo 116 fracción VI del Código de la Administración Pública de Yucatán, el Director General o su equivalente, cuenta con atribuciones para nombrar y remover libremente a los servidores públicos de su entidad, que ocupen cargos con la jerarquía inmediata inferior a la de éste, aunado a que la junta de gobierno tiene facultades suficientes para aprobar las normas, políticas y bases generales para las </w:t>
            </w:r>
            <w:r w:rsidRPr="002B45F1">
              <w:rPr>
                <w:rFonts w:asciiTheme="majorHAnsi" w:eastAsia="Times New Roman" w:hAnsiTheme="majorHAnsi" w:cstheme="majorHAnsi"/>
                <w:color w:val="000000" w:themeColor="text1"/>
                <w:sz w:val="24"/>
                <w:szCs w:val="24"/>
                <w:lang w:eastAsia="es-MX"/>
              </w:rPr>
              <w:lastRenderedPageBreak/>
              <w:t>contrataciones de servicios, de conformidad con lo señalado en el artículo 614 fracción III del Reglamento del Código de la Administración Pública de Yucatán; por lo que bajo esta premisa, se infiere que el titular del sujeto obligado no se encuentra impedido a realizar o implementar procedimientos convocatorios, no obstante lo anterior, en concordancia con lo señalado en los Lineamientos técnicos generales, se publicarán los avisos, invitaciones y/o convocatorias que se emitan para ocupar cualquier tipo de cargo, puesto o equivalente.</w:t>
            </w:r>
          </w:p>
        </w:tc>
      </w:tr>
      <w:tr w:rsidR="00001AC6" w:rsidRPr="002B45F1" w14:paraId="1F789506" w14:textId="77777777" w:rsidTr="00E708D4">
        <w:trPr>
          <w:trHeight w:val="886"/>
          <w:jc w:val="center"/>
        </w:trPr>
        <w:tc>
          <w:tcPr>
            <w:tcW w:w="810" w:type="dxa"/>
            <w:shd w:val="clear" w:color="auto" w:fill="FFFFFF" w:themeFill="background1"/>
            <w:vAlign w:val="center"/>
            <w:hideMark/>
          </w:tcPr>
          <w:p w14:paraId="130F5F53"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XV</w:t>
            </w:r>
          </w:p>
        </w:tc>
        <w:tc>
          <w:tcPr>
            <w:tcW w:w="4106" w:type="dxa"/>
            <w:shd w:val="clear" w:color="auto" w:fill="FFFFFF" w:themeFill="background1"/>
            <w:vAlign w:val="center"/>
            <w:hideMark/>
          </w:tcPr>
          <w:p w14:paraId="4FC8BE61"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información de los programas de subsidios, estímulos y apoyos, en el que se deberá informar respecto de los programas de transferencia, de servicios, de infraestructura social y de subsidio, en los que se deberá contener lo siguiente:</w:t>
            </w:r>
          </w:p>
          <w:p w14:paraId="633C7729"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w:t>
            </w:r>
          </w:p>
        </w:tc>
        <w:tc>
          <w:tcPr>
            <w:tcW w:w="4397" w:type="dxa"/>
            <w:shd w:val="clear" w:color="auto" w:fill="FFFFFF" w:themeFill="background1"/>
            <w:vAlign w:val="center"/>
            <w:hideMark/>
          </w:tcPr>
          <w:p w14:paraId="21B45DA0" w14:textId="77777777" w:rsidR="00001AC6" w:rsidRPr="002B45F1" w:rsidRDefault="00001AC6" w:rsidP="00E708D4">
            <w:pPr>
              <w:autoSpaceDE w:val="0"/>
              <w:autoSpaceDN w:val="0"/>
              <w:adjustRightInd w:val="0"/>
              <w:spacing w:after="0" w:line="240" w:lineRule="auto"/>
              <w:jc w:val="both"/>
              <w:rPr>
                <w:rFonts w:asciiTheme="majorHAnsi" w:hAnsiTheme="majorHAnsi" w:cstheme="majorHAnsi"/>
                <w:sz w:val="24"/>
                <w:szCs w:val="24"/>
              </w:rPr>
            </w:pPr>
            <w:r w:rsidRPr="002B45F1">
              <w:rPr>
                <w:rFonts w:asciiTheme="majorHAnsi" w:hAnsiTheme="majorHAnsi" w:cstheme="majorHAnsi"/>
                <w:sz w:val="24"/>
                <w:szCs w:val="24"/>
              </w:rPr>
              <w:t>No le es aplicable, toda vez que, de conformidad con el Decreto 434/2021 por el que se regula el Parque Científico y Tecnológico de Yucatán, no se encuentra dentro del ámbito de sus facultades, competencias o funciones de este organismo descentralizado, ya que no desarrolla ni opera programas que impliquen el otorgamiento de subsidios, estímulos y apoyos en efectivo o en especie.</w:t>
            </w:r>
          </w:p>
        </w:tc>
      </w:tr>
      <w:tr w:rsidR="00001AC6" w:rsidRPr="002B45F1" w14:paraId="5CBD881B" w14:textId="77777777" w:rsidTr="00E708D4">
        <w:trPr>
          <w:trHeight w:val="744"/>
          <w:jc w:val="center"/>
        </w:trPr>
        <w:tc>
          <w:tcPr>
            <w:tcW w:w="810" w:type="dxa"/>
            <w:shd w:val="clear" w:color="auto" w:fill="FFFFFF" w:themeFill="background1"/>
            <w:vAlign w:val="center"/>
            <w:hideMark/>
          </w:tcPr>
          <w:p w14:paraId="6FF9CF1C"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XVI</w:t>
            </w:r>
          </w:p>
        </w:tc>
        <w:tc>
          <w:tcPr>
            <w:tcW w:w="4106" w:type="dxa"/>
            <w:shd w:val="clear" w:color="auto" w:fill="FFFFFF" w:themeFill="background1"/>
            <w:vAlign w:val="center"/>
            <w:hideMark/>
          </w:tcPr>
          <w:p w14:paraId="5D8B4D65"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FFFFFF" w:themeFill="background1"/>
            <w:vAlign w:val="center"/>
            <w:hideMark/>
          </w:tcPr>
          <w:p w14:paraId="44250F02" w14:textId="77777777" w:rsidR="00001AC6" w:rsidRPr="002B45F1" w:rsidRDefault="00001AC6"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Le es aplicable de conformidad con lo señalado en la fracción X del artículo 116 del Código de la Administración Pública de Yucatán, el cual otorga la facultad a los Directores generales o equivalentes de las entidades paraestatales, para suscribir contratos individuales y colectivos que regulen las relaciones laborales del organismo descentralizado con sus trabajadores.</w:t>
            </w:r>
          </w:p>
        </w:tc>
      </w:tr>
      <w:tr w:rsidR="00001AC6" w:rsidRPr="002B45F1" w14:paraId="2A24001A" w14:textId="77777777" w:rsidTr="00E708D4">
        <w:trPr>
          <w:trHeight w:val="1362"/>
          <w:jc w:val="center"/>
        </w:trPr>
        <w:tc>
          <w:tcPr>
            <w:tcW w:w="810" w:type="dxa"/>
            <w:shd w:val="clear" w:color="auto" w:fill="FFFFFF" w:themeFill="background1"/>
            <w:vAlign w:val="center"/>
            <w:hideMark/>
          </w:tcPr>
          <w:p w14:paraId="6E1B5F7A"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XVII</w:t>
            </w:r>
          </w:p>
        </w:tc>
        <w:tc>
          <w:tcPr>
            <w:tcW w:w="4106" w:type="dxa"/>
            <w:shd w:val="clear" w:color="auto" w:fill="FFFFFF" w:themeFill="background1"/>
            <w:vAlign w:val="center"/>
            <w:hideMark/>
          </w:tcPr>
          <w:p w14:paraId="2B2ACC33"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La información curricular, desde el nivel de jefe de departamento o equivalente, hasta el titular del sujeto obligado, así </w:t>
            </w:r>
            <w:r w:rsidRPr="002B45F1">
              <w:rPr>
                <w:rFonts w:asciiTheme="majorHAnsi" w:eastAsia="Times New Roman" w:hAnsiTheme="majorHAnsi" w:cstheme="majorHAnsi"/>
                <w:sz w:val="24"/>
                <w:szCs w:val="24"/>
                <w:lang w:eastAsia="es-MX"/>
              </w:rPr>
              <w:lastRenderedPageBreak/>
              <w:t>como, en su caso, las sanciones administrativas de que haya sido objeto;</w:t>
            </w:r>
          </w:p>
        </w:tc>
        <w:tc>
          <w:tcPr>
            <w:tcW w:w="4397" w:type="dxa"/>
            <w:shd w:val="clear" w:color="auto" w:fill="FFFFFF" w:themeFill="background1"/>
            <w:vAlign w:val="center"/>
            <w:hideMark/>
          </w:tcPr>
          <w:p w14:paraId="23E88431"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 xml:space="preserve">Le es aplicable, toda vez que la publicación de esta información permitirá conocer la trayectoria en el ámbito escolar y laboral de las personas servidoras públicas que </w:t>
            </w:r>
            <w:r w:rsidRPr="002B45F1">
              <w:rPr>
                <w:rFonts w:asciiTheme="majorHAnsi" w:eastAsia="Times New Roman" w:hAnsiTheme="majorHAnsi" w:cstheme="majorHAnsi"/>
                <w:sz w:val="24"/>
                <w:szCs w:val="24"/>
                <w:lang w:eastAsia="es-MX"/>
              </w:rPr>
              <w:lastRenderedPageBreak/>
              <w:t>desempeñen empleo, cargo o comisión en el sujeto obligado, desde el nivel de jefe de departamento o equivalente, y también permitirá conocer las infracciones y faltas que haya cometido la persona servidora pública.</w:t>
            </w:r>
          </w:p>
        </w:tc>
      </w:tr>
      <w:tr w:rsidR="00001AC6" w:rsidRPr="002B45F1" w14:paraId="00B689BA" w14:textId="77777777" w:rsidTr="00E708D4">
        <w:trPr>
          <w:trHeight w:val="780"/>
          <w:jc w:val="center"/>
        </w:trPr>
        <w:tc>
          <w:tcPr>
            <w:tcW w:w="810" w:type="dxa"/>
            <w:shd w:val="clear" w:color="auto" w:fill="FFFFFF" w:themeFill="background1"/>
            <w:vAlign w:val="center"/>
            <w:hideMark/>
          </w:tcPr>
          <w:p w14:paraId="4224B70B"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XVIII</w:t>
            </w:r>
          </w:p>
        </w:tc>
        <w:tc>
          <w:tcPr>
            <w:tcW w:w="4106" w:type="dxa"/>
            <w:shd w:val="clear" w:color="auto" w:fill="FFFFFF" w:themeFill="background1"/>
            <w:vAlign w:val="center"/>
            <w:hideMark/>
          </w:tcPr>
          <w:p w14:paraId="158EF36C"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listado de Servidores Públicos con sanciones administrativas definitivas, especificando la causa de sanción y la disposición;</w:t>
            </w:r>
          </w:p>
        </w:tc>
        <w:tc>
          <w:tcPr>
            <w:tcW w:w="4397" w:type="dxa"/>
            <w:shd w:val="clear" w:color="auto" w:fill="FFFFFF" w:themeFill="background1"/>
            <w:vAlign w:val="center"/>
            <w:hideMark/>
          </w:tcPr>
          <w:p w14:paraId="281D2238"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de conformidad con lo dispuesto en los Lineamientos técnicos generales, los sujetos obligados deberán publicar la información relativa a los datos de las personas servidoras públicas y/o personas que desempeñen un empleo, cargo o comisión y/o ejerzan actos de autoridad, así como las sanciones administrativas definitivas, que hayan sido emitidas en su contra por los órganos de control correspondientes, además de que deberán incluir un hipervínculo al sistema de registro de sanciones administrativas que les corresponda.</w:t>
            </w:r>
          </w:p>
        </w:tc>
      </w:tr>
      <w:tr w:rsidR="00001AC6" w:rsidRPr="002B45F1" w14:paraId="3E5E9EBC" w14:textId="77777777" w:rsidTr="00E708D4">
        <w:trPr>
          <w:trHeight w:val="256"/>
          <w:jc w:val="center"/>
        </w:trPr>
        <w:tc>
          <w:tcPr>
            <w:tcW w:w="810" w:type="dxa"/>
            <w:shd w:val="clear" w:color="auto" w:fill="FFFFFF" w:themeFill="background1"/>
            <w:vAlign w:val="center"/>
            <w:hideMark/>
          </w:tcPr>
          <w:p w14:paraId="75CE4DB4"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XIX</w:t>
            </w:r>
          </w:p>
        </w:tc>
        <w:tc>
          <w:tcPr>
            <w:tcW w:w="4106" w:type="dxa"/>
            <w:shd w:val="clear" w:color="auto" w:fill="FFFFFF" w:themeFill="background1"/>
            <w:vAlign w:val="center"/>
            <w:hideMark/>
          </w:tcPr>
          <w:p w14:paraId="0687E7E2"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servicios que ofrecen señalando los requisitos para acceder a ellos;</w:t>
            </w:r>
          </w:p>
          <w:p w14:paraId="26D780ED" w14:textId="77777777" w:rsidR="00001AC6" w:rsidRPr="002B45F1" w:rsidRDefault="00001AC6" w:rsidP="00E708D4">
            <w:pPr>
              <w:rPr>
                <w:rFonts w:asciiTheme="majorHAnsi" w:eastAsia="Times New Roman" w:hAnsiTheme="majorHAnsi" w:cstheme="majorHAnsi"/>
                <w:sz w:val="24"/>
                <w:szCs w:val="24"/>
                <w:lang w:eastAsia="es-MX"/>
              </w:rPr>
            </w:pPr>
          </w:p>
        </w:tc>
        <w:tc>
          <w:tcPr>
            <w:tcW w:w="4397" w:type="dxa"/>
            <w:shd w:val="clear" w:color="auto" w:fill="FFFFFF" w:themeFill="background1"/>
            <w:vAlign w:val="center"/>
            <w:hideMark/>
          </w:tcPr>
          <w:p w14:paraId="3479C3F0"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de conformidad con lo señalado en los Lineamientos técnicos generales, los sujetos obligados en todos los casos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001AC6" w:rsidRPr="002B45F1" w14:paraId="17ADFBA9" w14:textId="77777777" w:rsidTr="00E708D4">
        <w:trPr>
          <w:trHeight w:val="501"/>
          <w:jc w:val="center"/>
        </w:trPr>
        <w:tc>
          <w:tcPr>
            <w:tcW w:w="810" w:type="dxa"/>
            <w:shd w:val="clear" w:color="auto" w:fill="FFFFFF" w:themeFill="background1"/>
            <w:vAlign w:val="center"/>
            <w:hideMark/>
          </w:tcPr>
          <w:p w14:paraId="4EFC7640"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w:t>
            </w:r>
          </w:p>
        </w:tc>
        <w:tc>
          <w:tcPr>
            <w:tcW w:w="4106" w:type="dxa"/>
            <w:shd w:val="clear" w:color="auto" w:fill="FFFFFF" w:themeFill="background1"/>
            <w:vAlign w:val="center"/>
            <w:hideMark/>
          </w:tcPr>
          <w:p w14:paraId="46515AED"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trámites, requisitos y formatos que ofrecen;</w:t>
            </w:r>
          </w:p>
        </w:tc>
        <w:tc>
          <w:tcPr>
            <w:tcW w:w="4397" w:type="dxa"/>
            <w:shd w:val="clear" w:color="auto" w:fill="FFFFFF" w:themeFill="background1"/>
            <w:vAlign w:val="center"/>
            <w:hideMark/>
          </w:tcPr>
          <w:p w14:paraId="3A1A2298" w14:textId="77777777" w:rsidR="00001AC6" w:rsidRPr="002B45F1" w:rsidRDefault="00001AC6" w:rsidP="00E708D4">
            <w:pPr>
              <w:autoSpaceDE w:val="0"/>
              <w:autoSpaceDN w:val="0"/>
              <w:adjustRightInd w:val="0"/>
              <w:spacing w:after="0" w:line="240" w:lineRule="auto"/>
              <w:jc w:val="both"/>
              <w:rPr>
                <w:rFonts w:asciiTheme="majorHAnsi" w:hAnsiTheme="majorHAnsi" w:cstheme="majorHAnsi"/>
                <w:sz w:val="24"/>
                <w:szCs w:val="24"/>
                <w:highlight w:val="yellow"/>
              </w:rPr>
            </w:pPr>
            <w:r w:rsidRPr="002B45F1">
              <w:rPr>
                <w:rFonts w:asciiTheme="majorHAnsi" w:eastAsia="Times New Roman" w:hAnsiTheme="majorHAnsi" w:cstheme="majorHAnsi"/>
                <w:sz w:val="24"/>
                <w:szCs w:val="24"/>
                <w:lang w:eastAsia="es-MX"/>
              </w:rPr>
              <w:t xml:space="preserve">Le es aplicable, ya que los Lineamientos técnicos generales señalan que en todos los casos, los sujetos obligados deberán incluir en esta fracción, los relativos a los trámites en materia de acceso a la información y protección de datos personales, tales como </w:t>
            </w:r>
            <w:r w:rsidRPr="002B45F1">
              <w:rPr>
                <w:rFonts w:asciiTheme="majorHAnsi" w:eastAsia="Times New Roman" w:hAnsiTheme="majorHAnsi" w:cstheme="majorHAnsi"/>
                <w:sz w:val="24"/>
                <w:szCs w:val="24"/>
                <w:lang w:eastAsia="es-MX"/>
              </w:rPr>
              <w:lastRenderedPageBreak/>
              <w:t>solicitudes de acceso a la información pública, recursos de revisión, denuncias ciudadanas, y las solicitudes de acceso, rectificación, cancelación y oposición de datos personales que todo sujeto obligado debe proporcionar.</w:t>
            </w:r>
          </w:p>
        </w:tc>
      </w:tr>
      <w:tr w:rsidR="00001AC6" w:rsidRPr="002B45F1" w14:paraId="7BC809E4" w14:textId="77777777" w:rsidTr="00E708D4">
        <w:trPr>
          <w:trHeight w:val="1479"/>
          <w:jc w:val="center"/>
        </w:trPr>
        <w:tc>
          <w:tcPr>
            <w:tcW w:w="810" w:type="dxa"/>
            <w:shd w:val="clear" w:color="auto" w:fill="FFFFFF" w:themeFill="background1"/>
            <w:vAlign w:val="center"/>
            <w:hideMark/>
          </w:tcPr>
          <w:p w14:paraId="089C3F17"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XXI</w:t>
            </w:r>
          </w:p>
        </w:tc>
        <w:tc>
          <w:tcPr>
            <w:tcW w:w="4106" w:type="dxa"/>
            <w:shd w:val="clear" w:color="auto" w:fill="FFFFFF" w:themeFill="background1"/>
            <w:vAlign w:val="center"/>
            <w:hideMark/>
          </w:tcPr>
          <w:p w14:paraId="6D2D0DC6"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FFFFFF" w:themeFill="background1"/>
            <w:vAlign w:val="center"/>
            <w:hideMark/>
          </w:tcPr>
          <w:p w14:paraId="74765C83" w14:textId="77777777" w:rsidR="00001AC6" w:rsidRPr="002B45F1" w:rsidRDefault="00001AC6"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 xml:space="preserve">Le es aplicable de conformidad con lo señalado en el artículo 107 del Código de la Administración Pública del Estado de Yucatán, 638 fracción III del Reglamento del Código de la Administración Pública del Estado de Yucatán, y los artículos 5 y 6 fracción II, y del capítulo II del Título Quinto </w:t>
            </w:r>
            <w:r w:rsidRPr="002B45F1">
              <w:rPr>
                <w:rFonts w:asciiTheme="majorHAnsi" w:hAnsiTheme="majorHAnsi" w:cstheme="majorHAnsi"/>
                <w:sz w:val="24"/>
                <w:szCs w:val="24"/>
              </w:rPr>
              <w:t xml:space="preserve">de la </w:t>
            </w:r>
            <w:r w:rsidRPr="002B45F1">
              <w:rPr>
                <w:rFonts w:asciiTheme="majorHAnsi" w:eastAsia="Times New Roman" w:hAnsiTheme="majorHAnsi" w:cstheme="majorHAnsi"/>
                <w:sz w:val="24"/>
                <w:szCs w:val="24"/>
                <w:lang w:eastAsia="es-MX"/>
              </w:rPr>
              <w:t>Ley del Presupuesto y Contabilidad Gubernamental del Estado de Yucatán; ya que en virtud de dichos ordenamientos, los ejecutores del gasto deben generar los informes financieros, presupuestarios, programáticos y contables para la integración de la cuenta pública.</w:t>
            </w:r>
          </w:p>
        </w:tc>
      </w:tr>
      <w:tr w:rsidR="00001AC6" w:rsidRPr="002B45F1" w14:paraId="6BFB3955" w14:textId="77777777" w:rsidTr="00E708D4">
        <w:trPr>
          <w:trHeight w:val="501"/>
          <w:jc w:val="center"/>
        </w:trPr>
        <w:tc>
          <w:tcPr>
            <w:tcW w:w="810" w:type="dxa"/>
            <w:shd w:val="clear" w:color="auto" w:fill="FFFFFF" w:themeFill="background1"/>
            <w:vAlign w:val="center"/>
            <w:hideMark/>
          </w:tcPr>
          <w:p w14:paraId="44307D38"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XXII</w:t>
            </w:r>
          </w:p>
        </w:tc>
        <w:tc>
          <w:tcPr>
            <w:tcW w:w="4106" w:type="dxa"/>
            <w:shd w:val="clear" w:color="auto" w:fill="FFFFFF" w:themeFill="background1"/>
            <w:vAlign w:val="center"/>
            <w:hideMark/>
          </w:tcPr>
          <w:p w14:paraId="13409DE5"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información relativa a la deuda pública, en términos de la normatividad aplicable;</w:t>
            </w:r>
          </w:p>
        </w:tc>
        <w:tc>
          <w:tcPr>
            <w:tcW w:w="4397" w:type="dxa"/>
            <w:shd w:val="clear" w:color="auto" w:fill="FFFFFF" w:themeFill="background1"/>
            <w:vAlign w:val="center"/>
            <w:hideMark/>
          </w:tcPr>
          <w:p w14:paraId="30F617C9"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de conformidad con lo señalado en los artículos 1, 7 fracción X y 14 de la Ley de Deuda Pública del Estado de Yucatán, las entidades paraestatales pueden contratar y gestionar deuda, siempre y cuando acrediten solvencia suficiente para afrontar los compromisos que pretenden contraer o adquirir.</w:t>
            </w:r>
          </w:p>
        </w:tc>
      </w:tr>
      <w:tr w:rsidR="00001AC6" w:rsidRPr="002B45F1" w14:paraId="465778AF" w14:textId="77777777" w:rsidTr="00E708D4">
        <w:trPr>
          <w:trHeight w:val="537"/>
          <w:jc w:val="center"/>
        </w:trPr>
        <w:tc>
          <w:tcPr>
            <w:tcW w:w="810" w:type="dxa"/>
            <w:shd w:val="clear" w:color="auto" w:fill="FFFFFF" w:themeFill="background1"/>
            <w:vAlign w:val="center"/>
            <w:hideMark/>
          </w:tcPr>
          <w:p w14:paraId="1FD35E61"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XXIII</w:t>
            </w:r>
          </w:p>
        </w:tc>
        <w:tc>
          <w:tcPr>
            <w:tcW w:w="4106" w:type="dxa"/>
            <w:shd w:val="clear" w:color="auto" w:fill="FFFFFF" w:themeFill="background1"/>
            <w:vAlign w:val="center"/>
            <w:hideMark/>
          </w:tcPr>
          <w:p w14:paraId="0AD86351"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montos destinados a gastos relativos a comunicación social y publicidad oficial desglosada por tipo de medio, proveedores, número de contrato y concepto o campaña;</w:t>
            </w:r>
          </w:p>
        </w:tc>
        <w:tc>
          <w:tcPr>
            <w:tcW w:w="4397" w:type="dxa"/>
            <w:shd w:val="clear" w:color="auto" w:fill="FFFFFF" w:themeFill="background1"/>
            <w:vAlign w:val="center"/>
            <w:hideMark/>
          </w:tcPr>
          <w:p w14:paraId="2A66D71F" w14:textId="77777777" w:rsidR="00001AC6" w:rsidRPr="002B45F1" w:rsidRDefault="00001AC6" w:rsidP="00E708D4">
            <w:pPr>
              <w:spacing w:after="0" w:line="240" w:lineRule="auto"/>
              <w:jc w:val="both"/>
              <w:rPr>
                <w:rFonts w:asciiTheme="majorHAnsi" w:hAnsiTheme="majorHAnsi" w:cstheme="majorHAnsi"/>
                <w:sz w:val="24"/>
                <w:szCs w:val="24"/>
              </w:rPr>
            </w:pPr>
            <w:r w:rsidRPr="002B45F1">
              <w:rPr>
                <w:rFonts w:asciiTheme="majorHAnsi" w:eastAsia="Times New Roman" w:hAnsiTheme="majorHAnsi" w:cstheme="majorHAnsi"/>
                <w:sz w:val="24"/>
                <w:szCs w:val="24"/>
                <w:lang w:eastAsia="es-MX"/>
              </w:rPr>
              <w:t>Le es aplicable de conformidad con lo señalado en el artículo 44 de la Ley de Presupuesto y Contabilidad Gubernamental del Estado de Yucatán, que prevé que para el caso de las entidades paraestatales, los gastos destinados al rubro de comunicación social, deberán ser autorizados por la dependencia de la administración pública competente y adicionalmente por su órgano de gobierno.</w:t>
            </w:r>
          </w:p>
        </w:tc>
      </w:tr>
      <w:tr w:rsidR="00001AC6" w:rsidRPr="002B45F1" w14:paraId="00E25D5B" w14:textId="77777777" w:rsidTr="00E708D4">
        <w:trPr>
          <w:trHeight w:val="989"/>
          <w:jc w:val="center"/>
        </w:trPr>
        <w:tc>
          <w:tcPr>
            <w:tcW w:w="810" w:type="dxa"/>
            <w:shd w:val="clear" w:color="auto" w:fill="FFFFFF" w:themeFill="background1"/>
            <w:vAlign w:val="center"/>
            <w:hideMark/>
          </w:tcPr>
          <w:p w14:paraId="24BDA2CC"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XXIV</w:t>
            </w:r>
          </w:p>
        </w:tc>
        <w:tc>
          <w:tcPr>
            <w:tcW w:w="4106" w:type="dxa"/>
            <w:shd w:val="clear" w:color="auto" w:fill="FFFFFF" w:themeFill="background1"/>
            <w:vAlign w:val="center"/>
            <w:hideMark/>
          </w:tcPr>
          <w:p w14:paraId="1A1B420E"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informes de resultados de las auditorías al ejercicio presupuestal de cada sujeto obligado que se realicen y, en su caso, las aclaraciones que correspondan;</w:t>
            </w:r>
          </w:p>
        </w:tc>
        <w:tc>
          <w:tcPr>
            <w:tcW w:w="4397" w:type="dxa"/>
            <w:shd w:val="clear" w:color="auto" w:fill="FFFFFF" w:themeFill="background1"/>
            <w:vAlign w:val="center"/>
            <w:hideMark/>
          </w:tcPr>
          <w:p w14:paraId="22C1D3AD"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rPr>
              <w:t>Le es aplicable, 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la ASEY, en términos de lo establecido en el artículo 76 de la Ley de Fiscalización de la Cuenta Pública del Estado de Yucatán; y en lo que respecta a las auditorías internas, estas se refieren a las revisiones realizadas por el órgano de control interno.</w:t>
            </w:r>
          </w:p>
        </w:tc>
      </w:tr>
      <w:tr w:rsidR="00001AC6" w:rsidRPr="002B45F1" w14:paraId="2D4C458E" w14:textId="77777777" w:rsidTr="00E708D4">
        <w:trPr>
          <w:trHeight w:val="501"/>
          <w:jc w:val="center"/>
        </w:trPr>
        <w:tc>
          <w:tcPr>
            <w:tcW w:w="810" w:type="dxa"/>
            <w:shd w:val="clear" w:color="auto" w:fill="FFFFFF" w:themeFill="background1"/>
            <w:vAlign w:val="center"/>
            <w:hideMark/>
          </w:tcPr>
          <w:p w14:paraId="072426CE"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XXV</w:t>
            </w:r>
          </w:p>
        </w:tc>
        <w:tc>
          <w:tcPr>
            <w:tcW w:w="4106" w:type="dxa"/>
            <w:shd w:val="clear" w:color="auto" w:fill="FFFFFF" w:themeFill="background1"/>
            <w:vAlign w:val="center"/>
            <w:hideMark/>
          </w:tcPr>
          <w:p w14:paraId="10F16FE7"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resultado de la dictaminación de los estados financieros;</w:t>
            </w:r>
          </w:p>
          <w:p w14:paraId="195E9F57" w14:textId="77777777" w:rsidR="00001AC6" w:rsidRPr="002B45F1" w:rsidRDefault="00001AC6" w:rsidP="00E708D4">
            <w:pPr>
              <w:rPr>
                <w:rFonts w:asciiTheme="majorHAnsi" w:eastAsia="Times New Roman" w:hAnsiTheme="majorHAnsi" w:cstheme="majorHAnsi"/>
                <w:sz w:val="24"/>
                <w:szCs w:val="24"/>
                <w:lang w:eastAsia="es-MX"/>
              </w:rPr>
            </w:pPr>
          </w:p>
        </w:tc>
        <w:tc>
          <w:tcPr>
            <w:tcW w:w="4397" w:type="dxa"/>
            <w:shd w:val="clear" w:color="auto" w:fill="FFFFFF" w:themeFill="background1"/>
            <w:vAlign w:val="center"/>
            <w:hideMark/>
          </w:tcPr>
          <w:p w14:paraId="5E138117"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por lo que el sujeto obligado deberá publicar los informes de resultados de los dictámenes realizados a sus estados financieros por las empresas auditoras contratadas para tal fin, por lo que de no contar con la información a la que hace referencia, la presente fracción, se deberá señalar de forma motivada la no disponibilidad de la misma.</w:t>
            </w:r>
          </w:p>
        </w:tc>
      </w:tr>
      <w:tr w:rsidR="00001AC6" w:rsidRPr="002B45F1" w14:paraId="3A7D5395" w14:textId="77777777" w:rsidTr="00E708D4">
        <w:trPr>
          <w:trHeight w:val="1967"/>
          <w:jc w:val="center"/>
        </w:trPr>
        <w:tc>
          <w:tcPr>
            <w:tcW w:w="810" w:type="dxa"/>
            <w:shd w:val="clear" w:color="auto" w:fill="FFFFFF" w:themeFill="background1"/>
            <w:vAlign w:val="center"/>
            <w:hideMark/>
          </w:tcPr>
          <w:p w14:paraId="621533D9"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XXVI</w:t>
            </w:r>
          </w:p>
        </w:tc>
        <w:tc>
          <w:tcPr>
            <w:tcW w:w="4106" w:type="dxa"/>
            <w:shd w:val="clear" w:color="auto" w:fill="FFFFFF" w:themeFill="background1"/>
            <w:vAlign w:val="center"/>
            <w:hideMark/>
          </w:tcPr>
          <w:p w14:paraId="6272EECF"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FFFFFF" w:themeFill="background1"/>
            <w:vAlign w:val="center"/>
            <w:hideMark/>
          </w:tcPr>
          <w:p w14:paraId="6E407960" w14:textId="77777777" w:rsidR="00001AC6" w:rsidRPr="002B45F1" w:rsidRDefault="00001AC6"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Le es aplicable, toda vez que de conformidad con lo dispuesto en la fracción V del artículo 5 y el artículo 137 de la Ley del Presupuesto y Contabilidad Gubernamental del Estado de Yucatán, los ejecutores del gasto, entre ellos las entidades de la administración pública paraestatal, pueden otorgar excepcionalmente ayudas a personas físicas o morales, siempre que cuente con suficiencia presupuestal, reúna los requisitos establecidos en el reglamento y medie autorización previa.</w:t>
            </w:r>
          </w:p>
        </w:tc>
      </w:tr>
      <w:tr w:rsidR="00001AC6" w:rsidRPr="002B45F1" w14:paraId="3138D8D5" w14:textId="77777777" w:rsidTr="00E708D4">
        <w:trPr>
          <w:trHeight w:val="602"/>
          <w:jc w:val="center"/>
        </w:trPr>
        <w:tc>
          <w:tcPr>
            <w:tcW w:w="810" w:type="dxa"/>
            <w:shd w:val="clear" w:color="auto" w:fill="FFFFFF" w:themeFill="background1"/>
            <w:vAlign w:val="center"/>
            <w:hideMark/>
          </w:tcPr>
          <w:p w14:paraId="74FC50C5"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w:t>
            </w:r>
            <w:r w:rsidRPr="002B45F1">
              <w:rPr>
                <w:rFonts w:asciiTheme="majorHAnsi" w:eastAsia="Times New Roman" w:hAnsiTheme="majorHAnsi" w:cstheme="majorHAnsi"/>
                <w:color w:val="000000" w:themeColor="text1"/>
                <w:sz w:val="24"/>
                <w:szCs w:val="24"/>
                <w:lang w:eastAsia="es-MX"/>
              </w:rPr>
              <w:t>X</w:t>
            </w:r>
            <w:r w:rsidRPr="002B45F1">
              <w:rPr>
                <w:rFonts w:asciiTheme="majorHAnsi" w:eastAsia="Times New Roman" w:hAnsiTheme="majorHAnsi" w:cstheme="majorHAnsi"/>
                <w:color w:val="000000" w:themeColor="text1"/>
                <w:sz w:val="24"/>
                <w:szCs w:val="24"/>
                <w:shd w:val="clear" w:color="auto" w:fill="FFFFFF" w:themeFill="background1"/>
                <w:lang w:eastAsia="es-MX"/>
              </w:rPr>
              <w:t>V</w:t>
            </w:r>
            <w:r w:rsidRPr="002B45F1">
              <w:rPr>
                <w:rFonts w:asciiTheme="majorHAnsi" w:eastAsia="Times New Roman" w:hAnsiTheme="majorHAnsi" w:cstheme="majorHAnsi"/>
                <w:sz w:val="24"/>
                <w:szCs w:val="24"/>
                <w:shd w:val="clear" w:color="auto" w:fill="FFFFFF" w:themeFill="background1"/>
                <w:lang w:eastAsia="es-MX"/>
              </w:rPr>
              <w:t>II</w:t>
            </w:r>
          </w:p>
        </w:tc>
        <w:tc>
          <w:tcPr>
            <w:tcW w:w="4106" w:type="dxa"/>
            <w:shd w:val="clear" w:color="auto" w:fill="FFFFFF" w:themeFill="background1"/>
            <w:vAlign w:val="center"/>
            <w:hideMark/>
          </w:tcPr>
          <w:p w14:paraId="0EB38703" w14:textId="77777777" w:rsidR="00001AC6" w:rsidRPr="002B45F1" w:rsidRDefault="00001AC6" w:rsidP="00E708D4">
            <w:pPr>
              <w:spacing w:after="0" w:line="240" w:lineRule="auto"/>
              <w:jc w:val="both"/>
              <w:rPr>
                <w:rFonts w:asciiTheme="majorHAnsi" w:eastAsia="Times New Roman" w:hAnsiTheme="majorHAnsi" w:cstheme="majorHAnsi"/>
                <w:color w:val="000000" w:themeColor="text1"/>
                <w:sz w:val="24"/>
                <w:szCs w:val="24"/>
                <w:lang w:eastAsia="es-MX"/>
              </w:rPr>
            </w:pPr>
            <w:r w:rsidRPr="002B45F1">
              <w:rPr>
                <w:rFonts w:asciiTheme="majorHAnsi" w:eastAsia="Times New Roman" w:hAnsiTheme="majorHAnsi" w:cstheme="majorHAnsi"/>
                <w:color w:val="000000" w:themeColor="text1"/>
                <w:sz w:val="24"/>
                <w:szCs w:val="24"/>
                <w:lang w:eastAsia="es-MX"/>
              </w:rPr>
              <w:t xml:space="preserve">Las concesiones, contratos, convenios, permisos, licencias o autorizaciones otorgados, especificando los titulares de </w:t>
            </w:r>
            <w:r w:rsidRPr="002B45F1">
              <w:rPr>
                <w:rFonts w:asciiTheme="majorHAnsi" w:eastAsia="Times New Roman" w:hAnsiTheme="majorHAnsi" w:cstheme="majorHAnsi"/>
                <w:color w:val="000000" w:themeColor="text1"/>
                <w:sz w:val="24"/>
                <w:szCs w:val="24"/>
                <w:lang w:eastAsia="es-MX"/>
              </w:rPr>
              <w:lastRenderedPageBreak/>
              <w:t>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FFFFFF" w:themeFill="background1"/>
            <w:vAlign w:val="center"/>
            <w:hideMark/>
          </w:tcPr>
          <w:p w14:paraId="184F31DE" w14:textId="77777777" w:rsidR="00001AC6" w:rsidRPr="002B45F1" w:rsidRDefault="00001AC6" w:rsidP="00E708D4">
            <w:pPr>
              <w:spacing w:after="0" w:line="240" w:lineRule="auto"/>
              <w:jc w:val="both"/>
              <w:rPr>
                <w:rFonts w:asciiTheme="majorHAnsi" w:eastAsia="Times New Roman" w:hAnsiTheme="majorHAnsi" w:cstheme="majorHAnsi"/>
                <w:color w:val="000000" w:themeColor="text1"/>
                <w:sz w:val="24"/>
                <w:szCs w:val="24"/>
                <w:lang w:eastAsia="es-MX"/>
              </w:rPr>
            </w:pPr>
            <w:r w:rsidRPr="002B45F1">
              <w:rPr>
                <w:rFonts w:asciiTheme="majorHAnsi" w:eastAsia="Times New Roman" w:hAnsiTheme="majorHAnsi" w:cstheme="majorHAnsi"/>
                <w:color w:val="000000" w:themeColor="text1"/>
                <w:sz w:val="24"/>
                <w:szCs w:val="24"/>
                <w:lang w:eastAsia="es-MX"/>
              </w:rPr>
              <w:lastRenderedPageBreak/>
              <w:t xml:space="preserve">Le es aplicable en lo relativo a contratos y convenios, lo anterior de conformidad con el artículo 76 fracción I del Código de la </w:t>
            </w:r>
            <w:r w:rsidRPr="002B45F1">
              <w:rPr>
                <w:rFonts w:asciiTheme="majorHAnsi" w:eastAsia="Times New Roman" w:hAnsiTheme="majorHAnsi" w:cstheme="majorHAnsi"/>
                <w:color w:val="000000" w:themeColor="text1"/>
                <w:sz w:val="24"/>
                <w:szCs w:val="24"/>
                <w:lang w:eastAsia="es-MX"/>
              </w:rPr>
              <w:lastRenderedPageBreak/>
              <w:t>Administración Pública de Yucatán, pues se encuentra dentro del ámbito de sus facultades, competencias y funciones la celebración de contratos y convenios; y no le resulta aplicable en cuanto a concesiones, permisos, licencias y autorizaciones por no encontrarse dentro del ámbito de sus facultades, competencias y funciones.</w:t>
            </w:r>
          </w:p>
        </w:tc>
      </w:tr>
      <w:tr w:rsidR="00001AC6" w:rsidRPr="002B45F1" w14:paraId="2A3A5FDF" w14:textId="77777777" w:rsidTr="00E708D4">
        <w:trPr>
          <w:trHeight w:val="1723"/>
          <w:jc w:val="center"/>
        </w:trPr>
        <w:tc>
          <w:tcPr>
            <w:tcW w:w="810" w:type="dxa"/>
            <w:shd w:val="clear" w:color="auto" w:fill="FFFFFF" w:themeFill="background1"/>
            <w:vAlign w:val="center"/>
            <w:hideMark/>
          </w:tcPr>
          <w:p w14:paraId="6CE32C48"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XXVIII</w:t>
            </w:r>
          </w:p>
        </w:tc>
        <w:tc>
          <w:tcPr>
            <w:tcW w:w="4106" w:type="dxa"/>
            <w:shd w:val="clear" w:color="auto" w:fill="FFFFFF" w:themeFill="background1"/>
            <w:vAlign w:val="center"/>
            <w:hideMark/>
          </w:tcPr>
          <w:p w14:paraId="6226BC3E"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FFFFFF" w:themeFill="background1"/>
            <w:vAlign w:val="center"/>
            <w:hideMark/>
          </w:tcPr>
          <w:p w14:paraId="03107A8F" w14:textId="77777777" w:rsidR="00001AC6" w:rsidRPr="002B45F1" w:rsidRDefault="00001AC6"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Le es aplicable, toda vez que para la adquisición de bienes muebles, arrendamientos de bienes muebles y de prestación de servicios relacionados con dichos bienes, el sujeto obligado debe observar lo dispuesto por la Ley de Adquisiciones, Arrendamientos y Prestación de Servicios Relacionados con Bienes Muebles del Estado, esto de conformidad con los artículos 1, 2 fracción V y 8 de dicha Ley; asimismo para realización de obra pública, le son aplicables las disposiciones de la Ley de Obra Pública y Servicios Conexos del Estado de Yucatán, de conformidad con lo señalado en el artículo 1 de dicho ordenamiento.</w:t>
            </w:r>
          </w:p>
        </w:tc>
      </w:tr>
      <w:tr w:rsidR="00001AC6" w:rsidRPr="002B45F1" w14:paraId="7712CEF5" w14:textId="77777777" w:rsidTr="00E708D4">
        <w:trPr>
          <w:trHeight w:val="629"/>
          <w:jc w:val="center"/>
        </w:trPr>
        <w:tc>
          <w:tcPr>
            <w:tcW w:w="810" w:type="dxa"/>
            <w:shd w:val="clear" w:color="auto" w:fill="FFFFFF" w:themeFill="background1"/>
            <w:vAlign w:val="center"/>
            <w:hideMark/>
          </w:tcPr>
          <w:p w14:paraId="1C7CB007"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XXIX</w:t>
            </w:r>
          </w:p>
        </w:tc>
        <w:tc>
          <w:tcPr>
            <w:tcW w:w="4106" w:type="dxa"/>
            <w:shd w:val="clear" w:color="auto" w:fill="FFFFFF" w:themeFill="background1"/>
            <w:vAlign w:val="center"/>
            <w:hideMark/>
          </w:tcPr>
          <w:p w14:paraId="7679C7FE"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informes que por disposición legal generen los sujetos obligados;</w:t>
            </w:r>
          </w:p>
        </w:tc>
        <w:tc>
          <w:tcPr>
            <w:tcW w:w="4397" w:type="dxa"/>
            <w:shd w:val="clear" w:color="auto" w:fill="FFFFFF" w:themeFill="background1"/>
            <w:vAlign w:val="center"/>
            <w:hideMark/>
          </w:tcPr>
          <w:p w14:paraId="38FA581B"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de conformidad con el artículo 15 fracción VII del decreto que regula su funcionamiento, el Director General debe elaborar y presentar a la junta de gobierno un informe anual de resultados y los demás informes o reportes que ésta le solicite.</w:t>
            </w:r>
          </w:p>
        </w:tc>
      </w:tr>
      <w:tr w:rsidR="00001AC6" w:rsidRPr="002B45F1" w14:paraId="4F10FCD4" w14:textId="77777777" w:rsidTr="00E708D4">
        <w:trPr>
          <w:trHeight w:val="885"/>
          <w:jc w:val="center"/>
        </w:trPr>
        <w:tc>
          <w:tcPr>
            <w:tcW w:w="810" w:type="dxa"/>
            <w:shd w:val="clear" w:color="auto" w:fill="FFFFFF" w:themeFill="background1"/>
            <w:vAlign w:val="center"/>
            <w:hideMark/>
          </w:tcPr>
          <w:p w14:paraId="279A9454"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w:t>
            </w:r>
          </w:p>
        </w:tc>
        <w:tc>
          <w:tcPr>
            <w:tcW w:w="4106" w:type="dxa"/>
            <w:shd w:val="clear" w:color="auto" w:fill="FFFFFF" w:themeFill="background1"/>
            <w:vAlign w:val="center"/>
            <w:hideMark/>
          </w:tcPr>
          <w:p w14:paraId="70390FC9"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estadísticas que generen en cumplimiento de sus facultades, competencias o funciones con la mayor desagregación posible;</w:t>
            </w:r>
          </w:p>
        </w:tc>
        <w:tc>
          <w:tcPr>
            <w:tcW w:w="4397" w:type="dxa"/>
            <w:shd w:val="clear" w:color="auto" w:fill="FFFFFF" w:themeFill="background1"/>
            <w:vAlign w:val="center"/>
            <w:hideMark/>
          </w:tcPr>
          <w:p w14:paraId="581F97D7"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color w:val="000000"/>
                <w:sz w:val="24"/>
                <w:szCs w:val="24"/>
                <w:lang w:eastAsia="es-MX"/>
              </w:rPr>
              <w:t>Le es aplicable, considerando que los Lineamientos técnicos generales, disponen que todos los sujetos obligados deben publicar una relación de las estadísticas de cualquier tipo que hayan generado en cumplimiento de su competencia, facultades y/o funciones.</w:t>
            </w:r>
          </w:p>
        </w:tc>
      </w:tr>
      <w:tr w:rsidR="00001AC6" w:rsidRPr="002B45F1" w14:paraId="40ED787F" w14:textId="77777777" w:rsidTr="00E708D4">
        <w:trPr>
          <w:trHeight w:val="256"/>
          <w:jc w:val="center"/>
        </w:trPr>
        <w:tc>
          <w:tcPr>
            <w:tcW w:w="810" w:type="dxa"/>
            <w:shd w:val="clear" w:color="auto" w:fill="FFFFFF" w:themeFill="background1"/>
            <w:vAlign w:val="center"/>
            <w:hideMark/>
          </w:tcPr>
          <w:p w14:paraId="59C0362B"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XXXI</w:t>
            </w:r>
          </w:p>
        </w:tc>
        <w:tc>
          <w:tcPr>
            <w:tcW w:w="4106" w:type="dxa"/>
            <w:shd w:val="clear" w:color="auto" w:fill="FFFFFF" w:themeFill="background1"/>
            <w:vAlign w:val="center"/>
            <w:hideMark/>
          </w:tcPr>
          <w:p w14:paraId="3DEAF1B4"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Informe de avances programáticos o presupuestales, balances generales y su estado financiero;</w:t>
            </w:r>
          </w:p>
        </w:tc>
        <w:tc>
          <w:tcPr>
            <w:tcW w:w="4397" w:type="dxa"/>
            <w:shd w:val="clear" w:color="auto" w:fill="FFFFFF" w:themeFill="background1"/>
            <w:vAlign w:val="center"/>
            <w:hideMark/>
          </w:tcPr>
          <w:p w14:paraId="7947574F"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de conformidad con lo señalado en el artículo 156 de la Ley del Presupuesto y Contabilidad Gubernamental del Estado de Yucatán y los artículos 69 y 70 de la Ley de Fiscalización de la Cuenta Pública del Estado de Yucatán, que señalan la información sobre los estados y la situación financiera que deben generar; y lo que se debe de reportar en el informe de avance de la gestión financiera, por los ejecutores del gasto, respectivamente.</w:t>
            </w:r>
          </w:p>
        </w:tc>
      </w:tr>
      <w:tr w:rsidR="00001AC6" w:rsidRPr="002B45F1" w14:paraId="4DFE55B4" w14:textId="77777777" w:rsidTr="00E708D4">
        <w:trPr>
          <w:trHeight w:val="1145"/>
          <w:jc w:val="center"/>
        </w:trPr>
        <w:tc>
          <w:tcPr>
            <w:tcW w:w="810" w:type="dxa"/>
            <w:shd w:val="clear" w:color="auto" w:fill="FFFFFF" w:themeFill="background1"/>
            <w:vAlign w:val="center"/>
            <w:hideMark/>
          </w:tcPr>
          <w:p w14:paraId="71347148"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XXXII</w:t>
            </w:r>
          </w:p>
        </w:tc>
        <w:tc>
          <w:tcPr>
            <w:tcW w:w="4106" w:type="dxa"/>
            <w:shd w:val="clear" w:color="auto" w:fill="FFFFFF" w:themeFill="background1"/>
            <w:vAlign w:val="center"/>
            <w:hideMark/>
          </w:tcPr>
          <w:p w14:paraId="03EACC7F"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Padrón de proveedores y contratistas;</w:t>
            </w:r>
          </w:p>
        </w:tc>
        <w:tc>
          <w:tcPr>
            <w:tcW w:w="4397" w:type="dxa"/>
            <w:shd w:val="clear" w:color="auto" w:fill="FFFFFF" w:themeFill="background1"/>
            <w:vAlign w:val="center"/>
            <w:hideMark/>
          </w:tcPr>
          <w:p w14:paraId="61B3E8FE"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color w:val="000000"/>
                <w:sz w:val="24"/>
                <w:szCs w:val="24"/>
                <w:lang w:eastAsia="es-MX"/>
              </w:rPr>
              <w:t xml:space="preserve">Le es aplicable, toda vez que de conformidad con el artículo 13 último párrafo de la </w:t>
            </w:r>
            <w:r w:rsidRPr="002B45F1">
              <w:rPr>
                <w:rFonts w:asciiTheme="majorHAnsi" w:eastAsia="Times New Roman" w:hAnsiTheme="majorHAnsi" w:cstheme="majorHAnsi"/>
                <w:sz w:val="24"/>
                <w:szCs w:val="24"/>
                <w:lang w:eastAsia="es-MX"/>
              </w:rPr>
              <w:t>Ley de Adquisiciones, Arrendamientos y Prestación de Servicios Relacionados con Bienes Muebles del Estado, solo se podrán celebrar contratos con las personas inscritas en el padrón de proveedores, por lo que la información que para efecto de esta fracción publiquen los sujetos obligados, deberá guardar relación con dicho padrón.</w:t>
            </w:r>
          </w:p>
        </w:tc>
      </w:tr>
      <w:tr w:rsidR="00001AC6" w:rsidRPr="002B45F1" w14:paraId="69947FA5" w14:textId="77777777" w:rsidTr="00E708D4">
        <w:trPr>
          <w:trHeight w:val="745"/>
          <w:jc w:val="center"/>
        </w:trPr>
        <w:tc>
          <w:tcPr>
            <w:tcW w:w="810" w:type="dxa"/>
            <w:shd w:val="clear" w:color="auto" w:fill="FFFFFF" w:themeFill="background1"/>
            <w:vAlign w:val="center"/>
            <w:hideMark/>
          </w:tcPr>
          <w:p w14:paraId="312AB6C7"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XXXIII</w:t>
            </w:r>
          </w:p>
        </w:tc>
        <w:tc>
          <w:tcPr>
            <w:tcW w:w="4106" w:type="dxa"/>
            <w:shd w:val="clear" w:color="auto" w:fill="FFFFFF" w:themeFill="background1"/>
            <w:vAlign w:val="center"/>
            <w:hideMark/>
          </w:tcPr>
          <w:p w14:paraId="4EB2C8B5"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convenios de coordinación de concertación con los sectores social y privado;</w:t>
            </w:r>
          </w:p>
        </w:tc>
        <w:tc>
          <w:tcPr>
            <w:tcW w:w="4397" w:type="dxa"/>
            <w:shd w:val="clear" w:color="auto" w:fill="FFFFFF" w:themeFill="background1"/>
            <w:vAlign w:val="center"/>
            <w:hideMark/>
          </w:tcPr>
          <w:p w14:paraId="3BCAAE7B"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de conformidad con el artículo 6 fracción VI del Decreto 434/2021 por el que se regula el Parque Científico y Tecnológico de Yucatán</w:t>
            </w:r>
            <w:r w:rsidRPr="002B45F1">
              <w:rPr>
                <w:rFonts w:asciiTheme="majorHAnsi" w:eastAsia="Times New Roman" w:hAnsiTheme="majorHAnsi" w:cstheme="majorHAnsi"/>
                <w:color w:val="000000" w:themeColor="text1"/>
                <w:sz w:val="24"/>
                <w:szCs w:val="24"/>
                <w:lang w:eastAsia="es-MX"/>
              </w:rPr>
              <w:t>,</w:t>
            </w:r>
            <w:r w:rsidRPr="002B45F1">
              <w:rPr>
                <w:rFonts w:asciiTheme="majorHAnsi" w:eastAsia="Times New Roman" w:hAnsiTheme="majorHAnsi" w:cstheme="majorHAnsi"/>
                <w:sz w:val="24"/>
                <w:szCs w:val="24"/>
                <w:lang w:eastAsia="es-MX"/>
              </w:rPr>
              <w:t xml:space="preserve"> y el artículo 76 fracción I del Código de la Administración Pública de Yucatán, se encuentra dentro del ámbito de sus facultades, competencias y funciones.</w:t>
            </w:r>
          </w:p>
        </w:tc>
      </w:tr>
      <w:tr w:rsidR="00001AC6" w:rsidRPr="002B45F1" w14:paraId="18A42E19" w14:textId="77777777" w:rsidTr="00E708D4">
        <w:trPr>
          <w:trHeight w:val="501"/>
          <w:jc w:val="center"/>
        </w:trPr>
        <w:tc>
          <w:tcPr>
            <w:tcW w:w="810" w:type="dxa"/>
            <w:shd w:val="clear" w:color="auto" w:fill="FFFFFF" w:themeFill="background1"/>
            <w:vAlign w:val="center"/>
            <w:hideMark/>
          </w:tcPr>
          <w:p w14:paraId="00F1CA6A"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XXXIV</w:t>
            </w:r>
          </w:p>
        </w:tc>
        <w:tc>
          <w:tcPr>
            <w:tcW w:w="4106" w:type="dxa"/>
            <w:shd w:val="clear" w:color="auto" w:fill="FFFFFF" w:themeFill="background1"/>
            <w:vAlign w:val="center"/>
            <w:hideMark/>
          </w:tcPr>
          <w:p w14:paraId="56EF0672"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inventario de bienes muebles e inmuebles en posesión y propiedad;</w:t>
            </w:r>
          </w:p>
        </w:tc>
        <w:tc>
          <w:tcPr>
            <w:tcW w:w="4397" w:type="dxa"/>
            <w:shd w:val="clear" w:color="auto" w:fill="FFFFFF" w:themeFill="background1"/>
            <w:vAlign w:val="center"/>
            <w:hideMark/>
          </w:tcPr>
          <w:p w14:paraId="2AD71743" w14:textId="77777777" w:rsidR="00001AC6" w:rsidRPr="002B45F1" w:rsidRDefault="00001AC6"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rPr>
              <w:t>Le es aplicable, de conformidad con lo señalado en el artículo 155 de la Ley del Presupuesto y Contabilidad Gubernamental del Estado de Yucatán, pues señala que como parte de la contabilidad gubernamental, los ejecutores del gasto, deberán llevar el registro de los bienes muebles e inmuebles.</w:t>
            </w:r>
          </w:p>
        </w:tc>
      </w:tr>
      <w:tr w:rsidR="00001AC6" w:rsidRPr="002B45F1" w14:paraId="395A74FE" w14:textId="77777777" w:rsidTr="00E708D4">
        <w:trPr>
          <w:trHeight w:val="1234"/>
          <w:jc w:val="center"/>
        </w:trPr>
        <w:tc>
          <w:tcPr>
            <w:tcW w:w="810" w:type="dxa"/>
            <w:shd w:val="clear" w:color="auto" w:fill="FFFFFF" w:themeFill="background1"/>
            <w:vAlign w:val="center"/>
            <w:hideMark/>
          </w:tcPr>
          <w:p w14:paraId="6D8936DE"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XXXV</w:t>
            </w:r>
          </w:p>
        </w:tc>
        <w:tc>
          <w:tcPr>
            <w:tcW w:w="4106" w:type="dxa"/>
            <w:shd w:val="clear" w:color="auto" w:fill="FFFFFF" w:themeFill="background1"/>
            <w:vAlign w:val="center"/>
            <w:hideMark/>
          </w:tcPr>
          <w:p w14:paraId="440ACEEB"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FFFFFF" w:themeFill="background1"/>
            <w:vAlign w:val="center"/>
            <w:hideMark/>
          </w:tcPr>
          <w:p w14:paraId="6DB0F957"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color w:val="000000" w:themeColor="text1"/>
                <w:sz w:val="24"/>
                <w:szCs w:val="24"/>
                <w:lang w:eastAsia="es-MX"/>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los órganos descentralizados, quienes están obligados a responder dichas recomendaciones.</w:t>
            </w:r>
          </w:p>
        </w:tc>
      </w:tr>
      <w:tr w:rsidR="00001AC6" w:rsidRPr="002B45F1" w14:paraId="214CE95C" w14:textId="77777777" w:rsidTr="00E708D4">
        <w:trPr>
          <w:trHeight w:val="745"/>
          <w:jc w:val="center"/>
        </w:trPr>
        <w:tc>
          <w:tcPr>
            <w:tcW w:w="810" w:type="dxa"/>
            <w:shd w:val="clear" w:color="auto" w:fill="FFFFFF" w:themeFill="background1"/>
            <w:vAlign w:val="center"/>
            <w:hideMark/>
          </w:tcPr>
          <w:p w14:paraId="5E470DD0"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XXXVI</w:t>
            </w:r>
          </w:p>
        </w:tc>
        <w:tc>
          <w:tcPr>
            <w:tcW w:w="4106" w:type="dxa"/>
            <w:shd w:val="clear" w:color="auto" w:fill="FFFFFF" w:themeFill="background1"/>
            <w:vAlign w:val="center"/>
            <w:hideMark/>
          </w:tcPr>
          <w:p w14:paraId="66E9C0B9"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resoluciones y laudos que se emitan en procesos o procedimientos seguidos en forma de juicio;</w:t>
            </w:r>
          </w:p>
        </w:tc>
        <w:tc>
          <w:tcPr>
            <w:tcW w:w="4397" w:type="dxa"/>
            <w:shd w:val="clear" w:color="auto" w:fill="FFFFFF" w:themeFill="background1"/>
            <w:vAlign w:val="center"/>
            <w:hideMark/>
          </w:tcPr>
          <w:p w14:paraId="30936315" w14:textId="77777777" w:rsidR="00001AC6" w:rsidRPr="002B45F1" w:rsidRDefault="00001AC6" w:rsidP="00E708D4">
            <w:pPr>
              <w:spacing w:after="0" w:line="240" w:lineRule="auto"/>
              <w:jc w:val="both"/>
              <w:rPr>
                <w:rFonts w:asciiTheme="majorHAnsi" w:eastAsia="Times New Roman" w:hAnsiTheme="majorHAnsi" w:cstheme="majorHAnsi"/>
                <w:color w:val="000000" w:themeColor="text1"/>
                <w:sz w:val="24"/>
                <w:szCs w:val="24"/>
                <w:lang w:eastAsia="es-MX"/>
              </w:rPr>
            </w:pPr>
            <w:r w:rsidRPr="002B45F1">
              <w:rPr>
                <w:rFonts w:asciiTheme="majorHAnsi" w:eastAsia="Times New Roman" w:hAnsiTheme="majorHAnsi" w:cstheme="majorHAnsi"/>
                <w:color w:val="000000" w:themeColor="text1"/>
                <w:sz w:val="24"/>
                <w:szCs w:val="24"/>
                <w:lang w:eastAsia="es-MX"/>
              </w:rPr>
              <w:t>No le resulta aplicable, toda vez que de conformidad con lo establecido en el Decreto 434/2021 por el que se regula el Parque Científico y Tecnológico de Yucatán, no es atribución, competencia o función de este sujeto obligado la sustanciación de procedimientos seguidos en forma de juicio.</w:t>
            </w:r>
          </w:p>
        </w:tc>
      </w:tr>
      <w:tr w:rsidR="00001AC6" w:rsidRPr="002B45F1" w14:paraId="0A609519" w14:textId="77777777" w:rsidTr="00E708D4">
        <w:trPr>
          <w:trHeight w:val="256"/>
          <w:jc w:val="center"/>
        </w:trPr>
        <w:tc>
          <w:tcPr>
            <w:tcW w:w="810" w:type="dxa"/>
            <w:shd w:val="clear" w:color="auto" w:fill="FFFFFF" w:themeFill="background1"/>
            <w:vAlign w:val="center"/>
            <w:hideMark/>
          </w:tcPr>
          <w:p w14:paraId="1EA121E6"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XXXVII</w:t>
            </w:r>
          </w:p>
        </w:tc>
        <w:tc>
          <w:tcPr>
            <w:tcW w:w="4106" w:type="dxa"/>
            <w:shd w:val="clear" w:color="auto" w:fill="FFFFFF" w:themeFill="background1"/>
            <w:vAlign w:val="center"/>
            <w:hideMark/>
          </w:tcPr>
          <w:p w14:paraId="269E463A"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mecanismos de participación ciudadana;</w:t>
            </w:r>
          </w:p>
        </w:tc>
        <w:tc>
          <w:tcPr>
            <w:tcW w:w="4397" w:type="dxa"/>
            <w:shd w:val="clear" w:color="auto" w:fill="FFFFFF" w:themeFill="background1"/>
            <w:vAlign w:val="center"/>
            <w:hideMark/>
          </w:tcPr>
          <w:p w14:paraId="20F8F876" w14:textId="77777777" w:rsidR="00001AC6" w:rsidRPr="002B45F1" w:rsidRDefault="00001AC6" w:rsidP="00E708D4">
            <w:pPr>
              <w:spacing w:after="0" w:line="240" w:lineRule="auto"/>
              <w:jc w:val="both"/>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t>Le es aplicable, para el cumplimiento de la presente obligación, el sujeto obligado deberá publicar el conjunto de acciones que pretenden impulsar el desarrollo local y la democracia participativa, tales como actividades, informes, concursos, comités, sesiones, encuestas, consultas, foros, eventos, experiencias y demás mecanismos de participación ciudadana de los que dispongan, incluidos aquellos que utilicen como medio las tecnologías de la información y comunicación, como los sitios de Internet (o portales institucionales) de conformidad con la normatividad aplicable, procurando atender las mejores prácticas a nivel internacional, con el objetivo de disminuir las barreras de entrada a la consulta, participación y colaboración.</w:t>
            </w:r>
          </w:p>
        </w:tc>
      </w:tr>
      <w:tr w:rsidR="00001AC6" w:rsidRPr="002B45F1" w14:paraId="5F9DEF59" w14:textId="77777777" w:rsidTr="00E708D4">
        <w:trPr>
          <w:trHeight w:val="679"/>
          <w:jc w:val="center"/>
        </w:trPr>
        <w:tc>
          <w:tcPr>
            <w:tcW w:w="810" w:type="dxa"/>
            <w:shd w:val="clear" w:color="auto" w:fill="auto"/>
            <w:vAlign w:val="center"/>
            <w:hideMark/>
          </w:tcPr>
          <w:p w14:paraId="36448579"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XXXVIII</w:t>
            </w:r>
          </w:p>
        </w:tc>
        <w:tc>
          <w:tcPr>
            <w:tcW w:w="4106" w:type="dxa"/>
            <w:shd w:val="clear" w:color="auto" w:fill="auto"/>
            <w:vAlign w:val="center"/>
            <w:hideMark/>
          </w:tcPr>
          <w:p w14:paraId="7DC13EEE"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Los programas que ofrecen, incluyendo información sobre la población, objetivo </w:t>
            </w:r>
            <w:r w:rsidRPr="002B45F1">
              <w:rPr>
                <w:rFonts w:asciiTheme="majorHAnsi" w:eastAsia="Times New Roman" w:hAnsiTheme="majorHAnsi" w:cstheme="majorHAnsi"/>
                <w:sz w:val="24"/>
                <w:szCs w:val="24"/>
                <w:lang w:eastAsia="es-MX"/>
              </w:rPr>
              <w:lastRenderedPageBreak/>
              <w:t>y destino, así como los trámites, tiempos de respuesta, requisitos y formatos para acceder a los mismos;</w:t>
            </w:r>
          </w:p>
        </w:tc>
        <w:tc>
          <w:tcPr>
            <w:tcW w:w="4397" w:type="dxa"/>
            <w:shd w:val="clear" w:color="auto" w:fill="FFFFFF" w:themeFill="background1"/>
            <w:vAlign w:val="center"/>
            <w:hideMark/>
          </w:tcPr>
          <w:p w14:paraId="799837B4" w14:textId="77777777" w:rsidR="00001AC6" w:rsidRPr="002B45F1" w:rsidRDefault="00001AC6" w:rsidP="00E708D4">
            <w:pPr>
              <w:autoSpaceDE w:val="0"/>
              <w:autoSpaceDN w:val="0"/>
              <w:adjustRightInd w:val="0"/>
              <w:spacing w:after="0" w:line="240" w:lineRule="auto"/>
              <w:jc w:val="both"/>
              <w:rPr>
                <w:rFonts w:asciiTheme="majorHAnsi" w:hAnsiTheme="majorHAnsi" w:cstheme="majorHAnsi"/>
                <w:sz w:val="24"/>
                <w:szCs w:val="24"/>
              </w:rPr>
            </w:pPr>
            <w:r w:rsidRPr="002B45F1">
              <w:rPr>
                <w:rFonts w:asciiTheme="majorHAnsi" w:hAnsiTheme="majorHAnsi" w:cstheme="majorHAnsi"/>
                <w:sz w:val="24"/>
                <w:szCs w:val="24"/>
              </w:rPr>
              <w:lastRenderedPageBreak/>
              <w:t xml:space="preserve">No aplicable, toda vez que de conformidad con lo establecido en el Decreto 434/2021 </w:t>
            </w:r>
            <w:r w:rsidRPr="002B45F1">
              <w:rPr>
                <w:rFonts w:asciiTheme="majorHAnsi" w:hAnsiTheme="majorHAnsi" w:cstheme="majorHAnsi"/>
                <w:sz w:val="24"/>
                <w:szCs w:val="24"/>
              </w:rPr>
              <w:lastRenderedPageBreak/>
              <w:t>por el que se regula el Parque Científico y Tecnológico de Yucatán, la generación de la información a la que se refiere esta fracción, no se encuentra dentro del ámbito de las facultades, competencias y atribuciones de este sujeto obligado, toda vez que éste no desarrolla, ni opera programas que impliquen el otorgamiento de apoyos en efectivo o en especie.</w:t>
            </w:r>
          </w:p>
        </w:tc>
      </w:tr>
      <w:tr w:rsidR="00001AC6" w:rsidRPr="002B45F1" w14:paraId="1003932B" w14:textId="77777777" w:rsidTr="00E708D4">
        <w:trPr>
          <w:trHeight w:val="501"/>
          <w:jc w:val="center"/>
        </w:trPr>
        <w:tc>
          <w:tcPr>
            <w:tcW w:w="810" w:type="dxa"/>
            <w:shd w:val="clear" w:color="auto" w:fill="FFFFFF" w:themeFill="background1"/>
            <w:vAlign w:val="center"/>
            <w:hideMark/>
          </w:tcPr>
          <w:p w14:paraId="48F40605"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XXXIX</w:t>
            </w:r>
          </w:p>
        </w:tc>
        <w:tc>
          <w:tcPr>
            <w:tcW w:w="4106" w:type="dxa"/>
            <w:shd w:val="clear" w:color="auto" w:fill="FFFFFF" w:themeFill="background1"/>
            <w:vAlign w:val="center"/>
            <w:hideMark/>
          </w:tcPr>
          <w:p w14:paraId="5497BBBE"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actas y resoluciones del Comité de Transparencia de los sujetos obligados;</w:t>
            </w:r>
          </w:p>
        </w:tc>
        <w:tc>
          <w:tcPr>
            <w:tcW w:w="4397" w:type="dxa"/>
            <w:shd w:val="clear" w:color="auto" w:fill="FFFFFF" w:themeFill="background1"/>
            <w:vAlign w:val="center"/>
            <w:hideMark/>
          </w:tcPr>
          <w:p w14:paraId="5C0A3E44"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de conformidad con los artículos 24 fracción I de la Ley General de Transparencia y Acceso a la Información Pública, y los artículos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001AC6" w:rsidRPr="002B45F1" w14:paraId="6942AF17" w14:textId="77777777" w:rsidTr="00650C1B">
        <w:trPr>
          <w:trHeight w:val="673"/>
          <w:jc w:val="center"/>
        </w:trPr>
        <w:tc>
          <w:tcPr>
            <w:tcW w:w="810" w:type="dxa"/>
            <w:shd w:val="clear" w:color="auto" w:fill="auto"/>
            <w:vAlign w:val="center"/>
            <w:hideMark/>
          </w:tcPr>
          <w:p w14:paraId="743191A3"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w:t>
            </w:r>
          </w:p>
        </w:tc>
        <w:tc>
          <w:tcPr>
            <w:tcW w:w="4106" w:type="dxa"/>
            <w:shd w:val="clear" w:color="auto" w:fill="auto"/>
            <w:vAlign w:val="center"/>
            <w:hideMark/>
          </w:tcPr>
          <w:p w14:paraId="2CAD232F"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Todas las evaluaciones y encuestas que hagan los sujetos obligados a programas financiados con recursos públicos;</w:t>
            </w:r>
          </w:p>
        </w:tc>
        <w:tc>
          <w:tcPr>
            <w:tcW w:w="4397" w:type="dxa"/>
            <w:shd w:val="clear" w:color="auto" w:fill="auto"/>
            <w:vAlign w:val="center"/>
            <w:hideMark/>
          </w:tcPr>
          <w:p w14:paraId="092B9D6A"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así como de bienes y servicios, </w:t>
            </w:r>
            <w:r w:rsidRPr="002B45F1">
              <w:rPr>
                <w:rFonts w:asciiTheme="majorHAnsi" w:eastAsia="Times New Roman" w:hAnsiTheme="majorHAnsi" w:cstheme="majorHAnsi"/>
                <w:sz w:val="24"/>
                <w:szCs w:val="24"/>
                <w:lang w:eastAsia="es-MX"/>
              </w:rPr>
              <w:lastRenderedPageBreak/>
              <w:t>consecuentemente tampoco le aplicará la presente fracción.</w:t>
            </w:r>
          </w:p>
        </w:tc>
      </w:tr>
      <w:tr w:rsidR="00001AC6" w:rsidRPr="002B45F1" w14:paraId="6C445EC4" w14:textId="77777777" w:rsidTr="00E708D4">
        <w:trPr>
          <w:trHeight w:val="617"/>
          <w:jc w:val="center"/>
        </w:trPr>
        <w:tc>
          <w:tcPr>
            <w:tcW w:w="810" w:type="dxa"/>
            <w:shd w:val="clear" w:color="auto" w:fill="FFFFFF" w:themeFill="background1"/>
            <w:vAlign w:val="center"/>
            <w:hideMark/>
          </w:tcPr>
          <w:p w14:paraId="3E43FF6A"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lastRenderedPageBreak/>
              <w:t>XLI</w:t>
            </w:r>
          </w:p>
        </w:tc>
        <w:tc>
          <w:tcPr>
            <w:tcW w:w="4106" w:type="dxa"/>
            <w:shd w:val="clear" w:color="auto" w:fill="FFFFFF" w:themeFill="background1"/>
            <w:vAlign w:val="center"/>
            <w:hideMark/>
          </w:tcPr>
          <w:p w14:paraId="51AA5B3A"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estudios financiados con recursos públicos;</w:t>
            </w:r>
          </w:p>
        </w:tc>
        <w:tc>
          <w:tcPr>
            <w:tcW w:w="4397" w:type="dxa"/>
            <w:shd w:val="clear" w:color="auto" w:fill="FFFFFF" w:themeFill="background1"/>
            <w:vAlign w:val="center"/>
            <w:hideMark/>
          </w:tcPr>
          <w:p w14:paraId="0F7A921F" w14:textId="77777777" w:rsidR="00001AC6" w:rsidRPr="002B45F1" w:rsidRDefault="00001AC6" w:rsidP="00E708D4">
            <w:pPr>
              <w:autoSpaceDE w:val="0"/>
              <w:autoSpaceDN w:val="0"/>
              <w:adjustRightInd w:val="0"/>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de conformidad con el artículo 3 fracción VIII del decreto que regula su funcionamiento, tiene entre sus atribuciones la de fomentar la publicación y difusión de libros, revistas, periódicos y artículos en materia de ciencia, tecnología e investigación.</w:t>
            </w:r>
          </w:p>
        </w:tc>
      </w:tr>
      <w:tr w:rsidR="00001AC6" w:rsidRPr="002B45F1" w14:paraId="04FCC956" w14:textId="77777777" w:rsidTr="00E708D4">
        <w:trPr>
          <w:trHeight w:val="536"/>
          <w:jc w:val="center"/>
        </w:trPr>
        <w:tc>
          <w:tcPr>
            <w:tcW w:w="810" w:type="dxa"/>
            <w:shd w:val="clear" w:color="auto" w:fill="FFFFFF" w:themeFill="background1"/>
            <w:vAlign w:val="center"/>
            <w:hideMark/>
          </w:tcPr>
          <w:p w14:paraId="15F46530"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XLII</w:t>
            </w:r>
          </w:p>
        </w:tc>
        <w:tc>
          <w:tcPr>
            <w:tcW w:w="4106" w:type="dxa"/>
            <w:shd w:val="clear" w:color="auto" w:fill="FFFFFF" w:themeFill="background1"/>
            <w:vAlign w:val="center"/>
            <w:hideMark/>
          </w:tcPr>
          <w:p w14:paraId="5BDAB023"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listado de jubilados y pensionados y el monto que reciben;</w:t>
            </w:r>
          </w:p>
        </w:tc>
        <w:tc>
          <w:tcPr>
            <w:tcW w:w="4397" w:type="dxa"/>
            <w:shd w:val="clear" w:color="auto" w:fill="FFFFFF" w:themeFill="background1"/>
            <w:vAlign w:val="center"/>
            <w:hideMark/>
          </w:tcPr>
          <w:p w14:paraId="6FA4166A" w14:textId="77777777" w:rsidR="00001AC6" w:rsidRPr="002B45F1" w:rsidRDefault="00001AC6" w:rsidP="00E708D4">
            <w:pPr>
              <w:spacing w:after="0" w:line="240" w:lineRule="auto"/>
              <w:jc w:val="both"/>
              <w:rPr>
                <w:rFonts w:asciiTheme="majorHAnsi" w:hAnsiTheme="majorHAnsi" w:cstheme="majorHAnsi"/>
                <w:sz w:val="24"/>
                <w:szCs w:val="24"/>
              </w:rPr>
            </w:pPr>
            <w:r w:rsidRPr="002B45F1">
              <w:rPr>
                <w:rFonts w:asciiTheme="majorHAnsi" w:hAnsiTheme="majorHAnsi" w:cstheme="majorHAnsi"/>
                <w:sz w:val="24"/>
                <w:szCs w:val="24"/>
              </w:rPr>
              <w:t>No le es aplicable, no obstante lo anterior, de conformidad con lo señalado en los Lineamientos técnicos generales, todos los sujetos obligados deberán publicar el formato 42 A que contenga el hipervínculo al sitio de internet en el que los institutos de seguridad social publicarán listados de jubilados y pensionados, así como el monto de la pensión que reciban.</w:t>
            </w:r>
          </w:p>
        </w:tc>
      </w:tr>
      <w:tr w:rsidR="00001AC6" w:rsidRPr="002B45F1" w14:paraId="623C9219" w14:textId="77777777" w:rsidTr="00E708D4">
        <w:trPr>
          <w:trHeight w:val="1479"/>
          <w:jc w:val="center"/>
        </w:trPr>
        <w:tc>
          <w:tcPr>
            <w:tcW w:w="810" w:type="dxa"/>
            <w:shd w:val="clear" w:color="auto" w:fill="FFFFFF" w:themeFill="background1"/>
            <w:vAlign w:val="center"/>
            <w:hideMark/>
          </w:tcPr>
          <w:p w14:paraId="70C4A036" w14:textId="77777777" w:rsidR="00001AC6" w:rsidRPr="002B45F1" w:rsidRDefault="00001AC6" w:rsidP="00E708D4">
            <w:pPr>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XLIII</w:t>
            </w:r>
          </w:p>
        </w:tc>
        <w:tc>
          <w:tcPr>
            <w:tcW w:w="4106" w:type="dxa"/>
            <w:shd w:val="clear" w:color="auto" w:fill="FFFFFF" w:themeFill="background1"/>
            <w:vAlign w:val="center"/>
            <w:hideMark/>
          </w:tcPr>
          <w:p w14:paraId="42432BC2"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Los ingresos recibidos por cualquier concepto señalando el nombre de los responsables de recibirlos, administrarlos y ejercerlos, así como su destino, indicando el destino de cada uno de ellos;</w:t>
            </w:r>
          </w:p>
        </w:tc>
        <w:tc>
          <w:tcPr>
            <w:tcW w:w="4397" w:type="dxa"/>
            <w:shd w:val="clear" w:color="auto" w:fill="FFFFFF" w:themeFill="background1"/>
            <w:vAlign w:val="center"/>
            <w:hideMark/>
          </w:tcPr>
          <w:p w14:paraId="25F279EF" w14:textId="77777777" w:rsidR="00001AC6" w:rsidRPr="002B45F1" w:rsidRDefault="00001AC6" w:rsidP="00E708D4">
            <w:pPr>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 xml:space="preserve">Le es aplicable de conformidad con lo </w:t>
            </w:r>
            <w:r w:rsidRPr="002B45F1">
              <w:rPr>
                <w:rFonts w:asciiTheme="majorHAnsi" w:hAnsiTheme="majorHAnsi" w:cstheme="majorHAnsi"/>
                <w:sz w:val="24"/>
                <w:szCs w:val="24"/>
              </w:rPr>
              <w:t>señalado en el artículo 4 del decreto que regula su funcionamiento, ya que en él se</w:t>
            </w:r>
            <w:r w:rsidRPr="002B45F1">
              <w:rPr>
                <w:rFonts w:asciiTheme="majorHAnsi" w:eastAsia="Times New Roman" w:hAnsiTheme="majorHAnsi" w:cstheme="majorHAnsi"/>
                <w:sz w:val="24"/>
                <w:szCs w:val="24"/>
                <w:lang w:eastAsia="es-MX"/>
              </w:rPr>
              <w:t xml:space="preserve"> señala la forma de integrar o incrementar su patrimonio.</w:t>
            </w:r>
          </w:p>
        </w:tc>
      </w:tr>
      <w:tr w:rsidR="00001AC6" w:rsidRPr="002B45F1" w14:paraId="4297C8B3" w14:textId="77777777" w:rsidTr="00E708D4">
        <w:trPr>
          <w:trHeight w:val="756"/>
          <w:jc w:val="center"/>
        </w:trPr>
        <w:tc>
          <w:tcPr>
            <w:tcW w:w="810" w:type="dxa"/>
            <w:shd w:val="clear" w:color="auto" w:fill="FFFFFF" w:themeFill="background1"/>
            <w:vAlign w:val="center"/>
            <w:hideMark/>
          </w:tcPr>
          <w:p w14:paraId="48BDC5D6" w14:textId="77777777" w:rsidR="00001AC6" w:rsidRPr="002B45F1" w:rsidRDefault="00001AC6" w:rsidP="00E708D4">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XLIV</w:t>
            </w:r>
          </w:p>
        </w:tc>
        <w:tc>
          <w:tcPr>
            <w:tcW w:w="4106" w:type="dxa"/>
            <w:shd w:val="clear" w:color="auto" w:fill="FFFFFF" w:themeFill="background1"/>
            <w:vAlign w:val="center"/>
            <w:hideMark/>
          </w:tcPr>
          <w:p w14:paraId="335B8D24" w14:textId="77777777" w:rsidR="00001AC6" w:rsidRPr="002B45F1" w:rsidRDefault="00001AC6"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Donaciones hechas a terceros en dinero o en especie;</w:t>
            </w:r>
          </w:p>
        </w:tc>
        <w:tc>
          <w:tcPr>
            <w:tcW w:w="4397" w:type="dxa"/>
            <w:shd w:val="clear" w:color="auto" w:fill="FFFFFF" w:themeFill="background1"/>
            <w:vAlign w:val="center"/>
            <w:hideMark/>
          </w:tcPr>
          <w:p w14:paraId="5A427538" w14:textId="77777777" w:rsidR="00001AC6" w:rsidRPr="002B45F1" w:rsidRDefault="00001AC6"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toda vez que de conformidad con lo señalado en el artículo 7 fracción III de la Ley de Bienes del Estado de Yucatán, se encuentra dentro del ámbito de sus competencias, facultades o funciones.</w:t>
            </w:r>
          </w:p>
        </w:tc>
      </w:tr>
      <w:tr w:rsidR="00001AC6" w:rsidRPr="002B45F1" w14:paraId="3B4E2502" w14:textId="77777777" w:rsidTr="00E708D4">
        <w:trPr>
          <w:trHeight w:val="780"/>
          <w:jc w:val="center"/>
        </w:trPr>
        <w:tc>
          <w:tcPr>
            <w:tcW w:w="810" w:type="dxa"/>
            <w:shd w:val="clear" w:color="auto" w:fill="FFFFFF" w:themeFill="background1"/>
            <w:vAlign w:val="center"/>
            <w:hideMark/>
          </w:tcPr>
          <w:p w14:paraId="53FB4F52" w14:textId="77777777" w:rsidR="00001AC6" w:rsidRPr="002B45F1" w:rsidRDefault="00001AC6" w:rsidP="00E708D4">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XLV</w:t>
            </w:r>
          </w:p>
        </w:tc>
        <w:tc>
          <w:tcPr>
            <w:tcW w:w="4106" w:type="dxa"/>
            <w:shd w:val="clear" w:color="auto" w:fill="FFFFFF" w:themeFill="background1"/>
            <w:vAlign w:val="center"/>
            <w:hideMark/>
          </w:tcPr>
          <w:p w14:paraId="6B1EE3E3" w14:textId="77777777" w:rsidR="00001AC6" w:rsidRPr="002B45F1" w:rsidRDefault="00001AC6"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El catálogo de disposición y guía de archivo documental;</w:t>
            </w:r>
          </w:p>
        </w:tc>
        <w:tc>
          <w:tcPr>
            <w:tcW w:w="4397" w:type="dxa"/>
            <w:shd w:val="clear" w:color="auto" w:fill="FFFFFF" w:themeFill="background1"/>
            <w:vAlign w:val="center"/>
            <w:hideMark/>
          </w:tcPr>
          <w:p w14:paraId="1B197946" w14:textId="77777777" w:rsidR="00001AC6" w:rsidRPr="002B45F1" w:rsidRDefault="00001AC6" w:rsidP="00E708D4">
            <w:pPr>
              <w:shd w:val="clear" w:color="auto" w:fill="FFFFFF" w:themeFill="background1"/>
              <w:spacing w:after="0" w:line="240" w:lineRule="auto"/>
              <w:jc w:val="both"/>
              <w:rPr>
                <w:rFonts w:asciiTheme="majorHAnsi" w:eastAsia="Times New Roman" w:hAnsiTheme="majorHAnsi" w:cstheme="majorHAnsi"/>
                <w:b/>
                <w:sz w:val="24"/>
                <w:szCs w:val="24"/>
                <w:lang w:eastAsia="es-MX"/>
              </w:rPr>
            </w:pPr>
            <w:r w:rsidRPr="002B45F1">
              <w:rPr>
                <w:rFonts w:asciiTheme="majorHAnsi" w:eastAsia="Times New Roman" w:hAnsiTheme="majorHAnsi" w:cstheme="majorHAnsi"/>
                <w:sz w:val="24"/>
                <w:szCs w:val="24"/>
                <w:lang w:eastAsia="es-MX"/>
              </w:rPr>
              <w:t>Le es aplicable, toda vez que de conformidad con artículo 13 de la Ley General de Archivos y el numeral sexto fracción V de los Lineamientos para la Organización y Conservación de Archivos, emitidos por el Sistema Nacional de Transparencia, todos los sujetos obligados deben elaborar los instrumentos de control y consulta archivísticos a que hace referencia esta fracción.</w:t>
            </w:r>
          </w:p>
        </w:tc>
      </w:tr>
      <w:tr w:rsidR="00001AC6" w:rsidRPr="002B45F1" w14:paraId="1DD780AE" w14:textId="77777777" w:rsidTr="00E708D4">
        <w:trPr>
          <w:trHeight w:val="744"/>
          <w:jc w:val="center"/>
        </w:trPr>
        <w:tc>
          <w:tcPr>
            <w:tcW w:w="810" w:type="dxa"/>
            <w:shd w:val="clear" w:color="auto" w:fill="FFFFFF" w:themeFill="background1"/>
            <w:vAlign w:val="center"/>
            <w:hideMark/>
          </w:tcPr>
          <w:p w14:paraId="3FEE8881" w14:textId="77777777" w:rsidR="00001AC6" w:rsidRPr="002B45F1" w:rsidRDefault="00001AC6" w:rsidP="00E708D4">
            <w:pPr>
              <w:shd w:val="clear" w:color="auto" w:fill="FFFFFF" w:themeFill="background1"/>
              <w:spacing w:after="0" w:line="240" w:lineRule="auto"/>
              <w:jc w:val="center"/>
              <w:rPr>
                <w:rFonts w:asciiTheme="majorHAnsi" w:eastAsia="Times New Roman" w:hAnsiTheme="majorHAnsi" w:cstheme="majorHAnsi"/>
                <w:sz w:val="24"/>
                <w:szCs w:val="24"/>
                <w:highlight w:val="yellow"/>
                <w:lang w:eastAsia="es-MX"/>
              </w:rPr>
            </w:pPr>
            <w:r w:rsidRPr="002B45F1">
              <w:rPr>
                <w:rFonts w:asciiTheme="majorHAnsi" w:eastAsia="Times New Roman" w:hAnsiTheme="majorHAnsi" w:cstheme="majorHAnsi"/>
                <w:sz w:val="24"/>
                <w:szCs w:val="24"/>
                <w:lang w:eastAsia="es-MX"/>
              </w:rPr>
              <w:lastRenderedPageBreak/>
              <w:t>XLVI</w:t>
            </w:r>
          </w:p>
        </w:tc>
        <w:tc>
          <w:tcPr>
            <w:tcW w:w="4106" w:type="dxa"/>
            <w:shd w:val="clear" w:color="auto" w:fill="FFFFFF" w:themeFill="background1"/>
            <w:vAlign w:val="center"/>
            <w:hideMark/>
          </w:tcPr>
          <w:p w14:paraId="3CF7A158" w14:textId="77777777" w:rsidR="00001AC6" w:rsidRPr="002B45F1" w:rsidRDefault="00001AC6"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Las actas de sesiones ordinarias y extraordinarias, así como las opiniones y recomendaciones que emitan, en su caso, los consejos consultivos (Artículo 47 de la LG);</w:t>
            </w:r>
          </w:p>
        </w:tc>
        <w:tc>
          <w:tcPr>
            <w:tcW w:w="4397" w:type="dxa"/>
            <w:shd w:val="clear" w:color="auto" w:fill="FFFFFF" w:themeFill="background1"/>
            <w:vAlign w:val="center"/>
            <w:hideMark/>
          </w:tcPr>
          <w:p w14:paraId="02F576B4" w14:textId="77777777" w:rsidR="00001AC6" w:rsidRPr="002B45F1" w:rsidRDefault="00001AC6"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No le es aplicable, toda vez que en el Decreto 434/2021 por el que se regula el Parque Científico y Tecnológico de Yucatán, no se dispone la conformación o integración de un consejo consultivo.</w:t>
            </w:r>
          </w:p>
        </w:tc>
      </w:tr>
      <w:tr w:rsidR="00001AC6" w:rsidRPr="002B45F1" w14:paraId="09EA9232" w14:textId="77777777" w:rsidTr="00E708D4">
        <w:trPr>
          <w:trHeight w:val="1234"/>
          <w:jc w:val="center"/>
        </w:trPr>
        <w:tc>
          <w:tcPr>
            <w:tcW w:w="810" w:type="dxa"/>
            <w:shd w:val="clear" w:color="auto" w:fill="FFFFFF" w:themeFill="background1"/>
            <w:vAlign w:val="center"/>
          </w:tcPr>
          <w:p w14:paraId="6F7049E9" w14:textId="77777777" w:rsidR="00001AC6" w:rsidRPr="002B45F1" w:rsidRDefault="00001AC6" w:rsidP="00E708D4">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XLVII</w:t>
            </w:r>
          </w:p>
        </w:tc>
        <w:tc>
          <w:tcPr>
            <w:tcW w:w="4106" w:type="dxa"/>
            <w:shd w:val="clear" w:color="auto" w:fill="FFFFFF" w:themeFill="background1"/>
            <w:vAlign w:val="center"/>
          </w:tcPr>
          <w:p w14:paraId="41D0510D" w14:textId="77777777" w:rsidR="00001AC6" w:rsidRPr="002B45F1" w:rsidRDefault="00001AC6"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shd w:val="clear" w:color="auto" w:fill="FFFFFF" w:themeFill="background1"/>
            <w:vAlign w:val="center"/>
          </w:tcPr>
          <w:p w14:paraId="6FC23EA7" w14:textId="3D431CCB" w:rsidR="00001AC6" w:rsidRPr="002B45F1" w:rsidRDefault="00001AC6" w:rsidP="00E708D4">
            <w:pPr>
              <w:shd w:val="clear" w:color="auto" w:fill="FFFFFF" w:themeFill="background1"/>
              <w:spacing w:after="0" w:line="240" w:lineRule="auto"/>
              <w:jc w:val="both"/>
              <w:rPr>
                <w:rFonts w:asciiTheme="majorHAnsi" w:eastAsia="Times New Roman" w:hAnsiTheme="majorHAnsi" w:cstheme="majorHAnsi"/>
                <w:color w:val="000000"/>
                <w:sz w:val="24"/>
                <w:szCs w:val="24"/>
                <w:lang w:eastAsia="es-MX"/>
              </w:rPr>
            </w:pPr>
            <w:r w:rsidRPr="002B45F1">
              <w:rPr>
                <w:rFonts w:asciiTheme="majorHAnsi" w:eastAsia="Times New Roman" w:hAnsiTheme="majorHAnsi" w:cstheme="majorHAnsi"/>
                <w:color w:val="000000"/>
                <w:sz w:val="24"/>
                <w:szCs w:val="24"/>
                <w:lang w:eastAsia="es-MX"/>
              </w:rPr>
              <w:t>No le es aplicable, en razón de que este sujeto obligado no tiene competencias, facultades o funciones para solicitar, o en su caso autorizar la intervención de comunicaciones privadas, sin embargo, en términos de lo señalado en los Lineamientos técnicos generales, este sujeto obligado deberá publicar el formato 47 c.</w:t>
            </w:r>
          </w:p>
        </w:tc>
      </w:tr>
      <w:tr w:rsidR="00001AC6" w:rsidRPr="002B45F1" w14:paraId="6813655C" w14:textId="77777777" w:rsidTr="00E708D4">
        <w:trPr>
          <w:trHeight w:val="1234"/>
          <w:jc w:val="center"/>
        </w:trPr>
        <w:tc>
          <w:tcPr>
            <w:tcW w:w="810" w:type="dxa"/>
            <w:shd w:val="clear" w:color="auto" w:fill="FFFFFF" w:themeFill="background1"/>
            <w:vAlign w:val="center"/>
            <w:hideMark/>
          </w:tcPr>
          <w:p w14:paraId="06F72FA8" w14:textId="77777777" w:rsidR="00001AC6" w:rsidRPr="002B45F1" w:rsidRDefault="00001AC6" w:rsidP="00E708D4">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XLVIII</w:t>
            </w:r>
          </w:p>
        </w:tc>
        <w:tc>
          <w:tcPr>
            <w:tcW w:w="4106" w:type="dxa"/>
            <w:shd w:val="clear" w:color="auto" w:fill="FFFFFF" w:themeFill="background1"/>
            <w:vAlign w:val="center"/>
            <w:hideMark/>
          </w:tcPr>
          <w:p w14:paraId="53EBE8F1" w14:textId="77777777" w:rsidR="00001AC6" w:rsidRPr="002B45F1" w:rsidRDefault="00001AC6"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FFFFFF" w:themeFill="background1"/>
            <w:vAlign w:val="center"/>
            <w:hideMark/>
          </w:tcPr>
          <w:p w14:paraId="1C544623" w14:textId="77777777" w:rsidR="00001AC6" w:rsidRPr="002B45F1" w:rsidRDefault="00001AC6" w:rsidP="00E708D4">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2B45F1">
              <w:rPr>
                <w:rFonts w:asciiTheme="majorHAnsi" w:eastAsia="Times New Roman" w:hAnsiTheme="majorHAnsi" w:cstheme="majorHAnsi"/>
                <w:sz w:val="24"/>
                <w:szCs w:val="24"/>
                <w:lang w:eastAsia="es-MX"/>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14:paraId="6EAD2237" w14:textId="77777777" w:rsidR="007A38F3" w:rsidRPr="002B45F1" w:rsidRDefault="007A38F3" w:rsidP="00F24EEB">
      <w:pPr>
        <w:spacing w:after="0" w:line="240" w:lineRule="auto"/>
        <w:jc w:val="both"/>
        <w:rPr>
          <w:rFonts w:asciiTheme="majorHAnsi" w:eastAsia="Arial" w:hAnsiTheme="majorHAnsi" w:cstheme="majorHAnsi"/>
          <w:b/>
          <w:bCs/>
          <w:sz w:val="24"/>
          <w:szCs w:val="24"/>
        </w:rPr>
      </w:pPr>
    </w:p>
    <w:p w14:paraId="248D9906" w14:textId="6E1763CD" w:rsidR="00F24EEB" w:rsidRPr="002B45F1" w:rsidRDefault="00F24EEB" w:rsidP="00F24EEB">
      <w:pPr>
        <w:spacing w:after="0" w:line="240" w:lineRule="auto"/>
        <w:jc w:val="both"/>
        <w:rPr>
          <w:rFonts w:asciiTheme="majorHAnsi" w:eastAsia="Arial" w:hAnsiTheme="majorHAnsi" w:cstheme="majorHAnsi"/>
          <w:sz w:val="24"/>
          <w:szCs w:val="24"/>
        </w:rPr>
      </w:pPr>
      <w:r w:rsidRPr="002B45F1">
        <w:rPr>
          <w:rFonts w:asciiTheme="majorHAnsi" w:eastAsia="Arial" w:hAnsiTheme="majorHAnsi" w:cstheme="majorHAnsi"/>
          <w:b/>
          <w:bCs/>
          <w:sz w:val="24"/>
          <w:szCs w:val="24"/>
        </w:rPr>
        <w:t>QUINTO.-</w:t>
      </w:r>
      <w:r w:rsidRPr="002B45F1">
        <w:rPr>
          <w:rFonts w:asciiTheme="majorHAnsi" w:eastAsia="Arial" w:hAnsiTheme="majorHAnsi" w:cstheme="majorHAnsi"/>
          <w:sz w:val="24"/>
          <w:szCs w:val="24"/>
        </w:rPr>
        <w:t xml:space="preserve"> Al momento de realizar las consideraciones para determinar que obligaciones comunes les iban o no aplicar a los sujetos obligados denominados Centro de Conciliación Laboral del Estado de Yucatán y Parque Científico y Tecnológico de Yucatán, advertimos que por ser entidades paraestatales del Poder Ejecutivo del Estado de Yucatán, les resulta aplicable una obligación específica establecida en el inciso G, fracción I del artículo 71 de la </w:t>
      </w:r>
      <w:r w:rsidRPr="002B45F1">
        <w:rPr>
          <w:rFonts w:asciiTheme="majorHAnsi" w:eastAsia="Arial" w:hAnsiTheme="majorHAnsi" w:cstheme="majorHAnsi"/>
          <w:sz w:val="24"/>
          <w:szCs w:val="24"/>
        </w:rPr>
        <w:lastRenderedPageBreak/>
        <w:t>Ley General de Transparencia y Acceso a la Información Pública, siendo ésta “…Las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w:t>
      </w:r>
    </w:p>
    <w:p w14:paraId="673435FF" w14:textId="77777777" w:rsidR="00F24EEB" w:rsidRPr="002B45F1" w:rsidRDefault="00F24EEB" w:rsidP="00F24EEB">
      <w:pPr>
        <w:spacing w:after="0" w:line="240" w:lineRule="auto"/>
        <w:jc w:val="both"/>
        <w:rPr>
          <w:rFonts w:asciiTheme="majorHAnsi" w:eastAsia="Arial" w:hAnsiTheme="majorHAnsi" w:cstheme="majorHAnsi"/>
          <w:sz w:val="24"/>
          <w:szCs w:val="24"/>
        </w:rPr>
      </w:pPr>
    </w:p>
    <w:p w14:paraId="1D3BF56D" w14:textId="2C34B56A" w:rsidR="00867FC2" w:rsidRPr="002B45F1" w:rsidRDefault="00F24EEB" w:rsidP="00F24EEB">
      <w:pPr>
        <w:spacing w:after="0" w:line="240" w:lineRule="auto"/>
        <w:jc w:val="both"/>
        <w:rPr>
          <w:rFonts w:asciiTheme="majorHAnsi" w:eastAsia="Arial" w:hAnsiTheme="majorHAnsi" w:cstheme="majorHAnsi"/>
          <w:sz w:val="24"/>
          <w:szCs w:val="24"/>
        </w:rPr>
      </w:pPr>
      <w:r w:rsidRPr="002B45F1">
        <w:rPr>
          <w:rFonts w:asciiTheme="majorHAnsi" w:eastAsia="Arial" w:hAnsiTheme="majorHAnsi" w:cstheme="majorHAnsi"/>
          <w:sz w:val="24"/>
          <w:szCs w:val="24"/>
        </w:rPr>
        <w:t xml:space="preserve">Con motivo de lo anterior, se determina la aplicabilidad de la obligación específica </w:t>
      </w:r>
      <w:r w:rsidR="007A38F3" w:rsidRPr="002B45F1">
        <w:rPr>
          <w:rFonts w:asciiTheme="majorHAnsi" w:eastAsia="Arial" w:hAnsiTheme="majorHAnsi" w:cstheme="majorHAnsi"/>
          <w:sz w:val="24"/>
          <w:szCs w:val="24"/>
        </w:rPr>
        <w:t>señalada en</w:t>
      </w:r>
      <w:r w:rsidRPr="002B45F1">
        <w:rPr>
          <w:rFonts w:asciiTheme="majorHAnsi" w:eastAsia="Arial" w:hAnsiTheme="majorHAnsi" w:cstheme="majorHAnsi"/>
          <w:sz w:val="24"/>
          <w:szCs w:val="24"/>
        </w:rPr>
        <w:t xml:space="preserve"> el inciso G, fracción I del artículo 71 de la Ley General de Transparencia y Acceso a la Información Pública, para dichos sujetos obligados, toda vez que cuentan con facultades, atribuciones y funciones para generar o poseer la información a la que hace referencia dicho inciso, en términos de sus decretos de creación.</w:t>
      </w:r>
    </w:p>
    <w:p w14:paraId="069EAB6C" w14:textId="77777777" w:rsidR="00F24EEB" w:rsidRPr="002B45F1" w:rsidRDefault="00F24EEB" w:rsidP="00F24EEB">
      <w:pPr>
        <w:spacing w:after="0" w:line="240" w:lineRule="auto"/>
        <w:jc w:val="both"/>
        <w:rPr>
          <w:rFonts w:asciiTheme="majorHAnsi" w:eastAsia="Arial" w:hAnsiTheme="majorHAnsi" w:cstheme="majorHAnsi"/>
          <w:sz w:val="24"/>
          <w:szCs w:val="24"/>
        </w:rPr>
      </w:pPr>
    </w:p>
    <w:p w14:paraId="75F2528F" w14:textId="77777777" w:rsidR="00205B35" w:rsidRPr="002B45F1" w:rsidRDefault="00205B35" w:rsidP="00205B35">
      <w:pPr>
        <w:spacing w:line="240" w:lineRule="auto"/>
        <w:jc w:val="both"/>
        <w:rPr>
          <w:rFonts w:ascii="Calibri Light" w:hAnsi="Calibri Light" w:cs="Calibri Light"/>
          <w:sz w:val="24"/>
          <w:szCs w:val="24"/>
        </w:rPr>
      </w:pPr>
      <w:r w:rsidRPr="002B45F1">
        <w:rPr>
          <w:rFonts w:ascii="Calibri Light" w:hAnsi="Calibri Light" w:cs="Calibri Light"/>
          <w:sz w:val="24"/>
          <w:szCs w:val="24"/>
        </w:rPr>
        <w:t>Por lo anteriormente expuesto y fundado, el Pleno del Instituto Estatal de Transparencia, Acceso a la Información Pública y Protección de Datos Personales, emite el siguiente:</w:t>
      </w:r>
    </w:p>
    <w:p w14:paraId="5A70E5D9" w14:textId="77777777" w:rsidR="00347719" w:rsidRPr="002B45F1" w:rsidRDefault="00347719" w:rsidP="00347719">
      <w:pPr>
        <w:spacing w:line="240" w:lineRule="auto"/>
        <w:jc w:val="center"/>
        <w:rPr>
          <w:rFonts w:ascii="Calibri Light" w:hAnsi="Calibri Light" w:cs="Calibri Light"/>
          <w:sz w:val="24"/>
          <w:szCs w:val="24"/>
        </w:rPr>
      </w:pPr>
      <w:r w:rsidRPr="002B45F1">
        <w:rPr>
          <w:rFonts w:ascii="Calibri Light" w:hAnsi="Calibri Light" w:cs="Calibri Light"/>
          <w:b/>
          <w:spacing w:val="20"/>
          <w:sz w:val="24"/>
          <w:szCs w:val="24"/>
        </w:rPr>
        <w:t>ACUERDO</w:t>
      </w:r>
    </w:p>
    <w:p w14:paraId="382E9810" w14:textId="20E11413" w:rsidR="00347719" w:rsidRPr="002B45F1" w:rsidRDefault="00347719" w:rsidP="00347719">
      <w:pPr>
        <w:spacing w:after="0" w:line="240" w:lineRule="auto"/>
        <w:jc w:val="both"/>
        <w:rPr>
          <w:rFonts w:asciiTheme="majorHAnsi" w:eastAsia="Arial" w:hAnsiTheme="majorHAnsi" w:cstheme="majorHAnsi"/>
          <w:sz w:val="24"/>
          <w:szCs w:val="24"/>
        </w:rPr>
      </w:pPr>
      <w:r w:rsidRPr="002B45F1">
        <w:rPr>
          <w:rFonts w:asciiTheme="majorHAnsi" w:eastAsia="Arial" w:hAnsiTheme="majorHAnsi" w:cstheme="majorHAnsi"/>
          <w:b/>
          <w:sz w:val="24"/>
          <w:szCs w:val="24"/>
        </w:rPr>
        <w:t xml:space="preserve">PRIMERO.- </w:t>
      </w:r>
      <w:r w:rsidRPr="002B45F1">
        <w:rPr>
          <w:rFonts w:asciiTheme="majorHAnsi" w:eastAsia="Arial" w:hAnsiTheme="majorHAnsi" w:cstheme="majorHAnsi"/>
          <w:sz w:val="24"/>
          <w:szCs w:val="24"/>
        </w:rPr>
        <w:t>Se autoriza por unanimidad</w:t>
      </w:r>
      <w:r w:rsidR="00B43B61" w:rsidRPr="002B45F1">
        <w:rPr>
          <w:rFonts w:asciiTheme="majorHAnsi" w:eastAsia="Arial" w:hAnsiTheme="majorHAnsi" w:cstheme="majorHAnsi"/>
          <w:sz w:val="24"/>
          <w:szCs w:val="24"/>
        </w:rPr>
        <w:t xml:space="preserve"> </w:t>
      </w:r>
      <w:r w:rsidRPr="002B45F1">
        <w:rPr>
          <w:rFonts w:asciiTheme="majorHAnsi" w:eastAsia="Arial" w:hAnsiTheme="majorHAnsi" w:cstheme="majorHAnsi"/>
          <w:sz w:val="24"/>
          <w:szCs w:val="24"/>
        </w:rPr>
        <w:t xml:space="preserve">de votos del Pleno, el Acuerdo de las tablas de aplicabilidad de las obligaciones de transparencia comunes y específica del </w:t>
      </w:r>
      <w:bookmarkStart w:id="1" w:name="_Hlk150753587"/>
      <w:r w:rsidRPr="002B45F1">
        <w:rPr>
          <w:rFonts w:asciiTheme="majorHAnsi" w:eastAsia="Arial" w:hAnsiTheme="majorHAnsi" w:cstheme="majorHAnsi"/>
          <w:sz w:val="24"/>
          <w:szCs w:val="24"/>
        </w:rPr>
        <w:t>Centro de Conciliación Laboral del Estado de Yucatán y del Parque Científico y Tecnológico de Yucatán</w:t>
      </w:r>
      <w:bookmarkEnd w:id="1"/>
      <w:r w:rsidRPr="002B45F1">
        <w:rPr>
          <w:rFonts w:asciiTheme="majorHAnsi" w:eastAsia="Arial" w:hAnsiTheme="majorHAnsi" w:cstheme="majorHAnsi"/>
          <w:sz w:val="24"/>
          <w:szCs w:val="24"/>
        </w:rPr>
        <w:t xml:space="preserve">, de conformidad con lo señalado en los considerandos cuarto y quinto, siendo los  votos a favor </w:t>
      </w:r>
      <w:r w:rsidR="00B43B61" w:rsidRPr="002B45F1">
        <w:rPr>
          <w:rFonts w:asciiTheme="majorHAnsi" w:eastAsia="Arial" w:hAnsiTheme="majorHAnsi" w:cstheme="majorHAnsi"/>
          <w:sz w:val="24"/>
          <w:szCs w:val="24"/>
        </w:rPr>
        <w:t xml:space="preserve">el de la Maestra María Gilda Segovia Chab y </w:t>
      </w:r>
      <w:r w:rsidR="00AA0C09" w:rsidRPr="002B45F1">
        <w:rPr>
          <w:rFonts w:asciiTheme="majorHAnsi" w:eastAsia="Arial" w:hAnsiTheme="majorHAnsi" w:cstheme="majorHAnsi"/>
          <w:sz w:val="24"/>
          <w:szCs w:val="24"/>
        </w:rPr>
        <w:t xml:space="preserve">el de </w:t>
      </w:r>
      <w:r w:rsidR="00B43B61" w:rsidRPr="002B45F1">
        <w:rPr>
          <w:rFonts w:asciiTheme="majorHAnsi" w:eastAsia="Arial" w:hAnsiTheme="majorHAnsi" w:cstheme="majorHAnsi"/>
          <w:sz w:val="24"/>
          <w:szCs w:val="24"/>
        </w:rPr>
        <w:t>los Doctores en Derecho, Aldrin Martin Briceño Conrado y Carlos Fernando Pavón Durán, Comisionada Presidenta y Comisionados.</w:t>
      </w:r>
    </w:p>
    <w:p w14:paraId="6E8C7CAB" w14:textId="77777777" w:rsidR="00347719" w:rsidRPr="002B45F1" w:rsidRDefault="00347719" w:rsidP="00347719">
      <w:pPr>
        <w:spacing w:after="0" w:line="240" w:lineRule="auto"/>
        <w:jc w:val="both"/>
        <w:rPr>
          <w:rFonts w:asciiTheme="majorHAnsi" w:eastAsia="Arial" w:hAnsiTheme="majorHAnsi" w:cstheme="majorHAnsi"/>
          <w:sz w:val="24"/>
          <w:szCs w:val="24"/>
        </w:rPr>
      </w:pPr>
    </w:p>
    <w:p w14:paraId="1E97AAAD" w14:textId="63766849" w:rsidR="00347719" w:rsidRPr="002B45F1" w:rsidRDefault="00347719" w:rsidP="00347719">
      <w:pPr>
        <w:spacing w:after="0" w:line="240" w:lineRule="auto"/>
        <w:jc w:val="both"/>
        <w:rPr>
          <w:rFonts w:asciiTheme="majorHAnsi" w:eastAsia="Arial" w:hAnsiTheme="majorHAnsi" w:cstheme="majorHAnsi"/>
          <w:sz w:val="24"/>
          <w:szCs w:val="24"/>
        </w:rPr>
      </w:pPr>
      <w:r w:rsidRPr="002B45F1">
        <w:rPr>
          <w:rFonts w:asciiTheme="majorHAnsi" w:eastAsia="Arial" w:hAnsiTheme="majorHAnsi" w:cstheme="majorHAnsi"/>
          <w:b/>
          <w:bCs/>
          <w:sz w:val="24"/>
          <w:szCs w:val="24"/>
        </w:rPr>
        <w:t>SEGUNDO</w:t>
      </w:r>
      <w:r w:rsidRPr="002B45F1">
        <w:rPr>
          <w:rFonts w:asciiTheme="majorHAnsi" w:eastAsia="Arial" w:hAnsiTheme="majorHAnsi" w:cstheme="majorHAnsi"/>
          <w:sz w:val="24"/>
          <w:szCs w:val="24"/>
        </w:rPr>
        <w:t>.- Se ordena por unanimidad de votos del Pleno, al Centro de Conciliación Laboral del Estado de Yucatán y al Parque Científico y Tecnológico de Yucatán, modificar o en su caso elaborar su tabla de aplicabilidad de las obligaciones de transparencia comunes</w:t>
      </w:r>
      <w:r w:rsidR="007A38F3" w:rsidRPr="002B45F1">
        <w:rPr>
          <w:rFonts w:asciiTheme="majorHAnsi" w:eastAsia="Arial" w:hAnsiTheme="majorHAnsi" w:cstheme="majorHAnsi"/>
          <w:sz w:val="24"/>
          <w:szCs w:val="24"/>
        </w:rPr>
        <w:t xml:space="preserve"> y específica</w:t>
      </w:r>
      <w:r w:rsidRPr="002B45F1">
        <w:rPr>
          <w:rFonts w:asciiTheme="majorHAnsi" w:eastAsia="Arial" w:hAnsiTheme="majorHAnsi" w:cstheme="majorHAnsi"/>
          <w:sz w:val="24"/>
          <w:szCs w:val="24"/>
        </w:rPr>
        <w:t xml:space="preserve"> de conformidad con lo señalado en </w:t>
      </w:r>
      <w:r w:rsidR="007A38F3" w:rsidRPr="002B45F1">
        <w:rPr>
          <w:rFonts w:asciiTheme="majorHAnsi" w:eastAsia="Arial" w:hAnsiTheme="majorHAnsi" w:cstheme="majorHAnsi"/>
          <w:sz w:val="24"/>
          <w:szCs w:val="24"/>
        </w:rPr>
        <w:t>los</w:t>
      </w:r>
      <w:r w:rsidRPr="002B45F1">
        <w:rPr>
          <w:rFonts w:asciiTheme="majorHAnsi" w:eastAsia="Arial" w:hAnsiTheme="majorHAnsi" w:cstheme="majorHAnsi"/>
          <w:sz w:val="24"/>
          <w:szCs w:val="24"/>
        </w:rPr>
        <w:t xml:space="preserve"> considerando</w:t>
      </w:r>
      <w:r w:rsidR="007A38F3" w:rsidRPr="002B45F1">
        <w:rPr>
          <w:rFonts w:asciiTheme="majorHAnsi" w:eastAsia="Arial" w:hAnsiTheme="majorHAnsi" w:cstheme="majorHAnsi"/>
          <w:sz w:val="24"/>
          <w:szCs w:val="24"/>
        </w:rPr>
        <w:t>s</w:t>
      </w:r>
      <w:r w:rsidRPr="002B45F1">
        <w:rPr>
          <w:rFonts w:asciiTheme="majorHAnsi" w:eastAsia="Arial" w:hAnsiTheme="majorHAnsi" w:cstheme="majorHAnsi"/>
          <w:sz w:val="24"/>
          <w:szCs w:val="24"/>
        </w:rPr>
        <w:t xml:space="preserve"> cuarto</w:t>
      </w:r>
      <w:r w:rsidR="007A38F3" w:rsidRPr="002B45F1">
        <w:rPr>
          <w:rFonts w:asciiTheme="majorHAnsi" w:eastAsia="Arial" w:hAnsiTheme="majorHAnsi" w:cstheme="majorHAnsi"/>
          <w:sz w:val="24"/>
          <w:szCs w:val="24"/>
        </w:rPr>
        <w:t xml:space="preserve"> y quinto</w:t>
      </w:r>
      <w:r w:rsidRPr="002B45F1">
        <w:rPr>
          <w:rFonts w:asciiTheme="majorHAnsi" w:eastAsia="Arial" w:hAnsiTheme="majorHAnsi" w:cstheme="majorHAnsi"/>
          <w:sz w:val="24"/>
          <w:szCs w:val="24"/>
        </w:rPr>
        <w:t xml:space="preserve">, siendo los  votos a favor </w:t>
      </w:r>
      <w:r w:rsidR="00B43B61" w:rsidRPr="002B45F1">
        <w:rPr>
          <w:rFonts w:asciiTheme="majorHAnsi" w:eastAsia="Arial" w:hAnsiTheme="majorHAnsi" w:cstheme="majorHAnsi"/>
          <w:sz w:val="24"/>
          <w:szCs w:val="24"/>
        </w:rPr>
        <w:t xml:space="preserve">el de la Maestra María Gilda Segovia Chab y </w:t>
      </w:r>
      <w:r w:rsidR="00AA0C09" w:rsidRPr="002B45F1">
        <w:rPr>
          <w:rFonts w:asciiTheme="majorHAnsi" w:eastAsia="Arial" w:hAnsiTheme="majorHAnsi" w:cstheme="majorHAnsi"/>
          <w:sz w:val="24"/>
          <w:szCs w:val="24"/>
        </w:rPr>
        <w:t xml:space="preserve">el de </w:t>
      </w:r>
      <w:r w:rsidR="00B43B61" w:rsidRPr="002B45F1">
        <w:rPr>
          <w:rFonts w:asciiTheme="majorHAnsi" w:eastAsia="Arial" w:hAnsiTheme="majorHAnsi" w:cstheme="majorHAnsi"/>
          <w:sz w:val="24"/>
          <w:szCs w:val="24"/>
        </w:rPr>
        <w:t>los Doctores en Derecho, Aldrin Martin Briceño Conrado y Carlos Fernando Pavón Durán, Comisionada Presidenta y Comisionados.</w:t>
      </w:r>
    </w:p>
    <w:p w14:paraId="3B7B80BF" w14:textId="77777777" w:rsidR="00347719" w:rsidRPr="002B45F1" w:rsidRDefault="00347719" w:rsidP="00347719">
      <w:pPr>
        <w:spacing w:after="0" w:line="240" w:lineRule="auto"/>
        <w:jc w:val="both"/>
        <w:rPr>
          <w:rFonts w:asciiTheme="majorHAnsi" w:eastAsia="Arial" w:hAnsiTheme="majorHAnsi" w:cstheme="majorHAnsi"/>
          <w:sz w:val="24"/>
          <w:szCs w:val="24"/>
        </w:rPr>
      </w:pPr>
    </w:p>
    <w:p w14:paraId="0C06E752" w14:textId="0DE1B783" w:rsidR="00347719" w:rsidRPr="002B45F1" w:rsidRDefault="00347719" w:rsidP="00347719">
      <w:pPr>
        <w:spacing w:after="0" w:line="240" w:lineRule="auto"/>
        <w:jc w:val="both"/>
        <w:rPr>
          <w:rFonts w:asciiTheme="majorHAnsi" w:eastAsia="Arial" w:hAnsiTheme="majorHAnsi" w:cstheme="majorHAnsi"/>
          <w:sz w:val="24"/>
          <w:szCs w:val="24"/>
        </w:rPr>
      </w:pPr>
      <w:r w:rsidRPr="002B45F1">
        <w:rPr>
          <w:rFonts w:asciiTheme="majorHAnsi" w:eastAsia="Arial" w:hAnsiTheme="majorHAnsi" w:cstheme="majorHAnsi"/>
          <w:b/>
          <w:sz w:val="24"/>
          <w:szCs w:val="24"/>
        </w:rPr>
        <w:t xml:space="preserve">TERCERO.- </w:t>
      </w:r>
      <w:r w:rsidRPr="002B45F1">
        <w:rPr>
          <w:rFonts w:asciiTheme="majorHAnsi" w:eastAsia="Arial" w:hAnsiTheme="majorHAnsi" w:cstheme="majorHAnsi"/>
          <w:sz w:val="24"/>
          <w:szCs w:val="24"/>
        </w:rPr>
        <w:t>Se instruye a la Dirección de Asuntos Jurídicos y Plenarios del Instituto Estatal de Transparencia, Acceso a la Información Pública y Protección de Datos Personales, notifique al Centro de Conciliación Laboral del Estado de Yucatán y al Parque Científico y Tecnológico de Yucatán, a través de sus Unidades de Transparencia, el acuerdo que hoy nos ocupa</w:t>
      </w:r>
      <w:r w:rsidRPr="002B45F1">
        <w:rPr>
          <w:rFonts w:asciiTheme="majorHAnsi" w:hAnsiTheme="majorHAnsi" w:cstheme="majorHAnsi"/>
          <w:sz w:val="24"/>
          <w:szCs w:val="24"/>
        </w:rPr>
        <w:t>.</w:t>
      </w:r>
    </w:p>
    <w:p w14:paraId="7FE4F6A6" w14:textId="77777777" w:rsidR="00347719" w:rsidRPr="002B45F1" w:rsidRDefault="00347719" w:rsidP="00347719">
      <w:pPr>
        <w:spacing w:after="0" w:line="240" w:lineRule="auto"/>
        <w:jc w:val="both"/>
        <w:rPr>
          <w:rFonts w:asciiTheme="majorHAnsi" w:eastAsia="Arial" w:hAnsiTheme="majorHAnsi" w:cstheme="majorHAnsi"/>
          <w:b/>
          <w:sz w:val="24"/>
          <w:szCs w:val="24"/>
        </w:rPr>
      </w:pPr>
    </w:p>
    <w:p w14:paraId="0DD7318C" w14:textId="77777777" w:rsidR="00347719" w:rsidRPr="002B45F1" w:rsidRDefault="00347719" w:rsidP="00347719">
      <w:pPr>
        <w:spacing w:after="0" w:line="240" w:lineRule="auto"/>
        <w:jc w:val="both"/>
        <w:rPr>
          <w:rFonts w:ascii="Calibri Light" w:hAnsi="Calibri Light" w:cs="Calibri Light"/>
          <w:sz w:val="24"/>
          <w:szCs w:val="24"/>
        </w:rPr>
      </w:pPr>
      <w:r w:rsidRPr="002B45F1">
        <w:rPr>
          <w:rFonts w:asciiTheme="majorHAnsi" w:eastAsia="Arial" w:hAnsiTheme="majorHAnsi" w:cstheme="majorHAnsi"/>
          <w:b/>
          <w:sz w:val="24"/>
          <w:szCs w:val="24"/>
        </w:rPr>
        <w:t xml:space="preserve">CUARTO.- </w:t>
      </w:r>
      <w:r w:rsidRPr="002B45F1">
        <w:rPr>
          <w:rFonts w:ascii="Calibri Light" w:hAnsi="Calibri Light" w:cs="Calibri Light"/>
          <w:b/>
          <w:sz w:val="24"/>
          <w:szCs w:val="24"/>
        </w:rPr>
        <w:t xml:space="preserve"> </w:t>
      </w:r>
      <w:r w:rsidRPr="002B45F1">
        <w:rPr>
          <w:rFonts w:ascii="Calibri Light" w:hAnsi="Calibri Light" w:cs="Calibri Light"/>
          <w:sz w:val="24"/>
          <w:szCs w:val="24"/>
        </w:rPr>
        <w:t>Se instruye a la Dirección de Asuntos Jurídicos y Plenarios</w:t>
      </w:r>
      <w:r w:rsidRPr="002B45F1">
        <w:rPr>
          <w:rFonts w:ascii="Calibri Light" w:hAnsi="Calibri Light" w:cs="Calibri Light"/>
          <w:b/>
          <w:sz w:val="24"/>
          <w:szCs w:val="24"/>
        </w:rPr>
        <w:t xml:space="preserve"> </w:t>
      </w:r>
      <w:r w:rsidRPr="002B45F1">
        <w:rPr>
          <w:rFonts w:ascii="Calibri Light" w:hAnsi="Calibri Light" w:cs="Calibri Light"/>
          <w:sz w:val="24"/>
          <w:szCs w:val="24"/>
        </w:rPr>
        <w:t xml:space="preserve">para que notifique a la Dirección de Medios de Impugnación, Obligaciones de Transparencia y Datos Personales del </w:t>
      </w:r>
      <w:r w:rsidRPr="002B45F1">
        <w:rPr>
          <w:rFonts w:ascii="Calibri Light" w:hAnsi="Calibri Light" w:cs="Calibri Light"/>
          <w:sz w:val="24"/>
          <w:szCs w:val="24"/>
        </w:rPr>
        <w:lastRenderedPageBreak/>
        <w:t>Instituto Estatal de Transparencia, Acceso a la Información Pública y Protección de Datos Personales, lo aquí acordado.</w:t>
      </w:r>
    </w:p>
    <w:p w14:paraId="1394896D" w14:textId="77777777" w:rsidR="00347719" w:rsidRPr="002B45F1" w:rsidRDefault="00347719" w:rsidP="00347719">
      <w:pPr>
        <w:spacing w:after="0" w:line="240" w:lineRule="auto"/>
        <w:jc w:val="both"/>
        <w:rPr>
          <w:rFonts w:ascii="Calibri Light" w:hAnsi="Calibri Light" w:cs="Calibri Light"/>
          <w:sz w:val="24"/>
          <w:szCs w:val="24"/>
        </w:rPr>
      </w:pPr>
    </w:p>
    <w:p w14:paraId="4468CB9A" w14:textId="77777777" w:rsidR="00347719" w:rsidRPr="002B45F1" w:rsidRDefault="00347719" w:rsidP="00347719">
      <w:pPr>
        <w:spacing w:after="0" w:line="240" w:lineRule="auto"/>
        <w:jc w:val="both"/>
        <w:rPr>
          <w:rFonts w:asciiTheme="majorHAnsi" w:eastAsia="Arial" w:hAnsiTheme="majorHAnsi" w:cstheme="majorHAnsi"/>
          <w:sz w:val="24"/>
          <w:szCs w:val="24"/>
        </w:rPr>
      </w:pPr>
      <w:r w:rsidRPr="002B45F1">
        <w:rPr>
          <w:rFonts w:asciiTheme="majorHAnsi" w:eastAsia="Arial" w:hAnsiTheme="majorHAnsi" w:cstheme="majorHAnsi"/>
          <w:b/>
          <w:sz w:val="24"/>
          <w:szCs w:val="24"/>
        </w:rPr>
        <w:t xml:space="preserve">QUINTO.- </w:t>
      </w:r>
      <w:r w:rsidRPr="002B45F1">
        <w:rPr>
          <w:rFonts w:asciiTheme="majorHAnsi" w:eastAsia="Arial" w:hAnsiTheme="majorHAnsi" w:cstheme="majorHAnsi"/>
          <w:sz w:val="24"/>
          <w:szCs w:val="24"/>
        </w:rPr>
        <w:t>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0D9592A0" w14:textId="77777777" w:rsidR="00205B35" w:rsidRPr="002B45F1" w:rsidRDefault="00205B35" w:rsidP="00205B35">
      <w:pPr>
        <w:spacing w:after="0" w:line="240" w:lineRule="auto"/>
        <w:jc w:val="both"/>
        <w:rPr>
          <w:rFonts w:asciiTheme="majorHAnsi" w:eastAsia="Arial" w:hAnsiTheme="majorHAnsi" w:cstheme="majorHAnsi"/>
          <w:sz w:val="24"/>
          <w:szCs w:val="24"/>
        </w:rPr>
      </w:pPr>
    </w:p>
    <w:p w14:paraId="3E26CCE1" w14:textId="77777777" w:rsidR="00205B35" w:rsidRPr="002B45F1" w:rsidRDefault="00205B35" w:rsidP="00205B35">
      <w:pPr>
        <w:spacing w:after="0" w:line="240" w:lineRule="auto"/>
        <w:jc w:val="both"/>
        <w:rPr>
          <w:rFonts w:asciiTheme="majorHAnsi" w:eastAsia="Arial" w:hAnsiTheme="majorHAnsi" w:cstheme="majorHAnsi"/>
          <w:sz w:val="24"/>
          <w:szCs w:val="24"/>
        </w:rPr>
      </w:pPr>
    </w:p>
    <w:p w14:paraId="718EBBE3" w14:textId="77777777" w:rsidR="00205B35" w:rsidRDefault="00205B35" w:rsidP="00205B35">
      <w:pPr>
        <w:spacing w:after="0" w:line="240" w:lineRule="auto"/>
        <w:jc w:val="both"/>
        <w:rPr>
          <w:rFonts w:asciiTheme="majorHAnsi" w:eastAsia="Arial" w:hAnsiTheme="majorHAnsi" w:cstheme="majorHAnsi"/>
          <w:sz w:val="24"/>
          <w:szCs w:val="24"/>
        </w:rPr>
      </w:pPr>
    </w:p>
    <w:p w14:paraId="3E9E1E1B" w14:textId="3975DDC8" w:rsidR="00650C1B" w:rsidRDefault="00650C1B" w:rsidP="00205B35">
      <w:pPr>
        <w:spacing w:after="0" w:line="240" w:lineRule="auto"/>
        <w:jc w:val="both"/>
        <w:rPr>
          <w:rFonts w:asciiTheme="majorHAnsi" w:eastAsia="Arial" w:hAnsiTheme="majorHAnsi" w:cstheme="majorHAnsi"/>
          <w:sz w:val="24"/>
          <w:szCs w:val="24"/>
        </w:rPr>
      </w:pPr>
    </w:p>
    <w:p w14:paraId="5762E1C4" w14:textId="77777777" w:rsidR="00650C1B" w:rsidRDefault="00650C1B" w:rsidP="00205B35">
      <w:pPr>
        <w:spacing w:after="0" w:line="240" w:lineRule="auto"/>
        <w:jc w:val="both"/>
        <w:rPr>
          <w:rFonts w:asciiTheme="majorHAnsi" w:eastAsia="Arial" w:hAnsiTheme="majorHAnsi" w:cstheme="majorHAnsi"/>
          <w:sz w:val="24"/>
          <w:szCs w:val="24"/>
        </w:rPr>
      </w:pPr>
    </w:p>
    <w:p w14:paraId="3DC265D1" w14:textId="77777777" w:rsidR="00650C1B" w:rsidRDefault="00650C1B" w:rsidP="00205B35">
      <w:pPr>
        <w:spacing w:after="0" w:line="240" w:lineRule="auto"/>
        <w:jc w:val="both"/>
        <w:rPr>
          <w:rFonts w:asciiTheme="majorHAnsi" w:eastAsia="Arial" w:hAnsiTheme="majorHAnsi" w:cstheme="majorHAnsi"/>
          <w:sz w:val="24"/>
          <w:szCs w:val="24"/>
        </w:rPr>
      </w:pPr>
    </w:p>
    <w:p w14:paraId="672E8CD6" w14:textId="77777777" w:rsidR="00650C1B" w:rsidRPr="002B45F1" w:rsidRDefault="00650C1B" w:rsidP="00205B35">
      <w:pPr>
        <w:spacing w:after="0" w:line="240" w:lineRule="auto"/>
        <w:jc w:val="both"/>
        <w:rPr>
          <w:rFonts w:asciiTheme="majorHAnsi" w:eastAsia="Arial" w:hAnsiTheme="majorHAnsi" w:cstheme="majorHAnsi"/>
          <w:sz w:val="24"/>
          <w:szCs w:val="24"/>
        </w:rPr>
      </w:pPr>
    </w:p>
    <w:p w14:paraId="0BCADFBD" w14:textId="77777777" w:rsidR="00205B35" w:rsidRPr="002B45F1" w:rsidRDefault="00205B35" w:rsidP="00205B35">
      <w:pPr>
        <w:spacing w:after="0" w:line="240" w:lineRule="auto"/>
        <w:jc w:val="both"/>
        <w:rPr>
          <w:rFonts w:asciiTheme="majorHAnsi" w:eastAsia="Arial" w:hAnsiTheme="majorHAnsi" w:cstheme="majorHAnsi"/>
          <w:sz w:val="24"/>
          <w:szCs w:val="24"/>
        </w:rPr>
      </w:pPr>
    </w:p>
    <w:p w14:paraId="00F61B46" w14:textId="215D2C11" w:rsidR="00205B35" w:rsidRDefault="00C50EA3" w:rsidP="00C50EA3">
      <w:pPr>
        <w:spacing w:after="0" w:line="240" w:lineRule="auto"/>
        <w:jc w:val="center"/>
        <w:rPr>
          <w:rFonts w:asciiTheme="majorHAnsi" w:eastAsia="Arial" w:hAnsiTheme="majorHAnsi" w:cstheme="majorHAnsi"/>
          <w:sz w:val="24"/>
          <w:szCs w:val="24"/>
        </w:rPr>
      </w:pPr>
      <w:r>
        <w:rPr>
          <w:rFonts w:asciiTheme="majorHAnsi" w:eastAsia="Arial" w:hAnsiTheme="majorHAnsi" w:cstheme="majorHAnsi"/>
          <w:sz w:val="24"/>
          <w:szCs w:val="24"/>
        </w:rPr>
        <w:t>(</w:t>
      </w:r>
      <w:r w:rsidRPr="00C50EA3">
        <w:rPr>
          <w:rFonts w:asciiTheme="majorHAnsi" w:eastAsia="Arial" w:hAnsiTheme="majorHAnsi" w:cstheme="majorHAnsi"/>
          <w:b/>
          <w:bCs/>
          <w:sz w:val="24"/>
          <w:szCs w:val="24"/>
        </w:rPr>
        <w:t>RÚBRICA</w:t>
      </w:r>
      <w:r>
        <w:rPr>
          <w:rFonts w:asciiTheme="majorHAnsi" w:eastAsia="Arial" w:hAnsiTheme="majorHAnsi" w:cstheme="majorHAnsi"/>
          <w:sz w:val="24"/>
          <w:szCs w:val="24"/>
        </w:rPr>
        <w:t>)</w:t>
      </w:r>
    </w:p>
    <w:p w14:paraId="03681EF0" w14:textId="77777777" w:rsidR="00C50EA3" w:rsidRPr="002B45F1" w:rsidRDefault="00C50EA3" w:rsidP="00C50EA3">
      <w:pPr>
        <w:spacing w:after="0" w:line="240" w:lineRule="auto"/>
        <w:jc w:val="center"/>
        <w:rPr>
          <w:rFonts w:asciiTheme="majorHAnsi" w:eastAsia="Arial" w:hAnsiTheme="majorHAnsi" w:cstheme="majorHAnsi"/>
          <w:sz w:val="24"/>
          <w:szCs w:val="24"/>
        </w:rPr>
      </w:pPr>
    </w:p>
    <w:tbl>
      <w:tblPr>
        <w:tblW w:w="10041" w:type="dxa"/>
        <w:tblInd w:w="-593" w:type="dxa"/>
        <w:tblLook w:val="04A0" w:firstRow="1" w:lastRow="0" w:firstColumn="1" w:lastColumn="0" w:noHBand="0" w:noVBand="1"/>
      </w:tblPr>
      <w:tblGrid>
        <w:gridCol w:w="5020"/>
        <w:gridCol w:w="5021"/>
      </w:tblGrid>
      <w:tr w:rsidR="00205B35" w:rsidRPr="002B45F1" w14:paraId="5C1B9DF7" w14:textId="77777777" w:rsidTr="00E708D4">
        <w:trPr>
          <w:trHeight w:val="859"/>
        </w:trPr>
        <w:tc>
          <w:tcPr>
            <w:tcW w:w="10041" w:type="dxa"/>
            <w:gridSpan w:val="2"/>
            <w:hideMark/>
          </w:tcPr>
          <w:p w14:paraId="7C80F616" w14:textId="77777777" w:rsidR="00205B35" w:rsidRPr="002B45F1" w:rsidRDefault="00205B35" w:rsidP="00E708D4">
            <w:pPr>
              <w:pStyle w:val="Sinespaciado"/>
              <w:jc w:val="center"/>
              <w:rPr>
                <w:rFonts w:ascii="Calibri Light" w:hAnsi="Calibri Light" w:cs="Calibri Light"/>
                <w:b/>
                <w:sz w:val="24"/>
                <w:szCs w:val="24"/>
              </w:rPr>
            </w:pPr>
            <w:r w:rsidRPr="002B45F1">
              <w:rPr>
                <w:rFonts w:ascii="Calibri Light" w:hAnsi="Calibri Light" w:cs="Calibri Light"/>
                <w:b/>
                <w:sz w:val="24"/>
                <w:szCs w:val="24"/>
              </w:rPr>
              <w:t>MTRA. MARÍA GILDA SEGOVIA CHAB</w:t>
            </w:r>
          </w:p>
          <w:p w14:paraId="7A6DA9E5" w14:textId="77777777" w:rsidR="00205B35" w:rsidRPr="002B45F1" w:rsidRDefault="00205B35" w:rsidP="00E708D4">
            <w:pPr>
              <w:pStyle w:val="Sinespaciado"/>
              <w:jc w:val="center"/>
              <w:rPr>
                <w:rFonts w:ascii="Calibri Light" w:hAnsi="Calibri Light" w:cs="Calibri Light"/>
                <w:b/>
                <w:sz w:val="24"/>
                <w:szCs w:val="24"/>
              </w:rPr>
            </w:pPr>
            <w:r w:rsidRPr="002B45F1">
              <w:rPr>
                <w:rFonts w:ascii="Calibri Light" w:hAnsi="Calibri Light" w:cs="Calibri Light"/>
                <w:b/>
                <w:sz w:val="24"/>
                <w:szCs w:val="24"/>
              </w:rPr>
              <w:t>COMISIONADA PRESIDENTA</w:t>
            </w:r>
          </w:p>
        </w:tc>
      </w:tr>
      <w:tr w:rsidR="00205B35" w:rsidRPr="002B45F1" w14:paraId="4A0EE361" w14:textId="77777777" w:rsidTr="00E708D4">
        <w:trPr>
          <w:trHeight w:val="859"/>
        </w:trPr>
        <w:tc>
          <w:tcPr>
            <w:tcW w:w="5020" w:type="dxa"/>
          </w:tcPr>
          <w:p w14:paraId="2A87FC9A" w14:textId="77777777" w:rsidR="00205B35" w:rsidRPr="002B45F1" w:rsidRDefault="00205B35" w:rsidP="00E708D4">
            <w:pPr>
              <w:pStyle w:val="Sinespaciado"/>
              <w:jc w:val="center"/>
              <w:rPr>
                <w:rFonts w:ascii="Calibri Light" w:hAnsi="Calibri Light" w:cs="Times New Roman"/>
                <w:b/>
                <w:sz w:val="24"/>
                <w:szCs w:val="24"/>
              </w:rPr>
            </w:pPr>
          </w:p>
          <w:p w14:paraId="3DF25AB1" w14:textId="77777777" w:rsidR="00205B35" w:rsidRPr="002B45F1" w:rsidRDefault="00205B35" w:rsidP="00E708D4">
            <w:pPr>
              <w:pStyle w:val="Sinespaciado"/>
              <w:jc w:val="center"/>
              <w:rPr>
                <w:rFonts w:ascii="Calibri Light" w:hAnsi="Calibri Light"/>
                <w:b/>
                <w:sz w:val="24"/>
                <w:szCs w:val="24"/>
              </w:rPr>
            </w:pPr>
          </w:p>
          <w:p w14:paraId="158DFB5D" w14:textId="77777777" w:rsidR="00205B35" w:rsidRPr="002B45F1" w:rsidRDefault="00205B35" w:rsidP="00E708D4">
            <w:pPr>
              <w:pStyle w:val="Sinespaciado"/>
              <w:jc w:val="center"/>
              <w:rPr>
                <w:rFonts w:ascii="Calibri Light" w:hAnsi="Calibri Light"/>
                <w:b/>
                <w:sz w:val="24"/>
                <w:szCs w:val="24"/>
              </w:rPr>
            </w:pPr>
          </w:p>
          <w:p w14:paraId="02F0E812" w14:textId="77777777" w:rsidR="00205B35" w:rsidRPr="002B45F1" w:rsidRDefault="00205B35" w:rsidP="00E708D4">
            <w:pPr>
              <w:pStyle w:val="Sinespaciado"/>
              <w:jc w:val="center"/>
              <w:rPr>
                <w:rFonts w:ascii="Calibri Light" w:hAnsi="Calibri Light"/>
                <w:b/>
                <w:sz w:val="24"/>
                <w:szCs w:val="24"/>
              </w:rPr>
            </w:pPr>
          </w:p>
          <w:p w14:paraId="6F03A060" w14:textId="77777777" w:rsidR="00205B35" w:rsidRDefault="00205B35" w:rsidP="00E708D4">
            <w:pPr>
              <w:pStyle w:val="Sinespaciado"/>
              <w:jc w:val="center"/>
              <w:rPr>
                <w:rFonts w:ascii="Calibri Light" w:hAnsi="Calibri Light"/>
                <w:b/>
                <w:sz w:val="24"/>
                <w:szCs w:val="24"/>
              </w:rPr>
            </w:pPr>
          </w:p>
          <w:p w14:paraId="7E158491" w14:textId="77777777" w:rsidR="00650C1B" w:rsidRDefault="00650C1B" w:rsidP="00E708D4">
            <w:pPr>
              <w:pStyle w:val="Sinespaciado"/>
              <w:jc w:val="center"/>
              <w:rPr>
                <w:rFonts w:ascii="Calibri Light" w:hAnsi="Calibri Light"/>
                <w:b/>
                <w:sz w:val="24"/>
                <w:szCs w:val="24"/>
              </w:rPr>
            </w:pPr>
          </w:p>
          <w:p w14:paraId="7D30AEEE" w14:textId="77777777" w:rsidR="00650C1B" w:rsidRDefault="00650C1B" w:rsidP="00E708D4">
            <w:pPr>
              <w:pStyle w:val="Sinespaciado"/>
              <w:jc w:val="center"/>
              <w:rPr>
                <w:rFonts w:ascii="Calibri Light" w:hAnsi="Calibri Light"/>
                <w:b/>
                <w:sz w:val="24"/>
                <w:szCs w:val="24"/>
              </w:rPr>
            </w:pPr>
          </w:p>
          <w:p w14:paraId="3F68F1FD" w14:textId="77777777" w:rsidR="00650C1B" w:rsidRPr="002B45F1" w:rsidRDefault="00650C1B" w:rsidP="00E708D4">
            <w:pPr>
              <w:pStyle w:val="Sinespaciado"/>
              <w:jc w:val="center"/>
              <w:rPr>
                <w:rFonts w:ascii="Calibri Light" w:hAnsi="Calibri Light"/>
                <w:b/>
                <w:sz w:val="24"/>
                <w:szCs w:val="24"/>
              </w:rPr>
            </w:pPr>
          </w:p>
          <w:p w14:paraId="792C78A9" w14:textId="77777777" w:rsidR="00205B35" w:rsidRPr="002B45F1" w:rsidRDefault="00205B35" w:rsidP="00E708D4">
            <w:pPr>
              <w:pStyle w:val="Sinespaciado"/>
              <w:jc w:val="center"/>
              <w:rPr>
                <w:rFonts w:ascii="Calibri Light" w:hAnsi="Calibri Light"/>
                <w:b/>
                <w:sz w:val="24"/>
                <w:szCs w:val="24"/>
              </w:rPr>
            </w:pPr>
          </w:p>
          <w:p w14:paraId="3A1DF0FE" w14:textId="77777777" w:rsidR="00205B35" w:rsidRPr="002B45F1" w:rsidRDefault="00205B35" w:rsidP="00E708D4">
            <w:pPr>
              <w:pStyle w:val="Sinespaciado"/>
              <w:rPr>
                <w:rFonts w:ascii="Calibri Light" w:hAnsi="Calibri Light"/>
                <w:b/>
                <w:sz w:val="24"/>
                <w:szCs w:val="24"/>
              </w:rPr>
            </w:pPr>
          </w:p>
          <w:p w14:paraId="21FE3B0B" w14:textId="77777777" w:rsidR="00C50EA3" w:rsidRDefault="00C50EA3" w:rsidP="00C50EA3">
            <w:pPr>
              <w:spacing w:after="0" w:line="240" w:lineRule="auto"/>
              <w:jc w:val="center"/>
              <w:rPr>
                <w:rFonts w:asciiTheme="majorHAnsi" w:eastAsia="Arial" w:hAnsiTheme="majorHAnsi" w:cstheme="majorHAnsi"/>
                <w:sz w:val="24"/>
                <w:szCs w:val="24"/>
              </w:rPr>
            </w:pPr>
            <w:r>
              <w:rPr>
                <w:rFonts w:asciiTheme="majorHAnsi" w:eastAsia="Arial" w:hAnsiTheme="majorHAnsi" w:cstheme="majorHAnsi"/>
                <w:sz w:val="24"/>
                <w:szCs w:val="24"/>
              </w:rPr>
              <w:t>(</w:t>
            </w:r>
            <w:r w:rsidRPr="00C50EA3">
              <w:rPr>
                <w:rFonts w:asciiTheme="majorHAnsi" w:eastAsia="Arial" w:hAnsiTheme="majorHAnsi" w:cstheme="majorHAnsi"/>
                <w:b/>
                <w:bCs/>
                <w:sz w:val="24"/>
                <w:szCs w:val="24"/>
              </w:rPr>
              <w:t>RÚBRICA</w:t>
            </w:r>
            <w:r>
              <w:rPr>
                <w:rFonts w:asciiTheme="majorHAnsi" w:eastAsia="Arial" w:hAnsiTheme="majorHAnsi" w:cstheme="majorHAnsi"/>
                <w:sz w:val="24"/>
                <w:szCs w:val="24"/>
              </w:rPr>
              <w:t>)</w:t>
            </w:r>
          </w:p>
          <w:p w14:paraId="0FAA5615" w14:textId="77777777" w:rsidR="00205B35" w:rsidRPr="002B45F1" w:rsidRDefault="00205B35" w:rsidP="00E708D4">
            <w:pPr>
              <w:spacing w:after="0" w:line="240" w:lineRule="auto"/>
              <w:jc w:val="center"/>
              <w:rPr>
                <w:rFonts w:asciiTheme="majorHAnsi" w:eastAsia="Arial" w:hAnsiTheme="majorHAnsi" w:cstheme="majorHAnsi"/>
                <w:sz w:val="24"/>
                <w:szCs w:val="24"/>
              </w:rPr>
            </w:pPr>
          </w:p>
          <w:p w14:paraId="14B51862" w14:textId="77777777" w:rsidR="00205B35" w:rsidRPr="002B45F1" w:rsidRDefault="00205B35" w:rsidP="00E708D4">
            <w:pPr>
              <w:pStyle w:val="Sinespaciado"/>
              <w:jc w:val="center"/>
              <w:rPr>
                <w:rFonts w:ascii="Calibri Light" w:hAnsi="Calibri Light" w:cs="Calibri Light"/>
                <w:b/>
                <w:sz w:val="24"/>
                <w:szCs w:val="24"/>
              </w:rPr>
            </w:pPr>
            <w:r w:rsidRPr="002B45F1">
              <w:rPr>
                <w:rFonts w:ascii="Calibri Light" w:hAnsi="Calibri Light" w:cs="Calibri Light"/>
                <w:b/>
                <w:sz w:val="24"/>
                <w:szCs w:val="24"/>
              </w:rPr>
              <w:t>DR. ALDRIN MARTÍN BRICEÑO CONRADO</w:t>
            </w:r>
          </w:p>
          <w:p w14:paraId="02751649" w14:textId="77777777" w:rsidR="00205B35" w:rsidRPr="002B45F1" w:rsidRDefault="00205B35" w:rsidP="00E708D4">
            <w:pPr>
              <w:pStyle w:val="Sinespaciado"/>
              <w:jc w:val="center"/>
              <w:rPr>
                <w:rFonts w:ascii="Calibri Light" w:hAnsi="Calibri Light" w:cs="Calibri Light"/>
                <w:b/>
                <w:sz w:val="24"/>
                <w:szCs w:val="24"/>
              </w:rPr>
            </w:pPr>
            <w:r w:rsidRPr="002B45F1">
              <w:rPr>
                <w:rFonts w:ascii="Calibri Light" w:hAnsi="Calibri Light" w:cs="Calibri Light"/>
                <w:b/>
                <w:sz w:val="24"/>
                <w:szCs w:val="24"/>
              </w:rPr>
              <w:t>COMISIONADO</w:t>
            </w:r>
          </w:p>
        </w:tc>
        <w:tc>
          <w:tcPr>
            <w:tcW w:w="5021" w:type="dxa"/>
          </w:tcPr>
          <w:p w14:paraId="60E4A836" w14:textId="77777777" w:rsidR="00205B35" w:rsidRPr="002B45F1" w:rsidRDefault="00205B35" w:rsidP="00E708D4">
            <w:pPr>
              <w:pStyle w:val="Sinespaciado"/>
              <w:jc w:val="center"/>
              <w:rPr>
                <w:rFonts w:ascii="Calibri Light" w:hAnsi="Calibri Light" w:cs="Calibri Light"/>
                <w:b/>
                <w:sz w:val="24"/>
                <w:szCs w:val="24"/>
              </w:rPr>
            </w:pPr>
          </w:p>
          <w:p w14:paraId="3F161A94" w14:textId="77777777" w:rsidR="00205B35" w:rsidRPr="002B45F1" w:rsidRDefault="00205B35" w:rsidP="00E708D4">
            <w:pPr>
              <w:pStyle w:val="Sinespaciado"/>
              <w:jc w:val="center"/>
              <w:rPr>
                <w:rFonts w:ascii="Calibri Light" w:hAnsi="Calibri Light" w:cs="Calibri Light"/>
                <w:b/>
                <w:sz w:val="24"/>
                <w:szCs w:val="24"/>
              </w:rPr>
            </w:pPr>
          </w:p>
          <w:p w14:paraId="4E066D04" w14:textId="77777777" w:rsidR="00205B35" w:rsidRPr="002B45F1" w:rsidRDefault="00205B35" w:rsidP="00E708D4">
            <w:pPr>
              <w:pStyle w:val="Sinespaciado"/>
              <w:jc w:val="center"/>
              <w:rPr>
                <w:rFonts w:ascii="Calibri Light" w:hAnsi="Calibri Light" w:cs="Calibri Light"/>
                <w:b/>
                <w:sz w:val="24"/>
                <w:szCs w:val="24"/>
              </w:rPr>
            </w:pPr>
          </w:p>
          <w:p w14:paraId="679116B5" w14:textId="77777777" w:rsidR="00205B35" w:rsidRPr="002B45F1" w:rsidRDefault="00205B35" w:rsidP="00E708D4">
            <w:pPr>
              <w:pStyle w:val="Sinespaciado"/>
              <w:jc w:val="center"/>
              <w:rPr>
                <w:rFonts w:ascii="Calibri Light" w:hAnsi="Calibri Light" w:cs="Calibri Light"/>
                <w:b/>
                <w:sz w:val="24"/>
                <w:szCs w:val="24"/>
              </w:rPr>
            </w:pPr>
          </w:p>
          <w:p w14:paraId="4420F8F1" w14:textId="77777777" w:rsidR="00205B35" w:rsidRPr="002B45F1" w:rsidRDefault="00205B35" w:rsidP="00E708D4">
            <w:pPr>
              <w:pStyle w:val="Sinespaciado"/>
              <w:jc w:val="center"/>
              <w:rPr>
                <w:rFonts w:ascii="Calibri Light" w:hAnsi="Calibri Light" w:cs="Calibri Light"/>
                <w:b/>
                <w:sz w:val="24"/>
                <w:szCs w:val="24"/>
              </w:rPr>
            </w:pPr>
          </w:p>
          <w:p w14:paraId="3FFB1190" w14:textId="77777777" w:rsidR="00205B35" w:rsidRPr="002B45F1" w:rsidRDefault="00205B35" w:rsidP="00E708D4">
            <w:pPr>
              <w:pStyle w:val="Sinespaciado"/>
              <w:rPr>
                <w:rFonts w:ascii="Calibri Light" w:hAnsi="Calibri Light" w:cs="Calibri Light"/>
                <w:b/>
                <w:sz w:val="24"/>
                <w:szCs w:val="24"/>
              </w:rPr>
            </w:pPr>
          </w:p>
          <w:p w14:paraId="1DDD9D40" w14:textId="77777777" w:rsidR="00205B35" w:rsidRDefault="00205B35" w:rsidP="00E708D4">
            <w:pPr>
              <w:pStyle w:val="Sinespaciado"/>
              <w:rPr>
                <w:rFonts w:ascii="Calibri Light" w:hAnsi="Calibri Light" w:cs="Calibri Light"/>
                <w:b/>
                <w:sz w:val="24"/>
                <w:szCs w:val="24"/>
              </w:rPr>
            </w:pPr>
          </w:p>
          <w:p w14:paraId="1957367C" w14:textId="77777777" w:rsidR="00650C1B" w:rsidRDefault="00650C1B" w:rsidP="00E708D4">
            <w:pPr>
              <w:pStyle w:val="Sinespaciado"/>
              <w:rPr>
                <w:rFonts w:ascii="Calibri Light" w:hAnsi="Calibri Light" w:cs="Calibri Light"/>
                <w:b/>
                <w:sz w:val="24"/>
                <w:szCs w:val="24"/>
              </w:rPr>
            </w:pPr>
          </w:p>
          <w:p w14:paraId="2C09D9EA" w14:textId="77777777" w:rsidR="00650C1B" w:rsidRDefault="00650C1B" w:rsidP="00E708D4">
            <w:pPr>
              <w:pStyle w:val="Sinespaciado"/>
              <w:rPr>
                <w:rFonts w:ascii="Calibri Light" w:hAnsi="Calibri Light" w:cs="Calibri Light"/>
                <w:b/>
                <w:sz w:val="24"/>
                <w:szCs w:val="24"/>
              </w:rPr>
            </w:pPr>
          </w:p>
          <w:p w14:paraId="55FFF37F" w14:textId="77777777" w:rsidR="00650C1B" w:rsidRPr="002B45F1" w:rsidRDefault="00650C1B" w:rsidP="00E708D4">
            <w:pPr>
              <w:pStyle w:val="Sinespaciado"/>
              <w:rPr>
                <w:rFonts w:ascii="Calibri Light" w:hAnsi="Calibri Light" w:cs="Calibri Light"/>
                <w:b/>
                <w:sz w:val="24"/>
                <w:szCs w:val="24"/>
              </w:rPr>
            </w:pPr>
          </w:p>
          <w:p w14:paraId="312BE206" w14:textId="77777777" w:rsidR="00C50EA3" w:rsidRDefault="00C50EA3" w:rsidP="00C50EA3">
            <w:pPr>
              <w:spacing w:after="0" w:line="240" w:lineRule="auto"/>
              <w:jc w:val="center"/>
              <w:rPr>
                <w:rFonts w:asciiTheme="majorHAnsi" w:eastAsia="Arial" w:hAnsiTheme="majorHAnsi" w:cstheme="majorHAnsi"/>
                <w:sz w:val="24"/>
                <w:szCs w:val="24"/>
              </w:rPr>
            </w:pPr>
            <w:r>
              <w:rPr>
                <w:rFonts w:asciiTheme="majorHAnsi" w:eastAsia="Arial" w:hAnsiTheme="majorHAnsi" w:cstheme="majorHAnsi"/>
                <w:sz w:val="24"/>
                <w:szCs w:val="24"/>
              </w:rPr>
              <w:t>(</w:t>
            </w:r>
            <w:r w:rsidRPr="00C50EA3">
              <w:rPr>
                <w:rFonts w:asciiTheme="majorHAnsi" w:eastAsia="Arial" w:hAnsiTheme="majorHAnsi" w:cstheme="majorHAnsi"/>
                <w:b/>
                <w:bCs/>
                <w:sz w:val="24"/>
                <w:szCs w:val="24"/>
              </w:rPr>
              <w:t>RÚBRICA</w:t>
            </w:r>
            <w:r>
              <w:rPr>
                <w:rFonts w:asciiTheme="majorHAnsi" w:eastAsia="Arial" w:hAnsiTheme="majorHAnsi" w:cstheme="majorHAnsi"/>
                <w:sz w:val="24"/>
                <w:szCs w:val="24"/>
              </w:rPr>
              <w:t>)</w:t>
            </w:r>
          </w:p>
          <w:p w14:paraId="1E35810B" w14:textId="77777777" w:rsidR="00205B35" w:rsidRPr="002B45F1" w:rsidRDefault="00205B35" w:rsidP="00E708D4">
            <w:pPr>
              <w:spacing w:after="0" w:line="240" w:lineRule="auto"/>
              <w:jc w:val="center"/>
              <w:rPr>
                <w:rFonts w:asciiTheme="majorHAnsi" w:eastAsia="Arial" w:hAnsiTheme="majorHAnsi" w:cstheme="majorHAnsi"/>
                <w:sz w:val="24"/>
                <w:szCs w:val="24"/>
              </w:rPr>
            </w:pPr>
          </w:p>
          <w:p w14:paraId="05A438E0" w14:textId="77777777" w:rsidR="00205B35" w:rsidRPr="002B45F1" w:rsidRDefault="00205B35" w:rsidP="00E708D4">
            <w:pPr>
              <w:pStyle w:val="Sinespaciado"/>
              <w:jc w:val="center"/>
              <w:rPr>
                <w:rFonts w:ascii="Calibri Light" w:hAnsi="Calibri Light" w:cs="Calibri Light"/>
                <w:b/>
                <w:sz w:val="24"/>
                <w:szCs w:val="24"/>
              </w:rPr>
            </w:pPr>
            <w:r w:rsidRPr="002B45F1">
              <w:rPr>
                <w:rFonts w:ascii="Calibri Light" w:hAnsi="Calibri Light" w:cs="Calibri Light"/>
                <w:b/>
                <w:sz w:val="24"/>
                <w:szCs w:val="24"/>
              </w:rPr>
              <w:t>DR. CARLOS FERNANDO PAVÓN DURÁN</w:t>
            </w:r>
          </w:p>
          <w:p w14:paraId="08268D7F" w14:textId="77777777" w:rsidR="00205B35" w:rsidRPr="002B45F1" w:rsidRDefault="00205B35" w:rsidP="00E708D4">
            <w:pPr>
              <w:pStyle w:val="Sinespaciado"/>
              <w:jc w:val="center"/>
              <w:rPr>
                <w:rFonts w:ascii="Calibri Light" w:hAnsi="Calibri Light" w:cs="Calibri Light"/>
                <w:b/>
                <w:sz w:val="24"/>
                <w:szCs w:val="24"/>
              </w:rPr>
            </w:pPr>
            <w:r w:rsidRPr="002B45F1">
              <w:rPr>
                <w:rFonts w:ascii="Calibri Light" w:hAnsi="Calibri Light" w:cs="Calibri Light"/>
                <w:b/>
                <w:sz w:val="24"/>
                <w:szCs w:val="24"/>
              </w:rPr>
              <w:t>COMISIONADO</w:t>
            </w:r>
          </w:p>
        </w:tc>
      </w:tr>
    </w:tbl>
    <w:p w14:paraId="3835DA74" w14:textId="77777777" w:rsidR="00205B35" w:rsidRPr="002B45F1" w:rsidRDefault="00205B35" w:rsidP="00205B35">
      <w:pPr>
        <w:spacing w:after="0" w:line="240" w:lineRule="auto"/>
        <w:jc w:val="both"/>
        <w:rPr>
          <w:rFonts w:asciiTheme="majorHAnsi" w:hAnsiTheme="majorHAnsi" w:cstheme="majorHAnsi"/>
          <w:b/>
          <w:sz w:val="24"/>
          <w:szCs w:val="24"/>
        </w:rPr>
      </w:pPr>
    </w:p>
    <w:p w14:paraId="30DE5E1A" w14:textId="1E753825" w:rsidR="00C96121" w:rsidRPr="002B45F1" w:rsidRDefault="00C96121" w:rsidP="002B45F1">
      <w:pPr>
        <w:spacing w:after="160" w:line="259" w:lineRule="auto"/>
        <w:rPr>
          <w:rFonts w:asciiTheme="majorHAnsi" w:hAnsiTheme="majorHAnsi" w:cstheme="majorHAnsi"/>
          <w:sz w:val="24"/>
          <w:szCs w:val="24"/>
        </w:rPr>
        <w:sectPr w:rsidR="00C96121" w:rsidRPr="002B45F1" w:rsidSect="00E00E29">
          <w:headerReference w:type="default" r:id="rId8"/>
          <w:footerReference w:type="default" r:id="rId9"/>
          <w:pgSz w:w="12240" w:h="15840" w:code="1"/>
          <w:pgMar w:top="1418" w:right="1701" w:bottom="1418" w:left="1701" w:header="720" w:footer="720" w:gutter="0"/>
          <w:cols w:space="720"/>
          <w:docGrid w:linePitch="299"/>
        </w:sectPr>
      </w:pPr>
    </w:p>
    <w:p w14:paraId="0F21225C" w14:textId="77777777" w:rsidR="00C96121" w:rsidRPr="002B45F1" w:rsidRDefault="00C96121" w:rsidP="00C96121">
      <w:pPr>
        <w:spacing w:after="0" w:line="240" w:lineRule="auto"/>
        <w:jc w:val="center"/>
        <w:rPr>
          <w:rFonts w:asciiTheme="majorHAnsi" w:hAnsiTheme="majorHAnsi" w:cstheme="majorHAnsi"/>
          <w:b/>
          <w:bCs/>
          <w:sz w:val="24"/>
          <w:szCs w:val="24"/>
        </w:rPr>
      </w:pPr>
      <w:r w:rsidRPr="002B45F1">
        <w:rPr>
          <w:rFonts w:asciiTheme="majorHAnsi" w:hAnsiTheme="majorHAnsi" w:cstheme="majorHAnsi"/>
          <w:b/>
          <w:bCs/>
          <w:sz w:val="24"/>
          <w:szCs w:val="24"/>
        </w:rPr>
        <w:lastRenderedPageBreak/>
        <w:t>ANEXO ÚNICO</w:t>
      </w:r>
    </w:p>
    <w:p w14:paraId="052FE1EA" w14:textId="77777777" w:rsidR="00C96121" w:rsidRPr="002B45F1" w:rsidRDefault="00C96121" w:rsidP="00C96121">
      <w:pPr>
        <w:spacing w:after="0" w:line="240" w:lineRule="auto"/>
        <w:jc w:val="center"/>
        <w:rPr>
          <w:rFonts w:asciiTheme="majorHAnsi" w:hAnsiTheme="majorHAnsi" w:cstheme="majorHAnsi"/>
          <w:sz w:val="24"/>
          <w:szCs w:val="24"/>
        </w:rPr>
      </w:pPr>
    </w:p>
    <w:tbl>
      <w:tblPr>
        <w:tblW w:w="11682" w:type="dxa"/>
        <w:jc w:val="center"/>
        <w:tblLayout w:type="fixed"/>
        <w:tblCellMar>
          <w:left w:w="0" w:type="dxa"/>
          <w:right w:w="0" w:type="dxa"/>
        </w:tblCellMar>
        <w:tblLook w:val="04A0" w:firstRow="1" w:lastRow="0" w:firstColumn="1" w:lastColumn="0" w:noHBand="0" w:noVBand="1"/>
      </w:tblPr>
      <w:tblGrid>
        <w:gridCol w:w="1410"/>
        <w:gridCol w:w="2268"/>
        <w:gridCol w:w="1984"/>
        <w:gridCol w:w="3740"/>
        <w:gridCol w:w="2280"/>
      </w:tblGrid>
      <w:tr w:rsidR="006D5DAE" w:rsidRPr="002B45F1" w14:paraId="6D2E13F7" w14:textId="77777777" w:rsidTr="006D5DAE">
        <w:trPr>
          <w:trHeight w:val="1328"/>
          <w:tblHeade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DBE5F1"/>
            <w:noWrap/>
            <w:tcMar>
              <w:top w:w="0" w:type="dxa"/>
              <w:left w:w="45" w:type="dxa"/>
              <w:bottom w:w="0" w:type="dxa"/>
              <w:right w:w="45" w:type="dxa"/>
            </w:tcMar>
            <w:vAlign w:val="center"/>
            <w:hideMark/>
          </w:tcPr>
          <w:p w14:paraId="18FA9438" w14:textId="77777777" w:rsidR="006D5DAE" w:rsidRPr="002B45F1" w:rsidRDefault="006D5DAE" w:rsidP="00164C7F">
            <w:pPr>
              <w:spacing w:after="0" w:line="240" w:lineRule="auto"/>
              <w:jc w:val="center"/>
              <w:rPr>
                <w:rFonts w:asciiTheme="majorHAnsi" w:eastAsia="Times New Roman" w:hAnsiTheme="majorHAnsi" w:cstheme="majorHAnsi"/>
                <w:b/>
                <w:bCs/>
                <w:color w:val="000000"/>
                <w:sz w:val="24"/>
                <w:szCs w:val="24"/>
                <w:lang w:eastAsia="es-MX"/>
              </w:rPr>
            </w:pPr>
            <w:r w:rsidRPr="002B45F1">
              <w:rPr>
                <w:rFonts w:asciiTheme="majorHAnsi" w:eastAsia="Times New Roman" w:hAnsiTheme="majorHAnsi" w:cstheme="majorHAnsi"/>
                <w:b/>
                <w:bCs/>
                <w:color w:val="000000"/>
                <w:sz w:val="24"/>
                <w:szCs w:val="24"/>
                <w:lang w:eastAsia="es-MX"/>
              </w:rPr>
              <w:t>Clave</w:t>
            </w:r>
          </w:p>
        </w:tc>
        <w:tc>
          <w:tcPr>
            <w:tcW w:w="2268"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14:paraId="6014E363" w14:textId="77777777" w:rsidR="006D5DAE" w:rsidRPr="002B45F1" w:rsidRDefault="006D5DAE" w:rsidP="00164C7F">
            <w:pPr>
              <w:spacing w:after="0" w:line="240" w:lineRule="auto"/>
              <w:jc w:val="center"/>
              <w:rPr>
                <w:rFonts w:asciiTheme="majorHAnsi" w:eastAsia="Times New Roman" w:hAnsiTheme="majorHAnsi" w:cstheme="majorHAnsi"/>
                <w:b/>
                <w:bCs/>
                <w:color w:val="000000"/>
                <w:sz w:val="24"/>
                <w:szCs w:val="24"/>
                <w:lang w:eastAsia="es-MX"/>
              </w:rPr>
            </w:pPr>
            <w:r w:rsidRPr="002B45F1">
              <w:rPr>
                <w:rFonts w:asciiTheme="majorHAnsi" w:eastAsia="Times New Roman" w:hAnsiTheme="majorHAnsi" w:cstheme="majorHAnsi"/>
                <w:b/>
                <w:bCs/>
                <w:color w:val="000000"/>
                <w:sz w:val="24"/>
                <w:szCs w:val="24"/>
                <w:lang w:eastAsia="es-MX"/>
              </w:rPr>
              <w:t>Sujeto Obligado</w:t>
            </w:r>
          </w:p>
        </w:tc>
        <w:tc>
          <w:tcPr>
            <w:tcW w:w="1984"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14:paraId="1C642BE7" w14:textId="77777777" w:rsidR="006D5DAE" w:rsidRPr="002B45F1" w:rsidRDefault="006D5DAE" w:rsidP="00164C7F">
            <w:pPr>
              <w:spacing w:after="0" w:line="240" w:lineRule="auto"/>
              <w:jc w:val="center"/>
              <w:rPr>
                <w:rFonts w:asciiTheme="majorHAnsi" w:eastAsia="Times New Roman" w:hAnsiTheme="majorHAnsi" w:cstheme="majorHAnsi"/>
                <w:b/>
                <w:bCs/>
                <w:color w:val="000000"/>
                <w:sz w:val="24"/>
                <w:szCs w:val="24"/>
                <w:lang w:eastAsia="es-MX"/>
              </w:rPr>
            </w:pPr>
            <w:r w:rsidRPr="002B45F1">
              <w:rPr>
                <w:rFonts w:asciiTheme="majorHAnsi" w:eastAsia="Times New Roman" w:hAnsiTheme="majorHAnsi" w:cstheme="majorHAnsi"/>
                <w:b/>
                <w:bCs/>
                <w:color w:val="000000"/>
                <w:sz w:val="24"/>
                <w:szCs w:val="24"/>
                <w:lang w:eastAsia="es-MX"/>
              </w:rPr>
              <w:t xml:space="preserve">Fecha en el que se presentó </w:t>
            </w:r>
          </w:p>
        </w:tc>
        <w:tc>
          <w:tcPr>
            <w:tcW w:w="3740"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14:paraId="55833B2E" w14:textId="77777777" w:rsidR="006D5DAE" w:rsidRPr="002B45F1" w:rsidRDefault="006D5DAE" w:rsidP="00164C7F">
            <w:pPr>
              <w:spacing w:after="0" w:line="240" w:lineRule="auto"/>
              <w:jc w:val="center"/>
              <w:rPr>
                <w:rFonts w:asciiTheme="majorHAnsi" w:eastAsia="Times New Roman" w:hAnsiTheme="majorHAnsi" w:cstheme="majorHAnsi"/>
                <w:b/>
                <w:bCs/>
                <w:color w:val="000000"/>
                <w:sz w:val="24"/>
                <w:szCs w:val="24"/>
                <w:lang w:eastAsia="es-MX"/>
              </w:rPr>
            </w:pPr>
            <w:r w:rsidRPr="002B45F1">
              <w:rPr>
                <w:rFonts w:asciiTheme="majorHAnsi" w:eastAsia="Times New Roman" w:hAnsiTheme="majorHAnsi" w:cstheme="majorHAnsi"/>
                <w:b/>
                <w:bCs/>
                <w:color w:val="000000"/>
                <w:sz w:val="24"/>
                <w:szCs w:val="24"/>
                <w:lang w:eastAsia="es-MX"/>
              </w:rPr>
              <w:t>Fracciones que indicaron que les aplica.</w:t>
            </w:r>
          </w:p>
        </w:tc>
        <w:tc>
          <w:tcPr>
            <w:tcW w:w="2280"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14:paraId="26823B6A" w14:textId="77777777" w:rsidR="006D5DAE" w:rsidRPr="002B45F1" w:rsidRDefault="006D5DAE" w:rsidP="00164C7F">
            <w:pPr>
              <w:spacing w:after="0" w:line="240" w:lineRule="auto"/>
              <w:jc w:val="center"/>
              <w:rPr>
                <w:rFonts w:asciiTheme="majorHAnsi" w:eastAsia="Times New Roman" w:hAnsiTheme="majorHAnsi" w:cstheme="majorHAnsi"/>
                <w:b/>
                <w:bCs/>
                <w:color w:val="000000"/>
                <w:sz w:val="24"/>
                <w:szCs w:val="24"/>
                <w:lang w:eastAsia="es-MX"/>
              </w:rPr>
            </w:pPr>
            <w:r w:rsidRPr="002B45F1">
              <w:rPr>
                <w:rFonts w:asciiTheme="majorHAnsi" w:eastAsia="Times New Roman" w:hAnsiTheme="majorHAnsi" w:cstheme="majorHAnsi"/>
                <w:b/>
                <w:bCs/>
                <w:color w:val="000000"/>
                <w:sz w:val="24"/>
                <w:szCs w:val="24"/>
                <w:lang w:eastAsia="es-MX"/>
              </w:rPr>
              <w:t>Fracciones que indicaron que no les aplica.</w:t>
            </w:r>
          </w:p>
        </w:tc>
      </w:tr>
      <w:tr w:rsidR="006D5DAE" w:rsidRPr="002B45F1" w14:paraId="7F926266" w14:textId="77777777" w:rsidTr="006D5DAE">
        <w:trPr>
          <w:trHeight w:val="94"/>
          <w:jc w:val="center"/>
        </w:trPr>
        <w:tc>
          <w:tcPr>
            <w:tcW w:w="1410"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center"/>
            <w:hideMark/>
          </w:tcPr>
          <w:p w14:paraId="1BC0EF5B" w14:textId="453E18A2" w:rsidR="006D5DAE" w:rsidRPr="002B45F1" w:rsidRDefault="006D5DAE" w:rsidP="00164C7F">
            <w:pPr>
              <w:spacing w:after="0" w:line="240" w:lineRule="auto"/>
              <w:jc w:val="center"/>
              <w:rPr>
                <w:rFonts w:asciiTheme="majorHAnsi" w:eastAsia="Times New Roman" w:hAnsiTheme="majorHAnsi" w:cstheme="majorHAnsi"/>
                <w:color w:val="000000"/>
                <w:sz w:val="24"/>
                <w:szCs w:val="24"/>
                <w:lang w:eastAsia="es-MX"/>
              </w:rPr>
            </w:pPr>
            <w:r w:rsidRPr="002B45F1">
              <w:rPr>
                <w:rFonts w:asciiTheme="majorHAnsi" w:eastAsia="Times New Roman" w:hAnsiTheme="majorHAnsi" w:cstheme="majorHAnsi"/>
                <w:color w:val="000000"/>
                <w:sz w:val="24"/>
                <w:szCs w:val="24"/>
                <w:lang w:eastAsia="es-MX"/>
              </w:rPr>
              <w:t>31-01-03-056</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AB3D04" w14:textId="2749E798" w:rsidR="006D5DAE" w:rsidRPr="002B45F1" w:rsidRDefault="006D5DAE" w:rsidP="00164C7F">
            <w:pPr>
              <w:spacing w:after="0" w:line="240" w:lineRule="auto"/>
              <w:jc w:val="center"/>
              <w:rPr>
                <w:rFonts w:asciiTheme="majorHAnsi" w:eastAsia="Times New Roman" w:hAnsiTheme="majorHAnsi" w:cstheme="majorHAnsi"/>
                <w:color w:val="000000"/>
                <w:sz w:val="24"/>
                <w:szCs w:val="24"/>
                <w:lang w:eastAsia="es-MX"/>
              </w:rPr>
            </w:pPr>
            <w:r w:rsidRPr="002B45F1">
              <w:rPr>
                <w:rFonts w:asciiTheme="majorHAnsi" w:eastAsia="Times New Roman" w:hAnsiTheme="majorHAnsi" w:cstheme="majorHAnsi"/>
                <w:color w:val="000000"/>
                <w:sz w:val="24"/>
                <w:szCs w:val="24"/>
                <w:lang w:eastAsia="es-MX"/>
              </w:rPr>
              <w:t xml:space="preserve">Parque Científico y Tecnológico </w:t>
            </w:r>
            <w:r w:rsidR="000C65D9" w:rsidRPr="002B45F1">
              <w:rPr>
                <w:rFonts w:asciiTheme="majorHAnsi" w:eastAsia="Times New Roman" w:hAnsiTheme="majorHAnsi" w:cstheme="majorHAnsi"/>
                <w:color w:val="000000"/>
                <w:sz w:val="24"/>
                <w:szCs w:val="24"/>
                <w:lang w:eastAsia="es-MX"/>
              </w:rPr>
              <w:t>de</w:t>
            </w:r>
            <w:r w:rsidRPr="002B45F1">
              <w:rPr>
                <w:rFonts w:asciiTheme="majorHAnsi" w:eastAsia="Times New Roman" w:hAnsiTheme="majorHAnsi" w:cstheme="majorHAnsi"/>
                <w:color w:val="000000"/>
                <w:sz w:val="24"/>
                <w:szCs w:val="24"/>
                <w:lang w:eastAsia="es-MX"/>
              </w:rPr>
              <w:t xml:space="preserve"> Yucatán, PCTY.</w:t>
            </w:r>
          </w:p>
        </w:tc>
        <w:tc>
          <w:tcPr>
            <w:tcW w:w="1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509CD0" w14:textId="2D3162A2" w:rsidR="006D5DAE" w:rsidRPr="002B45F1" w:rsidRDefault="006D5DAE" w:rsidP="00164C7F">
            <w:pPr>
              <w:spacing w:after="0" w:line="240" w:lineRule="auto"/>
              <w:jc w:val="center"/>
              <w:rPr>
                <w:rFonts w:asciiTheme="majorHAnsi" w:eastAsia="Times New Roman" w:hAnsiTheme="majorHAnsi" w:cstheme="majorHAnsi"/>
                <w:color w:val="000000"/>
                <w:sz w:val="24"/>
                <w:szCs w:val="24"/>
                <w:lang w:eastAsia="es-MX"/>
              </w:rPr>
            </w:pPr>
            <w:r w:rsidRPr="002B45F1">
              <w:rPr>
                <w:rFonts w:asciiTheme="majorHAnsi" w:eastAsia="Times New Roman" w:hAnsiTheme="majorHAnsi" w:cstheme="majorHAnsi"/>
                <w:color w:val="000000"/>
                <w:sz w:val="24"/>
                <w:szCs w:val="24"/>
                <w:lang w:eastAsia="es-MX"/>
              </w:rPr>
              <w:t>22 de febrero de 2023</w:t>
            </w:r>
          </w:p>
        </w:tc>
        <w:tc>
          <w:tcPr>
            <w:tcW w:w="37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648812" w14:textId="3A8F8C4E" w:rsidR="006D5DAE" w:rsidRPr="002B45F1" w:rsidRDefault="006D5DAE" w:rsidP="00164C7F">
            <w:pPr>
              <w:spacing w:after="0" w:line="240" w:lineRule="auto"/>
              <w:jc w:val="center"/>
              <w:rPr>
                <w:rFonts w:asciiTheme="majorHAnsi" w:eastAsia="Times New Roman" w:hAnsiTheme="majorHAnsi" w:cstheme="majorHAnsi"/>
                <w:color w:val="000000"/>
                <w:sz w:val="24"/>
                <w:szCs w:val="24"/>
                <w:lang w:val="en-US" w:eastAsia="es-MX"/>
              </w:rPr>
            </w:pPr>
            <w:r w:rsidRPr="002B45F1">
              <w:rPr>
                <w:rFonts w:asciiTheme="majorHAnsi" w:eastAsia="Times New Roman" w:hAnsiTheme="majorHAnsi" w:cstheme="majorHAnsi"/>
                <w:color w:val="000000"/>
                <w:sz w:val="24"/>
                <w:szCs w:val="24"/>
                <w:lang w:val="en-US" w:eastAsia="es-MX"/>
              </w:rPr>
              <w:t xml:space="preserve">I, II, III, IV, V, VI, VII, VIII, IX, X, XI, XIII, XIV, XVI, XVII, XVIII, XIX, XX, XXI, XXIII, XXIV, XXV, XXVII, XXVIII, XXIX, XXXI, XXXII, XXXIII, XXXIV, XXXV, </w:t>
            </w:r>
            <w:r w:rsidR="0011255E" w:rsidRPr="002B45F1">
              <w:rPr>
                <w:rFonts w:asciiTheme="majorHAnsi" w:eastAsia="Times New Roman" w:hAnsiTheme="majorHAnsi" w:cstheme="majorHAnsi"/>
                <w:color w:val="000000"/>
                <w:sz w:val="24"/>
                <w:szCs w:val="24"/>
                <w:lang w:val="en-US" w:eastAsia="es-MX"/>
              </w:rPr>
              <w:t>XXXVI, XXXVIII,</w:t>
            </w:r>
            <w:r w:rsidRPr="002B45F1">
              <w:rPr>
                <w:rFonts w:asciiTheme="majorHAnsi" w:eastAsia="Times New Roman" w:hAnsiTheme="majorHAnsi" w:cstheme="majorHAnsi"/>
                <w:color w:val="000000"/>
                <w:sz w:val="24"/>
                <w:szCs w:val="24"/>
                <w:lang w:val="en-US" w:eastAsia="es-MX"/>
              </w:rPr>
              <w:t xml:space="preserve"> XXXIX,</w:t>
            </w:r>
            <w:r w:rsidR="0011255E" w:rsidRPr="002B45F1">
              <w:rPr>
                <w:sz w:val="24"/>
                <w:szCs w:val="24"/>
              </w:rPr>
              <w:t xml:space="preserve"> </w:t>
            </w:r>
            <w:r w:rsidR="0011255E" w:rsidRPr="002B45F1">
              <w:rPr>
                <w:rFonts w:asciiTheme="majorHAnsi" w:eastAsia="Times New Roman" w:hAnsiTheme="majorHAnsi" w:cstheme="majorHAnsi"/>
                <w:color w:val="000000"/>
                <w:sz w:val="24"/>
                <w:szCs w:val="24"/>
                <w:lang w:val="en-US" w:eastAsia="es-MX"/>
              </w:rPr>
              <w:t>XL,</w:t>
            </w:r>
            <w:r w:rsidRPr="002B45F1">
              <w:rPr>
                <w:rFonts w:asciiTheme="majorHAnsi" w:eastAsia="Times New Roman" w:hAnsiTheme="majorHAnsi" w:cstheme="majorHAnsi"/>
                <w:color w:val="000000"/>
                <w:sz w:val="24"/>
                <w:szCs w:val="24"/>
                <w:lang w:val="en-US" w:eastAsia="es-MX"/>
              </w:rPr>
              <w:t xml:space="preserve"> </w:t>
            </w:r>
            <w:r w:rsidR="00F11897" w:rsidRPr="002B45F1">
              <w:rPr>
                <w:rFonts w:asciiTheme="majorHAnsi" w:eastAsia="Times New Roman" w:hAnsiTheme="majorHAnsi" w:cstheme="majorHAnsi"/>
                <w:color w:val="000000"/>
                <w:sz w:val="24"/>
                <w:szCs w:val="24"/>
                <w:lang w:val="en-US" w:eastAsia="es-MX"/>
              </w:rPr>
              <w:t xml:space="preserve">XLII, </w:t>
            </w:r>
            <w:r w:rsidRPr="002B45F1">
              <w:rPr>
                <w:rFonts w:asciiTheme="majorHAnsi" w:eastAsia="Times New Roman" w:hAnsiTheme="majorHAnsi" w:cstheme="majorHAnsi"/>
                <w:color w:val="000000"/>
                <w:sz w:val="24"/>
                <w:szCs w:val="24"/>
                <w:lang w:val="en-US" w:eastAsia="es-MX"/>
              </w:rPr>
              <w:t>XLIII, XLIV, XLV</w:t>
            </w:r>
            <w:r w:rsidR="00AD579B" w:rsidRPr="002B45F1">
              <w:rPr>
                <w:rFonts w:asciiTheme="majorHAnsi" w:eastAsia="Times New Roman" w:hAnsiTheme="majorHAnsi" w:cstheme="majorHAnsi"/>
                <w:color w:val="000000"/>
                <w:sz w:val="24"/>
                <w:szCs w:val="24"/>
                <w:lang w:val="en-US" w:eastAsia="es-MX"/>
              </w:rPr>
              <w:t xml:space="preserve"> </w:t>
            </w:r>
            <w:r w:rsidR="00F11897" w:rsidRPr="002B45F1">
              <w:rPr>
                <w:rFonts w:asciiTheme="majorHAnsi" w:eastAsia="Times New Roman" w:hAnsiTheme="majorHAnsi" w:cstheme="majorHAnsi"/>
                <w:color w:val="000000"/>
                <w:sz w:val="24"/>
                <w:szCs w:val="24"/>
                <w:lang w:val="en-US" w:eastAsia="es-MX"/>
              </w:rPr>
              <w:t xml:space="preserve">XLVI, XLVII </w:t>
            </w:r>
            <w:r w:rsidRPr="002B45F1">
              <w:rPr>
                <w:rFonts w:asciiTheme="majorHAnsi" w:eastAsia="Times New Roman" w:hAnsiTheme="majorHAnsi" w:cstheme="majorHAnsi"/>
                <w:color w:val="000000"/>
                <w:sz w:val="24"/>
                <w:szCs w:val="24"/>
                <w:lang w:val="en-US" w:eastAsia="es-MX"/>
              </w:rPr>
              <w:t>y XLVIII.</w:t>
            </w:r>
          </w:p>
        </w:tc>
        <w:tc>
          <w:tcPr>
            <w:tcW w:w="228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C4F25B" w14:textId="4894C4C9" w:rsidR="006D5DAE" w:rsidRPr="002B45F1" w:rsidRDefault="00F11897" w:rsidP="00164C7F">
            <w:pPr>
              <w:spacing w:after="0" w:line="240" w:lineRule="auto"/>
              <w:jc w:val="center"/>
              <w:rPr>
                <w:rFonts w:asciiTheme="majorHAnsi" w:eastAsia="Times New Roman" w:hAnsiTheme="majorHAnsi" w:cstheme="majorHAnsi"/>
                <w:sz w:val="24"/>
                <w:szCs w:val="24"/>
                <w:lang w:val="en-US" w:eastAsia="es-MX"/>
              </w:rPr>
            </w:pPr>
            <w:r w:rsidRPr="002B45F1">
              <w:rPr>
                <w:rFonts w:asciiTheme="majorHAnsi" w:eastAsia="Times New Roman" w:hAnsiTheme="majorHAnsi" w:cstheme="majorHAnsi"/>
                <w:sz w:val="24"/>
                <w:szCs w:val="24"/>
                <w:lang w:val="en-US" w:eastAsia="es-MX"/>
              </w:rPr>
              <w:t>XII, XV, XXII, XXVI, XXX, XXXVII y XLI.</w:t>
            </w:r>
          </w:p>
        </w:tc>
      </w:tr>
    </w:tbl>
    <w:p w14:paraId="2F183C30" w14:textId="77777777" w:rsidR="00C96121" w:rsidRPr="002B45F1" w:rsidRDefault="00C96121" w:rsidP="00C96121">
      <w:pPr>
        <w:tabs>
          <w:tab w:val="left" w:pos="5070"/>
        </w:tabs>
        <w:rPr>
          <w:rFonts w:asciiTheme="majorHAnsi" w:hAnsiTheme="majorHAnsi" w:cstheme="majorHAnsi"/>
          <w:sz w:val="24"/>
          <w:szCs w:val="24"/>
          <w:lang w:val="en-US"/>
        </w:rPr>
      </w:pPr>
    </w:p>
    <w:sectPr w:rsidR="00C96121" w:rsidRPr="002B45F1" w:rsidSect="00C96121">
      <w:pgSz w:w="15840" w:h="12240" w:orient="landscape" w:code="1"/>
      <w:pgMar w:top="1701" w:right="1418" w:bottom="1701"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33EA" w14:textId="77777777" w:rsidR="00E649C4" w:rsidRDefault="00E649C4">
      <w:pPr>
        <w:spacing w:after="0" w:line="240" w:lineRule="auto"/>
      </w:pPr>
      <w:r>
        <w:separator/>
      </w:r>
    </w:p>
  </w:endnote>
  <w:endnote w:type="continuationSeparator" w:id="0">
    <w:p w14:paraId="2A821F0D" w14:textId="77777777" w:rsidR="00E649C4" w:rsidRDefault="00E6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023280"/>
      <w:docPartObj>
        <w:docPartGallery w:val="Page Numbers (Bottom of Page)"/>
        <w:docPartUnique/>
      </w:docPartObj>
    </w:sdtPr>
    <w:sdtEndPr/>
    <w:sdtContent>
      <w:p w14:paraId="0662A4E5" w14:textId="77777777" w:rsidR="008C2BDB" w:rsidRDefault="008C2BDB">
        <w:pPr>
          <w:pStyle w:val="Piedepgina"/>
          <w:jc w:val="right"/>
        </w:pPr>
        <w:r>
          <w:fldChar w:fldCharType="begin"/>
        </w:r>
        <w:r>
          <w:instrText xml:space="preserve"> PAGE   \* MERGEFORMAT </w:instrText>
        </w:r>
        <w:r>
          <w:fldChar w:fldCharType="separate"/>
        </w:r>
        <w:r>
          <w:rPr>
            <w:noProof/>
          </w:rPr>
          <w:t>11</w:t>
        </w:r>
        <w:r>
          <w:rPr>
            <w:noProof/>
          </w:rPr>
          <w:fldChar w:fldCharType="end"/>
        </w:r>
      </w:p>
    </w:sdtContent>
  </w:sdt>
  <w:p w14:paraId="115C9A78" w14:textId="77777777" w:rsidR="008C2BDB" w:rsidRDefault="008C2B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D652" w14:textId="77777777" w:rsidR="00E649C4" w:rsidRDefault="00E649C4">
      <w:pPr>
        <w:spacing w:after="0" w:line="240" w:lineRule="auto"/>
      </w:pPr>
      <w:r>
        <w:separator/>
      </w:r>
    </w:p>
  </w:footnote>
  <w:footnote w:type="continuationSeparator" w:id="0">
    <w:p w14:paraId="79A73D11" w14:textId="77777777" w:rsidR="00E649C4" w:rsidRDefault="00E64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42CF" w14:textId="12BDF2E3" w:rsidR="008C2BDB" w:rsidRDefault="00756011" w:rsidP="00756011">
    <w:pPr>
      <w:pStyle w:val="Encabezado"/>
      <w:tabs>
        <w:tab w:val="clear" w:pos="4419"/>
        <w:tab w:val="clear" w:pos="8838"/>
        <w:tab w:val="left" w:pos="2385"/>
      </w:tabs>
    </w:pPr>
    <w:r>
      <w:rPr>
        <w:noProof/>
        <w:lang w:eastAsia="es-MX"/>
      </w:rPr>
      <w:drawing>
        <wp:inline distT="0" distB="0" distL="0" distR="0" wp14:anchorId="31751850" wp14:editId="30E80733">
          <wp:extent cx="5612130" cy="944245"/>
          <wp:effectExtent l="0" t="0" r="7620" b="8255"/>
          <wp:docPr id="1073744719" name="Imagen 107374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0B50F391" w14:textId="77777777" w:rsidR="008C2BDB" w:rsidRDefault="008C2B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610DA"/>
    <w:multiLevelType w:val="hybridMultilevel"/>
    <w:tmpl w:val="3C9C8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19812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16"/>
    <w:rsid w:val="00000E66"/>
    <w:rsid w:val="00001AC6"/>
    <w:rsid w:val="0000324F"/>
    <w:rsid w:val="000157AC"/>
    <w:rsid w:val="00015840"/>
    <w:rsid w:val="00016EAA"/>
    <w:rsid w:val="00027A91"/>
    <w:rsid w:val="000305FA"/>
    <w:rsid w:val="00031592"/>
    <w:rsid w:val="000370AB"/>
    <w:rsid w:val="000412F4"/>
    <w:rsid w:val="00044E92"/>
    <w:rsid w:val="00051AAD"/>
    <w:rsid w:val="00054FB3"/>
    <w:rsid w:val="000555A9"/>
    <w:rsid w:val="00056A44"/>
    <w:rsid w:val="00061A08"/>
    <w:rsid w:val="00071569"/>
    <w:rsid w:val="00080BFD"/>
    <w:rsid w:val="000A2EDF"/>
    <w:rsid w:val="000A75EB"/>
    <w:rsid w:val="000B33A2"/>
    <w:rsid w:val="000B42B5"/>
    <w:rsid w:val="000C65D9"/>
    <w:rsid w:val="000E28E4"/>
    <w:rsid w:val="000E301A"/>
    <w:rsid w:val="000F0D06"/>
    <w:rsid w:val="00100DDD"/>
    <w:rsid w:val="0011255E"/>
    <w:rsid w:val="001153B0"/>
    <w:rsid w:val="00117324"/>
    <w:rsid w:val="00117536"/>
    <w:rsid w:val="00117947"/>
    <w:rsid w:val="00121BAF"/>
    <w:rsid w:val="0012343F"/>
    <w:rsid w:val="00134C61"/>
    <w:rsid w:val="001364E6"/>
    <w:rsid w:val="00145349"/>
    <w:rsid w:val="00146BAF"/>
    <w:rsid w:val="0016605A"/>
    <w:rsid w:val="00172454"/>
    <w:rsid w:val="00172B46"/>
    <w:rsid w:val="00175E6C"/>
    <w:rsid w:val="00182370"/>
    <w:rsid w:val="00185089"/>
    <w:rsid w:val="001913CB"/>
    <w:rsid w:val="001A2B37"/>
    <w:rsid w:val="001A7ED9"/>
    <w:rsid w:val="001B631F"/>
    <w:rsid w:val="001C560A"/>
    <w:rsid w:val="001D5E26"/>
    <w:rsid w:val="001D7A0F"/>
    <w:rsid w:val="001E2107"/>
    <w:rsid w:val="001F6A34"/>
    <w:rsid w:val="00205B35"/>
    <w:rsid w:val="00215F7F"/>
    <w:rsid w:val="002216F4"/>
    <w:rsid w:val="002267B5"/>
    <w:rsid w:val="002302D6"/>
    <w:rsid w:val="0023137A"/>
    <w:rsid w:val="0023514D"/>
    <w:rsid w:val="00236EF4"/>
    <w:rsid w:val="00245CE8"/>
    <w:rsid w:val="00247F55"/>
    <w:rsid w:val="00253F22"/>
    <w:rsid w:val="00255A08"/>
    <w:rsid w:val="00256C25"/>
    <w:rsid w:val="00261B8A"/>
    <w:rsid w:val="00270D81"/>
    <w:rsid w:val="0027298B"/>
    <w:rsid w:val="00275578"/>
    <w:rsid w:val="0027577F"/>
    <w:rsid w:val="00280EBF"/>
    <w:rsid w:val="00281D98"/>
    <w:rsid w:val="00282E91"/>
    <w:rsid w:val="002A1A82"/>
    <w:rsid w:val="002B107E"/>
    <w:rsid w:val="002B45F1"/>
    <w:rsid w:val="002B4771"/>
    <w:rsid w:val="002D04A5"/>
    <w:rsid w:val="002D5531"/>
    <w:rsid w:val="002D6B4C"/>
    <w:rsid w:val="002F33FF"/>
    <w:rsid w:val="00300675"/>
    <w:rsid w:val="0031464D"/>
    <w:rsid w:val="00314B5E"/>
    <w:rsid w:val="003211E4"/>
    <w:rsid w:val="003219B7"/>
    <w:rsid w:val="00322EE3"/>
    <w:rsid w:val="00325CCF"/>
    <w:rsid w:val="00331958"/>
    <w:rsid w:val="00331DE9"/>
    <w:rsid w:val="00331FA3"/>
    <w:rsid w:val="00333F9A"/>
    <w:rsid w:val="00336BA3"/>
    <w:rsid w:val="00346BCA"/>
    <w:rsid w:val="00347719"/>
    <w:rsid w:val="00347D20"/>
    <w:rsid w:val="0035140A"/>
    <w:rsid w:val="00352AA2"/>
    <w:rsid w:val="003537E8"/>
    <w:rsid w:val="0035748D"/>
    <w:rsid w:val="003671C5"/>
    <w:rsid w:val="00371DA2"/>
    <w:rsid w:val="00373630"/>
    <w:rsid w:val="0037426E"/>
    <w:rsid w:val="00380453"/>
    <w:rsid w:val="00384594"/>
    <w:rsid w:val="00392683"/>
    <w:rsid w:val="003940C0"/>
    <w:rsid w:val="003A065B"/>
    <w:rsid w:val="003A0E2B"/>
    <w:rsid w:val="003A0E3B"/>
    <w:rsid w:val="003A558E"/>
    <w:rsid w:val="003A582E"/>
    <w:rsid w:val="003C3A5D"/>
    <w:rsid w:val="003D378E"/>
    <w:rsid w:val="00414D3E"/>
    <w:rsid w:val="00426037"/>
    <w:rsid w:val="00426B42"/>
    <w:rsid w:val="00431577"/>
    <w:rsid w:val="00440A0F"/>
    <w:rsid w:val="00441052"/>
    <w:rsid w:val="00442476"/>
    <w:rsid w:val="00463958"/>
    <w:rsid w:val="0046452E"/>
    <w:rsid w:val="004658DB"/>
    <w:rsid w:val="00466706"/>
    <w:rsid w:val="00470AED"/>
    <w:rsid w:val="004736DA"/>
    <w:rsid w:val="004806BF"/>
    <w:rsid w:val="00481C0D"/>
    <w:rsid w:val="00486303"/>
    <w:rsid w:val="004955DB"/>
    <w:rsid w:val="004A3238"/>
    <w:rsid w:val="004A46F9"/>
    <w:rsid w:val="004A4A3F"/>
    <w:rsid w:val="004B2A0A"/>
    <w:rsid w:val="004C424C"/>
    <w:rsid w:val="004D3721"/>
    <w:rsid w:val="004D4397"/>
    <w:rsid w:val="004D6A4D"/>
    <w:rsid w:val="004D6A5A"/>
    <w:rsid w:val="004F07A8"/>
    <w:rsid w:val="004F3411"/>
    <w:rsid w:val="00503130"/>
    <w:rsid w:val="00513B07"/>
    <w:rsid w:val="005173CB"/>
    <w:rsid w:val="00530C27"/>
    <w:rsid w:val="00532E59"/>
    <w:rsid w:val="005351A8"/>
    <w:rsid w:val="00545366"/>
    <w:rsid w:val="0055119B"/>
    <w:rsid w:val="0055660C"/>
    <w:rsid w:val="00565985"/>
    <w:rsid w:val="0057129D"/>
    <w:rsid w:val="005743A3"/>
    <w:rsid w:val="00585182"/>
    <w:rsid w:val="005858E2"/>
    <w:rsid w:val="005951D9"/>
    <w:rsid w:val="005C0669"/>
    <w:rsid w:val="005D2816"/>
    <w:rsid w:val="005E0AC4"/>
    <w:rsid w:val="005E15C7"/>
    <w:rsid w:val="005E1780"/>
    <w:rsid w:val="005E2980"/>
    <w:rsid w:val="005F10BD"/>
    <w:rsid w:val="005F1F2B"/>
    <w:rsid w:val="005F4311"/>
    <w:rsid w:val="005F52D5"/>
    <w:rsid w:val="006018A6"/>
    <w:rsid w:val="006043C1"/>
    <w:rsid w:val="006156CC"/>
    <w:rsid w:val="00615A09"/>
    <w:rsid w:val="00630617"/>
    <w:rsid w:val="00641669"/>
    <w:rsid w:val="0064438D"/>
    <w:rsid w:val="00645973"/>
    <w:rsid w:val="00650C1B"/>
    <w:rsid w:val="00653C2B"/>
    <w:rsid w:val="006609AB"/>
    <w:rsid w:val="00662AC6"/>
    <w:rsid w:val="006631FA"/>
    <w:rsid w:val="006670B5"/>
    <w:rsid w:val="006674CE"/>
    <w:rsid w:val="006A4F1D"/>
    <w:rsid w:val="006B1AF6"/>
    <w:rsid w:val="006B5571"/>
    <w:rsid w:val="006C2AFC"/>
    <w:rsid w:val="006C5905"/>
    <w:rsid w:val="006D0DC8"/>
    <w:rsid w:val="006D49F3"/>
    <w:rsid w:val="006D5DAE"/>
    <w:rsid w:val="006E3F8F"/>
    <w:rsid w:val="00702DAC"/>
    <w:rsid w:val="0070566A"/>
    <w:rsid w:val="007058E0"/>
    <w:rsid w:val="007123CC"/>
    <w:rsid w:val="00712D4A"/>
    <w:rsid w:val="0071752B"/>
    <w:rsid w:val="0072643B"/>
    <w:rsid w:val="0073366E"/>
    <w:rsid w:val="00756011"/>
    <w:rsid w:val="00757672"/>
    <w:rsid w:val="00760CA6"/>
    <w:rsid w:val="0076470E"/>
    <w:rsid w:val="007729E7"/>
    <w:rsid w:val="007823F5"/>
    <w:rsid w:val="00785344"/>
    <w:rsid w:val="007855FD"/>
    <w:rsid w:val="00795685"/>
    <w:rsid w:val="007A38F3"/>
    <w:rsid w:val="007A61F5"/>
    <w:rsid w:val="007A6436"/>
    <w:rsid w:val="007B3289"/>
    <w:rsid w:val="007B32A2"/>
    <w:rsid w:val="007B40CA"/>
    <w:rsid w:val="007D07BA"/>
    <w:rsid w:val="007D09BB"/>
    <w:rsid w:val="007D46E8"/>
    <w:rsid w:val="007D4B67"/>
    <w:rsid w:val="007E3F17"/>
    <w:rsid w:val="007E7AC5"/>
    <w:rsid w:val="007E7F12"/>
    <w:rsid w:val="007F1BA7"/>
    <w:rsid w:val="007F2BBB"/>
    <w:rsid w:val="007F4BD4"/>
    <w:rsid w:val="007F4FB1"/>
    <w:rsid w:val="007F7E0B"/>
    <w:rsid w:val="00810864"/>
    <w:rsid w:val="00810BD9"/>
    <w:rsid w:val="00825B5E"/>
    <w:rsid w:val="00826F93"/>
    <w:rsid w:val="00831C4E"/>
    <w:rsid w:val="00832BF0"/>
    <w:rsid w:val="00832FCB"/>
    <w:rsid w:val="008341C7"/>
    <w:rsid w:val="00843541"/>
    <w:rsid w:val="00853128"/>
    <w:rsid w:val="00863E8A"/>
    <w:rsid w:val="00867FC2"/>
    <w:rsid w:val="00870DCD"/>
    <w:rsid w:val="0087100B"/>
    <w:rsid w:val="0087768A"/>
    <w:rsid w:val="00884061"/>
    <w:rsid w:val="00887CB7"/>
    <w:rsid w:val="008935A9"/>
    <w:rsid w:val="00894054"/>
    <w:rsid w:val="0089423A"/>
    <w:rsid w:val="008A0E3B"/>
    <w:rsid w:val="008A17E7"/>
    <w:rsid w:val="008B2117"/>
    <w:rsid w:val="008C0671"/>
    <w:rsid w:val="008C2BDB"/>
    <w:rsid w:val="008C70E3"/>
    <w:rsid w:val="008D1C79"/>
    <w:rsid w:val="008D2DA5"/>
    <w:rsid w:val="008E29E2"/>
    <w:rsid w:val="008E3EB3"/>
    <w:rsid w:val="008E69CC"/>
    <w:rsid w:val="008F1097"/>
    <w:rsid w:val="008F7517"/>
    <w:rsid w:val="00916DA8"/>
    <w:rsid w:val="0092070F"/>
    <w:rsid w:val="00920BFF"/>
    <w:rsid w:val="00927C65"/>
    <w:rsid w:val="0094496A"/>
    <w:rsid w:val="00954E87"/>
    <w:rsid w:val="009575DB"/>
    <w:rsid w:val="00960279"/>
    <w:rsid w:val="009629E6"/>
    <w:rsid w:val="00963AA8"/>
    <w:rsid w:val="0097315F"/>
    <w:rsid w:val="00974463"/>
    <w:rsid w:val="00981D93"/>
    <w:rsid w:val="00985E16"/>
    <w:rsid w:val="009944D0"/>
    <w:rsid w:val="009A1F62"/>
    <w:rsid w:val="009A240E"/>
    <w:rsid w:val="009A4EE3"/>
    <w:rsid w:val="009B14BC"/>
    <w:rsid w:val="009B358B"/>
    <w:rsid w:val="009C26D5"/>
    <w:rsid w:val="009D24B3"/>
    <w:rsid w:val="009D4C9E"/>
    <w:rsid w:val="009D5567"/>
    <w:rsid w:val="009D6467"/>
    <w:rsid w:val="009E4BFB"/>
    <w:rsid w:val="009F1739"/>
    <w:rsid w:val="00A116CC"/>
    <w:rsid w:val="00A14FC3"/>
    <w:rsid w:val="00A22AA9"/>
    <w:rsid w:val="00A371C6"/>
    <w:rsid w:val="00A426C1"/>
    <w:rsid w:val="00A460C7"/>
    <w:rsid w:val="00A46A3B"/>
    <w:rsid w:val="00A554E1"/>
    <w:rsid w:val="00A56A54"/>
    <w:rsid w:val="00A60419"/>
    <w:rsid w:val="00A66A9D"/>
    <w:rsid w:val="00A77AB7"/>
    <w:rsid w:val="00A77CDD"/>
    <w:rsid w:val="00A81D15"/>
    <w:rsid w:val="00A83A49"/>
    <w:rsid w:val="00A91EBC"/>
    <w:rsid w:val="00A96537"/>
    <w:rsid w:val="00AA0C09"/>
    <w:rsid w:val="00AA5C80"/>
    <w:rsid w:val="00AC6542"/>
    <w:rsid w:val="00AD0138"/>
    <w:rsid w:val="00AD4F60"/>
    <w:rsid w:val="00AD579B"/>
    <w:rsid w:val="00AE0EC0"/>
    <w:rsid w:val="00AE7A2C"/>
    <w:rsid w:val="00AE7A6F"/>
    <w:rsid w:val="00AF319C"/>
    <w:rsid w:val="00AF5A97"/>
    <w:rsid w:val="00AF6716"/>
    <w:rsid w:val="00B0021A"/>
    <w:rsid w:val="00B05139"/>
    <w:rsid w:val="00B07463"/>
    <w:rsid w:val="00B12AAE"/>
    <w:rsid w:val="00B27D6C"/>
    <w:rsid w:val="00B315A1"/>
    <w:rsid w:val="00B4057C"/>
    <w:rsid w:val="00B42D41"/>
    <w:rsid w:val="00B43B61"/>
    <w:rsid w:val="00B46EF6"/>
    <w:rsid w:val="00B50CFC"/>
    <w:rsid w:val="00B569E7"/>
    <w:rsid w:val="00B62A89"/>
    <w:rsid w:val="00B70184"/>
    <w:rsid w:val="00B72E08"/>
    <w:rsid w:val="00B75DCB"/>
    <w:rsid w:val="00B85B36"/>
    <w:rsid w:val="00B93F68"/>
    <w:rsid w:val="00B978A4"/>
    <w:rsid w:val="00BA1D32"/>
    <w:rsid w:val="00BA3C9B"/>
    <w:rsid w:val="00BB5F6A"/>
    <w:rsid w:val="00BC595B"/>
    <w:rsid w:val="00BC6E08"/>
    <w:rsid w:val="00BD14A1"/>
    <w:rsid w:val="00BE4B75"/>
    <w:rsid w:val="00BF5004"/>
    <w:rsid w:val="00BF674E"/>
    <w:rsid w:val="00BF6E9A"/>
    <w:rsid w:val="00C02E21"/>
    <w:rsid w:val="00C060C4"/>
    <w:rsid w:val="00C14233"/>
    <w:rsid w:val="00C1644A"/>
    <w:rsid w:val="00C327FB"/>
    <w:rsid w:val="00C44284"/>
    <w:rsid w:val="00C45CF6"/>
    <w:rsid w:val="00C50EA3"/>
    <w:rsid w:val="00C50F88"/>
    <w:rsid w:val="00C57FC6"/>
    <w:rsid w:val="00C62C22"/>
    <w:rsid w:val="00C65530"/>
    <w:rsid w:val="00C753DB"/>
    <w:rsid w:val="00C937E9"/>
    <w:rsid w:val="00C944EC"/>
    <w:rsid w:val="00C9462E"/>
    <w:rsid w:val="00C96121"/>
    <w:rsid w:val="00CA5F1F"/>
    <w:rsid w:val="00CB04E2"/>
    <w:rsid w:val="00CB0FDF"/>
    <w:rsid w:val="00CB6D91"/>
    <w:rsid w:val="00CD301E"/>
    <w:rsid w:val="00CE1148"/>
    <w:rsid w:val="00CF013E"/>
    <w:rsid w:val="00CF24D0"/>
    <w:rsid w:val="00CF62EB"/>
    <w:rsid w:val="00CF79F7"/>
    <w:rsid w:val="00D02DC1"/>
    <w:rsid w:val="00D05C36"/>
    <w:rsid w:val="00D13407"/>
    <w:rsid w:val="00D2475D"/>
    <w:rsid w:val="00D261AC"/>
    <w:rsid w:val="00D27BAC"/>
    <w:rsid w:val="00D42BAD"/>
    <w:rsid w:val="00D52D83"/>
    <w:rsid w:val="00D67B0D"/>
    <w:rsid w:val="00D74C95"/>
    <w:rsid w:val="00D8163D"/>
    <w:rsid w:val="00DA67E4"/>
    <w:rsid w:val="00DB599B"/>
    <w:rsid w:val="00DC3F4B"/>
    <w:rsid w:val="00DD7C3B"/>
    <w:rsid w:val="00DF71F0"/>
    <w:rsid w:val="00E00087"/>
    <w:rsid w:val="00E00E29"/>
    <w:rsid w:val="00E030C6"/>
    <w:rsid w:val="00E12BBE"/>
    <w:rsid w:val="00E13EC4"/>
    <w:rsid w:val="00E206F0"/>
    <w:rsid w:val="00E238E0"/>
    <w:rsid w:val="00E26576"/>
    <w:rsid w:val="00E31E71"/>
    <w:rsid w:val="00E33870"/>
    <w:rsid w:val="00E34355"/>
    <w:rsid w:val="00E36972"/>
    <w:rsid w:val="00E44E38"/>
    <w:rsid w:val="00E45842"/>
    <w:rsid w:val="00E508C7"/>
    <w:rsid w:val="00E512E5"/>
    <w:rsid w:val="00E520E0"/>
    <w:rsid w:val="00E54018"/>
    <w:rsid w:val="00E57780"/>
    <w:rsid w:val="00E635ED"/>
    <w:rsid w:val="00E649C4"/>
    <w:rsid w:val="00E7012B"/>
    <w:rsid w:val="00E725A8"/>
    <w:rsid w:val="00E769C7"/>
    <w:rsid w:val="00E777D6"/>
    <w:rsid w:val="00E80164"/>
    <w:rsid w:val="00E80D50"/>
    <w:rsid w:val="00E91188"/>
    <w:rsid w:val="00EB5DA6"/>
    <w:rsid w:val="00EC0369"/>
    <w:rsid w:val="00EC4663"/>
    <w:rsid w:val="00EC5831"/>
    <w:rsid w:val="00EC598D"/>
    <w:rsid w:val="00EE6504"/>
    <w:rsid w:val="00EF25CC"/>
    <w:rsid w:val="00EF27C0"/>
    <w:rsid w:val="00F00A69"/>
    <w:rsid w:val="00F05D27"/>
    <w:rsid w:val="00F07738"/>
    <w:rsid w:val="00F11897"/>
    <w:rsid w:val="00F13452"/>
    <w:rsid w:val="00F1704F"/>
    <w:rsid w:val="00F24EEB"/>
    <w:rsid w:val="00F27B83"/>
    <w:rsid w:val="00F40AA8"/>
    <w:rsid w:val="00F46054"/>
    <w:rsid w:val="00F55402"/>
    <w:rsid w:val="00F55CD0"/>
    <w:rsid w:val="00F57EE5"/>
    <w:rsid w:val="00F672FC"/>
    <w:rsid w:val="00F8142F"/>
    <w:rsid w:val="00F84CAD"/>
    <w:rsid w:val="00F874D7"/>
    <w:rsid w:val="00F96810"/>
    <w:rsid w:val="00F974E3"/>
    <w:rsid w:val="00FA3B39"/>
    <w:rsid w:val="00FA73C0"/>
    <w:rsid w:val="00FB0F7C"/>
    <w:rsid w:val="00FB251E"/>
    <w:rsid w:val="00FB788E"/>
    <w:rsid w:val="00FD0046"/>
    <w:rsid w:val="00FD6F51"/>
    <w:rsid w:val="00FE1037"/>
    <w:rsid w:val="00FE5BF9"/>
    <w:rsid w:val="00FF1340"/>
    <w:rsid w:val="00FF560C"/>
    <w:rsid w:val="00FF66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E4A7"/>
  <w15:chartTrackingRefBased/>
  <w15:docId w15:val="{DF3D488E-DFAC-486B-B2AA-0A7CA16E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1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2816"/>
    <w:pPr>
      <w:ind w:left="720"/>
      <w:contextualSpacing/>
    </w:pPr>
  </w:style>
  <w:style w:type="table" w:styleId="Tablaconcuadrcula">
    <w:name w:val="Table Grid"/>
    <w:basedOn w:val="Tablanormal"/>
    <w:uiPriority w:val="59"/>
    <w:rsid w:val="005D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D28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2816"/>
  </w:style>
  <w:style w:type="paragraph" w:styleId="Piedepgina">
    <w:name w:val="footer"/>
    <w:basedOn w:val="Normal"/>
    <w:link w:val="PiedepginaCar"/>
    <w:uiPriority w:val="99"/>
    <w:unhideWhenUsed/>
    <w:rsid w:val="005D28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2816"/>
  </w:style>
  <w:style w:type="paragraph" w:styleId="Textodeglobo">
    <w:name w:val="Balloon Text"/>
    <w:basedOn w:val="Normal"/>
    <w:link w:val="TextodegloboCar"/>
    <w:uiPriority w:val="99"/>
    <w:semiHidden/>
    <w:unhideWhenUsed/>
    <w:rsid w:val="006306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0617"/>
    <w:rPr>
      <w:rFonts w:ascii="Segoe UI" w:hAnsi="Segoe UI" w:cs="Segoe UI"/>
      <w:sz w:val="18"/>
      <w:szCs w:val="18"/>
    </w:rPr>
  </w:style>
  <w:style w:type="paragraph" w:styleId="Sinespaciado">
    <w:name w:val="No Spacing"/>
    <w:uiPriority w:val="1"/>
    <w:qFormat/>
    <w:rsid w:val="00205B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0016">
      <w:bodyDiv w:val="1"/>
      <w:marLeft w:val="0"/>
      <w:marRight w:val="0"/>
      <w:marTop w:val="0"/>
      <w:marBottom w:val="0"/>
      <w:divBdr>
        <w:top w:val="none" w:sz="0" w:space="0" w:color="auto"/>
        <w:left w:val="none" w:sz="0" w:space="0" w:color="auto"/>
        <w:bottom w:val="none" w:sz="0" w:space="0" w:color="auto"/>
        <w:right w:val="none" w:sz="0" w:space="0" w:color="auto"/>
      </w:divBdr>
    </w:div>
    <w:div w:id="465658805">
      <w:bodyDiv w:val="1"/>
      <w:marLeft w:val="0"/>
      <w:marRight w:val="0"/>
      <w:marTop w:val="0"/>
      <w:marBottom w:val="0"/>
      <w:divBdr>
        <w:top w:val="none" w:sz="0" w:space="0" w:color="auto"/>
        <w:left w:val="none" w:sz="0" w:space="0" w:color="auto"/>
        <w:bottom w:val="none" w:sz="0" w:space="0" w:color="auto"/>
        <w:right w:val="none" w:sz="0" w:space="0" w:color="auto"/>
      </w:divBdr>
    </w:div>
    <w:div w:id="692610279">
      <w:bodyDiv w:val="1"/>
      <w:marLeft w:val="0"/>
      <w:marRight w:val="0"/>
      <w:marTop w:val="0"/>
      <w:marBottom w:val="0"/>
      <w:divBdr>
        <w:top w:val="none" w:sz="0" w:space="0" w:color="auto"/>
        <w:left w:val="none" w:sz="0" w:space="0" w:color="auto"/>
        <w:bottom w:val="none" w:sz="0" w:space="0" w:color="auto"/>
        <w:right w:val="none" w:sz="0" w:space="0" w:color="auto"/>
      </w:divBdr>
    </w:div>
    <w:div w:id="764767806">
      <w:bodyDiv w:val="1"/>
      <w:marLeft w:val="0"/>
      <w:marRight w:val="0"/>
      <w:marTop w:val="0"/>
      <w:marBottom w:val="0"/>
      <w:divBdr>
        <w:top w:val="none" w:sz="0" w:space="0" w:color="auto"/>
        <w:left w:val="none" w:sz="0" w:space="0" w:color="auto"/>
        <w:bottom w:val="none" w:sz="0" w:space="0" w:color="auto"/>
        <w:right w:val="none" w:sz="0" w:space="0" w:color="auto"/>
      </w:divBdr>
    </w:div>
    <w:div w:id="1119297222">
      <w:bodyDiv w:val="1"/>
      <w:marLeft w:val="0"/>
      <w:marRight w:val="0"/>
      <w:marTop w:val="0"/>
      <w:marBottom w:val="0"/>
      <w:divBdr>
        <w:top w:val="none" w:sz="0" w:space="0" w:color="auto"/>
        <w:left w:val="none" w:sz="0" w:space="0" w:color="auto"/>
        <w:bottom w:val="none" w:sz="0" w:space="0" w:color="auto"/>
        <w:right w:val="none" w:sz="0" w:space="0" w:color="auto"/>
      </w:divBdr>
    </w:div>
    <w:div w:id="1704089898">
      <w:bodyDiv w:val="1"/>
      <w:marLeft w:val="0"/>
      <w:marRight w:val="0"/>
      <w:marTop w:val="0"/>
      <w:marBottom w:val="0"/>
      <w:divBdr>
        <w:top w:val="none" w:sz="0" w:space="0" w:color="auto"/>
        <w:left w:val="none" w:sz="0" w:space="0" w:color="auto"/>
        <w:bottom w:val="none" w:sz="0" w:space="0" w:color="auto"/>
        <w:right w:val="none" w:sz="0" w:space="0" w:color="auto"/>
      </w:divBdr>
    </w:div>
    <w:div w:id="1895115437">
      <w:bodyDiv w:val="1"/>
      <w:marLeft w:val="0"/>
      <w:marRight w:val="0"/>
      <w:marTop w:val="0"/>
      <w:marBottom w:val="0"/>
      <w:divBdr>
        <w:top w:val="none" w:sz="0" w:space="0" w:color="auto"/>
        <w:left w:val="none" w:sz="0" w:space="0" w:color="auto"/>
        <w:bottom w:val="none" w:sz="0" w:space="0" w:color="auto"/>
        <w:right w:val="none" w:sz="0" w:space="0" w:color="auto"/>
      </w:divBdr>
    </w:div>
    <w:div w:id="19483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4F905-B53D-4827-8F18-24C4DCCA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10351</Words>
  <Characters>56931</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Asistente S.E</dc:creator>
  <cp:keywords/>
  <dc:description/>
  <cp:lastModifiedBy>Dirección de Asuntos Jurídicos  y Plenarios</cp:lastModifiedBy>
  <cp:revision>3</cp:revision>
  <cp:lastPrinted>2023-11-16T19:43:00Z</cp:lastPrinted>
  <dcterms:created xsi:type="dcterms:W3CDTF">2023-12-14T17:45:00Z</dcterms:created>
  <dcterms:modified xsi:type="dcterms:W3CDTF">2023-12-18T19:22:00Z</dcterms:modified>
</cp:coreProperties>
</file>