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E406" w14:textId="77777777" w:rsidR="008D05DD" w:rsidRPr="008D05DD" w:rsidRDefault="008D05DD" w:rsidP="00174B74">
      <w:pPr>
        <w:jc w:val="both"/>
        <w:rPr>
          <w:rFonts w:ascii="Tofino Regular" w:hAnsi="Tofino Regular"/>
          <w:b/>
          <w:bCs/>
          <w:sz w:val="21"/>
          <w:szCs w:val="21"/>
        </w:rPr>
      </w:pPr>
    </w:p>
    <w:p w14:paraId="79A9C6FB" w14:textId="106066C2" w:rsidR="00174B74" w:rsidRPr="008D05DD" w:rsidRDefault="00174B74" w:rsidP="00174B74">
      <w:pPr>
        <w:jc w:val="both"/>
        <w:rPr>
          <w:rFonts w:ascii="Tofino Regular" w:hAnsi="Tofino Regular"/>
          <w:b/>
          <w:bCs/>
          <w:sz w:val="21"/>
          <w:szCs w:val="21"/>
        </w:rPr>
      </w:pPr>
      <w:r w:rsidRPr="008D05DD">
        <w:rPr>
          <w:rFonts w:ascii="Tofino Regular" w:hAnsi="Tofino Regular"/>
          <w:b/>
          <w:bCs/>
          <w:sz w:val="21"/>
          <w:szCs w:val="21"/>
        </w:rPr>
        <w:t>ACUERDO A TRAVÉS DEL CUAL SE COMISIONA A UN SERVIDOR PÚBLICO PARA EJECUTAR FUNCIONES EN UN ÁREA DIFERENTE AL DE SU ADSCRIPCIÓN DENTRO DEL INSTITUTO ESTATAL DE TRANSPARENCIA, ACCESO A LA INFORMACIÓN PUBLICA Y PROTECCIÓN DE DATOS PERSONALES</w:t>
      </w:r>
    </w:p>
    <w:p w14:paraId="11950DE3" w14:textId="77777777" w:rsidR="00174B74" w:rsidRPr="008D05DD" w:rsidRDefault="00174B74" w:rsidP="00174B74">
      <w:pPr>
        <w:jc w:val="both"/>
        <w:rPr>
          <w:rFonts w:ascii="Tofino Regular" w:hAnsi="Tofino Regular"/>
          <w:b/>
          <w:bCs/>
          <w:sz w:val="21"/>
          <w:szCs w:val="21"/>
        </w:rPr>
      </w:pPr>
    </w:p>
    <w:p w14:paraId="01438FD0" w14:textId="77777777" w:rsidR="00174B74" w:rsidRPr="008D05DD" w:rsidRDefault="00174B74" w:rsidP="00174B74">
      <w:pPr>
        <w:jc w:val="both"/>
        <w:rPr>
          <w:rFonts w:ascii="Tofino Regular" w:eastAsia="Arial" w:hAnsi="Tofino Regular" w:cs="Calibri Light"/>
          <w:sz w:val="21"/>
          <w:szCs w:val="21"/>
        </w:rPr>
      </w:pPr>
      <w:r w:rsidRPr="008D05DD">
        <w:rPr>
          <w:rFonts w:ascii="Tofino Regular" w:eastAsia="Arial" w:hAnsi="Tofino Regular" w:cs="Calibri Light"/>
          <w:sz w:val="21"/>
          <w:szCs w:val="21"/>
        </w:rPr>
        <w:t>En la ciudad de Mérida, Yucatán, a los veintiocho días del mes de junio del año dos mil veinticuatro, los integrantes del Pleno del Instituto Estatal de Transparencia, Acceso a la Información Pública y Protección de Datos Personales, la Maestra María Gilda Segovia Chab y los Doctores en Derecho, Carlos Fernando Pavón Durán y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475506C" w14:textId="77777777" w:rsidR="00174B74" w:rsidRPr="008D05DD" w:rsidRDefault="00174B74" w:rsidP="00174B74">
      <w:pPr>
        <w:jc w:val="both"/>
        <w:rPr>
          <w:rFonts w:ascii="Tofino Regular" w:eastAsia="Arial" w:hAnsi="Tofino Regular" w:cs="Calibri Light"/>
          <w:sz w:val="21"/>
          <w:szCs w:val="21"/>
        </w:rPr>
      </w:pPr>
    </w:p>
    <w:p w14:paraId="17F0BF29" w14:textId="77777777" w:rsidR="00174B74" w:rsidRPr="008D05DD" w:rsidRDefault="00174B74" w:rsidP="00174B74">
      <w:pPr>
        <w:jc w:val="center"/>
        <w:rPr>
          <w:rFonts w:ascii="Tofino Regular" w:hAnsi="Tofino Regular"/>
          <w:b/>
          <w:bCs/>
          <w:sz w:val="21"/>
          <w:szCs w:val="21"/>
        </w:rPr>
      </w:pPr>
      <w:r w:rsidRPr="008D05DD">
        <w:rPr>
          <w:rFonts w:ascii="Tofino Regular" w:hAnsi="Tofino Regular"/>
          <w:b/>
          <w:bCs/>
          <w:sz w:val="21"/>
          <w:szCs w:val="21"/>
        </w:rPr>
        <w:t>ANTECEDENTES</w:t>
      </w:r>
    </w:p>
    <w:p w14:paraId="01B30D58" w14:textId="77777777" w:rsidR="00174B74" w:rsidRPr="008D05DD" w:rsidRDefault="00174B74" w:rsidP="00174B74">
      <w:pPr>
        <w:jc w:val="center"/>
        <w:rPr>
          <w:rFonts w:ascii="Tofino Regular" w:hAnsi="Tofino Regular"/>
          <w:b/>
          <w:bCs/>
          <w:sz w:val="21"/>
          <w:szCs w:val="21"/>
        </w:rPr>
      </w:pPr>
    </w:p>
    <w:p w14:paraId="09E23BE6" w14:textId="77777777" w:rsidR="00174B74" w:rsidRPr="008D05DD" w:rsidRDefault="00174B74" w:rsidP="00174B74">
      <w:pPr>
        <w:autoSpaceDE w:val="0"/>
        <w:autoSpaceDN w:val="0"/>
        <w:adjustRightInd w:val="0"/>
        <w:jc w:val="both"/>
        <w:rPr>
          <w:rFonts w:ascii="Tofino Regular" w:hAnsi="Tofino Regular" w:cs="Arial"/>
          <w:sz w:val="21"/>
          <w:szCs w:val="21"/>
        </w:rPr>
      </w:pPr>
      <w:r w:rsidRPr="008D05DD">
        <w:rPr>
          <w:rFonts w:ascii="Tofino Regular" w:hAnsi="Tofino Regular" w:cs="Arial"/>
          <w:b/>
          <w:bCs/>
          <w:sz w:val="21"/>
          <w:szCs w:val="21"/>
        </w:rPr>
        <w:t>PRIMERO</w:t>
      </w:r>
      <w:r w:rsidRPr="008D05DD">
        <w:rPr>
          <w:rFonts w:ascii="Tofino Regular" w:hAnsi="Tofino Regular" w:cs="Arial"/>
          <w:sz w:val="21"/>
          <w:szCs w:val="21"/>
        </w:rPr>
        <w:t>.-El 4 de mayo de 2015, se publicó en el Diario Oficial de la Federación el Decreto por el que se expide la Ley General de Transparencia y Acceso a la Información Pública, Ley reglamentaria del artículo 6 constitucional. Dicha Ley, en su artículo 7 estableció que los órganos garantes son autónomos, con capacidad para decidir sobre el ejercicio de su presupuesto y determinar su organización interna.</w:t>
      </w:r>
    </w:p>
    <w:p w14:paraId="4720A7C8" w14:textId="77777777" w:rsidR="00174B74" w:rsidRPr="008D05DD" w:rsidRDefault="00174B74" w:rsidP="00174B74">
      <w:pPr>
        <w:autoSpaceDE w:val="0"/>
        <w:autoSpaceDN w:val="0"/>
        <w:adjustRightInd w:val="0"/>
        <w:jc w:val="both"/>
        <w:rPr>
          <w:rFonts w:ascii="Tofino Regular" w:hAnsi="Tofino Regular" w:cs="Arial"/>
          <w:b/>
          <w:bCs/>
          <w:sz w:val="21"/>
          <w:szCs w:val="21"/>
        </w:rPr>
      </w:pPr>
    </w:p>
    <w:p w14:paraId="4AD16ED9" w14:textId="77777777" w:rsidR="00174B74" w:rsidRPr="008D05DD" w:rsidRDefault="00174B74" w:rsidP="00174B74">
      <w:pPr>
        <w:autoSpaceDE w:val="0"/>
        <w:autoSpaceDN w:val="0"/>
        <w:adjustRightInd w:val="0"/>
        <w:jc w:val="both"/>
        <w:rPr>
          <w:rFonts w:ascii="Tofino Regular" w:hAnsi="Tofino Regular" w:cs="Arial"/>
          <w:sz w:val="21"/>
          <w:szCs w:val="21"/>
        </w:rPr>
      </w:pPr>
      <w:r w:rsidRPr="008D05DD">
        <w:rPr>
          <w:rFonts w:ascii="Tofino Regular" w:hAnsi="Tofino Regular" w:cs="Arial"/>
          <w:b/>
          <w:bCs/>
          <w:sz w:val="21"/>
          <w:szCs w:val="21"/>
        </w:rPr>
        <w:t>SEGUNDO</w:t>
      </w:r>
      <w:r w:rsidRPr="008D05DD">
        <w:rPr>
          <w:rFonts w:ascii="Tofino Regular" w:hAnsi="Tofino Regular" w:cs="Arial"/>
          <w:sz w:val="21"/>
          <w:szCs w:val="21"/>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14:paraId="5F964C0D" w14:textId="77777777" w:rsidR="00174B74" w:rsidRPr="008D05DD" w:rsidRDefault="00174B74" w:rsidP="00174B74">
      <w:pPr>
        <w:autoSpaceDE w:val="0"/>
        <w:autoSpaceDN w:val="0"/>
        <w:adjustRightInd w:val="0"/>
        <w:jc w:val="both"/>
        <w:rPr>
          <w:rFonts w:ascii="Tofino Regular" w:hAnsi="Tofino Regular" w:cs="Arial"/>
          <w:sz w:val="21"/>
          <w:szCs w:val="21"/>
        </w:rPr>
      </w:pPr>
    </w:p>
    <w:p w14:paraId="23F08B08" w14:textId="77777777" w:rsidR="00174B74" w:rsidRPr="008D05DD" w:rsidRDefault="00174B74" w:rsidP="00174B74">
      <w:pPr>
        <w:autoSpaceDE w:val="0"/>
        <w:autoSpaceDN w:val="0"/>
        <w:adjustRightInd w:val="0"/>
        <w:jc w:val="both"/>
        <w:rPr>
          <w:rFonts w:ascii="Tofino Regular" w:hAnsi="Tofino Regular" w:cs="Arial"/>
          <w:sz w:val="21"/>
          <w:szCs w:val="21"/>
        </w:rPr>
      </w:pPr>
      <w:r w:rsidRPr="008D05DD">
        <w:rPr>
          <w:rFonts w:ascii="Tofino Regular" w:hAnsi="Tofino Regular" w:cs="Arial"/>
          <w:b/>
          <w:bCs/>
          <w:sz w:val="21"/>
          <w:szCs w:val="21"/>
        </w:rPr>
        <w:t>TERCERO</w:t>
      </w:r>
      <w:r w:rsidRPr="008D05DD">
        <w:rPr>
          <w:rFonts w:ascii="Tofino Regular" w:hAnsi="Tofino Regular" w:cs="Arial"/>
          <w:sz w:val="21"/>
          <w:szCs w:val="21"/>
        </w:rPr>
        <w:t>.-El 2 de mayo de 2016, se publicó en el Diario Oficial del Gobierno del Estado, .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 en la que se refrendó la autonomía del Inaip Yucatán, y su capacidad para decidir sobre el ejercicio de su presupuesto y de determinar su organización interna, con base al análisis integral que para tal efecto se realice de las necesidades institucionales.</w:t>
      </w:r>
    </w:p>
    <w:p w14:paraId="5E12727E" w14:textId="77777777" w:rsidR="00174B74" w:rsidRPr="008D05DD" w:rsidRDefault="00174B74" w:rsidP="00174B74">
      <w:pPr>
        <w:autoSpaceDE w:val="0"/>
        <w:autoSpaceDN w:val="0"/>
        <w:adjustRightInd w:val="0"/>
        <w:jc w:val="both"/>
        <w:rPr>
          <w:rFonts w:ascii="Tofino Regular" w:hAnsi="Tofino Regular" w:cs="Arial"/>
          <w:sz w:val="21"/>
          <w:szCs w:val="21"/>
        </w:rPr>
      </w:pPr>
    </w:p>
    <w:p w14:paraId="04BF3BA5" w14:textId="77777777" w:rsidR="00174B74" w:rsidRPr="008D05DD" w:rsidRDefault="00174B74" w:rsidP="00174B74">
      <w:pPr>
        <w:autoSpaceDE w:val="0"/>
        <w:autoSpaceDN w:val="0"/>
        <w:adjustRightInd w:val="0"/>
        <w:jc w:val="both"/>
        <w:rPr>
          <w:rFonts w:ascii="Tofino Regular" w:hAnsi="Tofino Regular" w:cs="Arial"/>
          <w:sz w:val="21"/>
          <w:szCs w:val="21"/>
        </w:rPr>
      </w:pPr>
      <w:r w:rsidRPr="008D05DD">
        <w:rPr>
          <w:rFonts w:ascii="Tofino Regular" w:hAnsi="Tofino Regular" w:cs="Arial"/>
          <w:b/>
          <w:bCs/>
          <w:sz w:val="21"/>
          <w:szCs w:val="21"/>
        </w:rPr>
        <w:t>CUARTO</w:t>
      </w:r>
      <w:r w:rsidRPr="008D05DD">
        <w:rPr>
          <w:rFonts w:ascii="Tofino Regular" w:hAnsi="Tofino Regular" w:cs="Arial"/>
          <w:sz w:val="21"/>
          <w:szCs w:val="21"/>
        </w:rPr>
        <w:t>.-</w:t>
      </w:r>
      <w:r w:rsidRPr="008D05DD">
        <w:rPr>
          <w:rFonts w:ascii="Tofino Regular" w:hAnsi="Tofino Regular"/>
          <w:sz w:val="21"/>
          <w:szCs w:val="21"/>
        </w:rPr>
        <w:t xml:space="preserve"> </w:t>
      </w:r>
      <w:r w:rsidRPr="008D05DD">
        <w:rPr>
          <w:rFonts w:ascii="Tofino Regular" w:hAnsi="Tofino Regular" w:cs="Arial"/>
          <w:sz w:val="21"/>
          <w:szCs w:val="21"/>
        </w:rPr>
        <w:t xml:space="preserve">En sesión ordinaria del Pleno de fecha 21 de diciembre de 2021, se aprobó la modificación del Reglamento Interior del Instituto Estatal de Transparencia, Acceso a la Información Pública y Protección de Datos Personales a través del cual en su artículo 6 dispuso que el Inaip Yucatán, en el ejercicio de sus atribuciones y el despacho de los asuntos en el ramo de su competencia especializada, funcionará a través del Pleno. </w:t>
      </w:r>
      <w:r w:rsidRPr="008D05DD">
        <w:rPr>
          <w:rFonts w:ascii="Tofino Regular" w:hAnsi="Tofino Regular" w:cs="Arial"/>
          <w:sz w:val="21"/>
          <w:szCs w:val="21"/>
        </w:rPr>
        <w:lastRenderedPageBreak/>
        <w:t>Asimismo, se dispuso que este órgano colegiado podrá auxiliarse del personal que éste determine, y que requieran las necesidades de los servicios que aquí se prestan, de conformidad con la disponibilidad presupuestaria.</w:t>
      </w:r>
    </w:p>
    <w:p w14:paraId="375FE3B0" w14:textId="77777777" w:rsidR="00174B74" w:rsidRPr="008D05DD" w:rsidRDefault="00174B74" w:rsidP="00174B74">
      <w:pPr>
        <w:autoSpaceDE w:val="0"/>
        <w:autoSpaceDN w:val="0"/>
        <w:adjustRightInd w:val="0"/>
        <w:jc w:val="both"/>
        <w:rPr>
          <w:rFonts w:ascii="Tofino Regular" w:hAnsi="Tofino Regular" w:cs="Arial"/>
          <w:sz w:val="21"/>
          <w:szCs w:val="21"/>
        </w:rPr>
      </w:pPr>
    </w:p>
    <w:p w14:paraId="74AE99FF" w14:textId="77777777" w:rsidR="00174B74" w:rsidRPr="008D05DD" w:rsidRDefault="00174B74" w:rsidP="00174B74">
      <w:pPr>
        <w:autoSpaceDE w:val="0"/>
        <w:autoSpaceDN w:val="0"/>
        <w:adjustRightInd w:val="0"/>
        <w:jc w:val="both"/>
        <w:rPr>
          <w:rFonts w:ascii="Tofino Regular" w:hAnsi="Tofino Regular" w:cs="Arial"/>
          <w:sz w:val="21"/>
          <w:szCs w:val="21"/>
        </w:rPr>
      </w:pPr>
      <w:r w:rsidRPr="008D05DD">
        <w:rPr>
          <w:rFonts w:ascii="Tofino Regular" w:hAnsi="Tofino Regular" w:cs="Arial"/>
          <w:b/>
          <w:bCs/>
          <w:sz w:val="21"/>
          <w:szCs w:val="21"/>
        </w:rPr>
        <w:t xml:space="preserve">QUINTO.- </w:t>
      </w:r>
      <w:r w:rsidRPr="008D05DD">
        <w:rPr>
          <w:rFonts w:ascii="Tofino Regular" w:hAnsi="Tofino Regular" w:cs="Arial"/>
          <w:sz w:val="21"/>
          <w:szCs w:val="21"/>
        </w:rPr>
        <w:t>En sesión ordinaria del Pleno de fecha 21 de diciembre de 2021, se aprobó el Manual de Organización del Instituto Estatal de Transparencia, Acceso a la Información Pública y Protección de Datos Personales.</w:t>
      </w:r>
    </w:p>
    <w:p w14:paraId="6956BB47" w14:textId="77777777" w:rsidR="00174B74" w:rsidRPr="008D05DD" w:rsidRDefault="00174B74" w:rsidP="00174B74">
      <w:pPr>
        <w:autoSpaceDE w:val="0"/>
        <w:autoSpaceDN w:val="0"/>
        <w:adjustRightInd w:val="0"/>
        <w:rPr>
          <w:rFonts w:ascii="Tofino Regular" w:hAnsi="Tofino Regular" w:cs="Arial"/>
          <w:sz w:val="21"/>
          <w:szCs w:val="21"/>
        </w:rPr>
      </w:pPr>
    </w:p>
    <w:p w14:paraId="3F5B8582" w14:textId="77777777" w:rsidR="00174B74" w:rsidRPr="008D05DD" w:rsidRDefault="00174B74" w:rsidP="00174B74">
      <w:pPr>
        <w:jc w:val="center"/>
        <w:rPr>
          <w:rFonts w:ascii="Tofino Regular" w:hAnsi="Tofino Regular"/>
          <w:b/>
          <w:bCs/>
          <w:sz w:val="21"/>
          <w:szCs w:val="21"/>
        </w:rPr>
      </w:pPr>
      <w:r w:rsidRPr="008D05DD">
        <w:rPr>
          <w:rFonts w:ascii="Tofino Regular" w:hAnsi="Tofino Regular"/>
          <w:b/>
          <w:bCs/>
          <w:sz w:val="21"/>
          <w:szCs w:val="21"/>
        </w:rPr>
        <w:t>CONSIDERANDOS</w:t>
      </w:r>
    </w:p>
    <w:p w14:paraId="037CBD91" w14:textId="77777777" w:rsidR="00174B74" w:rsidRPr="008D05DD" w:rsidRDefault="00174B74" w:rsidP="00174B74">
      <w:pPr>
        <w:jc w:val="center"/>
        <w:rPr>
          <w:rFonts w:ascii="Tofino Regular" w:hAnsi="Tofino Regular"/>
          <w:b/>
          <w:bCs/>
          <w:sz w:val="21"/>
          <w:szCs w:val="21"/>
        </w:rPr>
      </w:pPr>
    </w:p>
    <w:p w14:paraId="351DA997" w14:textId="77777777" w:rsidR="00174B74" w:rsidRPr="008D05DD" w:rsidRDefault="00174B74" w:rsidP="00174B74">
      <w:pPr>
        <w:jc w:val="both"/>
        <w:rPr>
          <w:rFonts w:ascii="Tofino Regular" w:hAnsi="Tofino Regular"/>
          <w:sz w:val="21"/>
          <w:szCs w:val="21"/>
        </w:rPr>
      </w:pPr>
      <w:r w:rsidRPr="008D05DD">
        <w:rPr>
          <w:rFonts w:ascii="Tofino Regular" w:hAnsi="Tofino Regular"/>
          <w:b/>
          <w:bCs/>
          <w:sz w:val="21"/>
          <w:szCs w:val="21"/>
        </w:rPr>
        <w:t>PRIMERO</w:t>
      </w:r>
      <w:r w:rsidRPr="008D05DD">
        <w:rPr>
          <w:rFonts w:ascii="Tofino Regular" w:hAnsi="Tofino Regular"/>
          <w:sz w:val="21"/>
          <w:szCs w:val="21"/>
        </w:rPr>
        <w:t>.-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60.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C0B71B2" w14:textId="77777777" w:rsidR="00174B74" w:rsidRPr="008D05DD" w:rsidRDefault="00174B74" w:rsidP="00174B74">
      <w:pPr>
        <w:jc w:val="both"/>
        <w:rPr>
          <w:rFonts w:ascii="Tofino Regular" w:hAnsi="Tofino Regular"/>
          <w:b/>
          <w:bCs/>
          <w:sz w:val="21"/>
          <w:szCs w:val="21"/>
        </w:rPr>
      </w:pPr>
    </w:p>
    <w:p w14:paraId="4DFFC5C5" w14:textId="6381223D" w:rsidR="00174B74" w:rsidRPr="008D05DD" w:rsidRDefault="00174B74" w:rsidP="00174B74">
      <w:pPr>
        <w:jc w:val="both"/>
        <w:rPr>
          <w:rFonts w:ascii="Tofino Regular" w:hAnsi="Tofino Regular"/>
          <w:sz w:val="21"/>
          <w:szCs w:val="21"/>
        </w:rPr>
      </w:pPr>
      <w:r w:rsidRPr="008D05DD">
        <w:rPr>
          <w:rFonts w:ascii="Tofino Regular" w:hAnsi="Tofino Regular"/>
          <w:b/>
          <w:bCs/>
          <w:sz w:val="21"/>
          <w:szCs w:val="21"/>
        </w:rPr>
        <w:t>SEGUNDO</w:t>
      </w:r>
      <w:r w:rsidRPr="008D05DD">
        <w:rPr>
          <w:rFonts w:ascii="Tofino Regular" w:hAnsi="Tofino Regular"/>
          <w:sz w:val="21"/>
          <w:szCs w:val="21"/>
        </w:rPr>
        <w:t>.- De conformidad con lo señalado en el artículo 15 fracción III de la Ley de Transparencia y Acceso a la Información Pública del Estado de Yucatán, el Pleno del Inaip Yucatán, tiene la atribución de aprobar la organización administrativa del Instituto; por lo que cuenta con facultades suficientes para comisionar al personal del Instituto, a desempeñar funciones diversas a las encomendadas en sus nombramientos, así como en áreas diferentes al de su adscripción, para el mejor cumplimiento de las funciones y atribuciones del órgano garante del acceso a la información pública y la protección de datos personales.</w:t>
      </w:r>
    </w:p>
    <w:p w14:paraId="730C8572" w14:textId="77777777" w:rsidR="00174B74" w:rsidRPr="008D05DD" w:rsidRDefault="00174B74" w:rsidP="00174B74">
      <w:pPr>
        <w:autoSpaceDE w:val="0"/>
        <w:autoSpaceDN w:val="0"/>
        <w:adjustRightInd w:val="0"/>
        <w:jc w:val="both"/>
        <w:rPr>
          <w:rFonts w:ascii="Tofino Regular" w:hAnsi="Tofino Regular" w:cs="Arial"/>
          <w:b/>
          <w:bCs/>
          <w:sz w:val="21"/>
          <w:szCs w:val="21"/>
        </w:rPr>
      </w:pPr>
    </w:p>
    <w:p w14:paraId="6852EE15" w14:textId="0E15BD51" w:rsidR="00174B74" w:rsidRPr="008D05DD" w:rsidRDefault="00174B74" w:rsidP="00174B74">
      <w:pPr>
        <w:autoSpaceDE w:val="0"/>
        <w:autoSpaceDN w:val="0"/>
        <w:adjustRightInd w:val="0"/>
        <w:jc w:val="both"/>
        <w:rPr>
          <w:rFonts w:ascii="Tofino Regular" w:hAnsi="Tofino Regular" w:cs="Arial"/>
          <w:sz w:val="21"/>
          <w:szCs w:val="21"/>
        </w:rPr>
      </w:pPr>
      <w:r w:rsidRPr="008D05DD">
        <w:rPr>
          <w:rFonts w:ascii="Tofino Regular" w:hAnsi="Tofino Regular" w:cs="Arial"/>
          <w:b/>
          <w:bCs/>
          <w:sz w:val="21"/>
          <w:szCs w:val="21"/>
        </w:rPr>
        <w:t xml:space="preserve">TERCERO.- </w:t>
      </w:r>
      <w:r w:rsidRPr="008D05DD">
        <w:rPr>
          <w:rFonts w:ascii="Tofino Regular" w:hAnsi="Tofino Regular" w:cs="Arial"/>
          <w:sz w:val="21"/>
          <w:szCs w:val="21"/>
        </w:rPr>
        <w:t>En razón de que resulta necesario fortalecer a la Dirección de Capacitación, Cultura de la Transparencia y Estadística, para que cuente con personal preparado para coordinar el Centro de Evaluación de Competencias Laborales para fomentar la profesionalización de los servidores públicos vinculados con el ejercicio del derecho de acceso a la información pública y la administración de archivos públicos, de conformidad a lo establecido por el Consejo Nacional de Normalización y Certificación de Competencias Laborales, por lo que resulta pertinente comisionar al personal que para tal efecto sea nombrado para ocupar el puesto de Auxiliar de Profesionalización y de Competencias Laborales, para desempeñar las siguientes funciones dentro de la Dirección de Capacitación, Cultura la Transparencia y Estadística.</w:t>
      </w:r>
    </w:p>
    <w:p w14:paraId="50847B76"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lastRenderedPageBreak/>
        <w:t>1.</w:t>
      </w:r>
      <w:r w:rsidRPr="008D05DD">
        <w:rPr>
          <w:rFonts w:ascii="Tofino Regular" w:hAnsi="Tofino Regular" w:cs="Calibri Light"/>
          <w:sz w:val="21"/>
          <w:szCs w:val="21"/>
        </w:rPr>
        <w:tab/>
        <w:t>Integrar y resguardar el expediente de las actividades derivadas del Comité de Gestión por Competencias que preside el Instituto.</w:t>
      </w:r>
    </w:p>
    <w:p w14:paraId="058143EC" w14:textId="35C62028"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2.</w:t>
      </w:r>
      <w:r w:rsidRPr="008D05DD">
        <w:rPr>
          <w:rFonts w:ascii="Tofino Regular" w:hAnsi="Tofino Regular" w:cs="Calibri Light"/>
          <w:sz w:val="21"/>
          <w:szCs w:val="21"/>
        </w:rPr>
        <w:tab/>
        <w:t>Apoyar al Secretario Técnico del Comité de Gestión por Competencias en la elaboración de los Estándares de Competencia propuestos por el Instituto, de acuerdo con la normativa del Consejo Nacional de Normalización y Certificación de Competencias Laborales.</w:t>
      </w:r>
    </w:p>
    <w:p w14:paraId="4B177758"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3.</w:t>
      </w:r>
      <w:r w:rsidRPr="008D05DD">
        <w:rPr>
          <w:rFonts w:ascii="Tofino Regular" w:hAnsi="Tofino Regular" w:cs="Calibri Light"/>
          <w:sz w:val="21"/>
          <w:szCs w:val="21"/>
        </w:rPr>
        <w:tab/>
        <w:t>Gestionar las acreditaciones y renovaciones de Estándares de Competencia y el pago de cuotas y regalías por concepto de emisión de certificados de competencia laboral.</w:t>
      </w:r>
    </w:p>
    <w:p w14:paraId="5E4A572A"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4.</w:t>
      </w:r>
      <w:r w:rsidRPr="008D05DD">
        <w:rPr>
          <w:rFonts w:ascii="Tofino Regular" w:hAnsi="Tofino Regular" w:cs="Calibri Light"/>
          <w:sz w:val="21"/>
          <w:szCs w:val="21"/>
        </w:rPr>
        <w:tab/>
        <w:t>Atender las obligaciones derivadas de las Reglas Generales y Criterios para la integración y operación del Sistema Nacional de Competencias en específico las auditorías anuales que realiza el CONOCER.</w:t>
      </w:r>
    </w:p>
    <w:p w14:paraId="64FECB2F"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5.</w:t>
      </w:r>
      <w:r w:rsidRPr="008D05DD">
        <w:rPr>
          <w:rFonts w:ascii="Tofino Regular" w:hAnsi="Tofino Regular" w:cs="Calibri Light"/>
          <w:sz w:val="21"/>
          <w:szCs w:val="21"/>
        </w:rPr>
        <w:tab/>
        <w:t>Operar el Sistema Integral de Información del CONOCER para el registro de candidatos, integración de portafolios de evidencia y conformación de lotes para el dictamen que realiza la Entidad de Certificación y Evaluación.</w:t>
      </w:r>
    </w:p>
    <w:p w14:paraId="1DC5BD9E"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6.</w:t>
      </w:r>
      <w:r w:rsidRPr="008D05DD">
        <w:rPr>
          <w:rFonts w:ascii="Tofino Regular" w:hAnsi="Tofino Regular" w:cs="Calibri Light"/>
          <w:sz w:val="21"/>
          <w:szCs w:val="21"/>
        </w:rPr>
        <w:tab/>
        <w:t>Coordinar la asignación de procesos de evaluación y entregar los certificados emitidos a los candidatos que obtuvieron el juicio de competente.</w:t>
      </w:r>
    </w:p>
    <w:p w14:paraId="46080D52"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 xml:space="preserve"> 7.</w:t>
      </w:r>
      <w:r w:rsidRPr="008D05DD">
        <w:rPr>
          <w:rFonts w:ascii="Tofino Regular" w:hAnsi="Tofino Regular" w:cs="Calibri Light"/>
          <w:sz w:val="21"/>
          <w:szCs w:val="21"/>
        </w:rPr>
        <w:tab/>
        <w:t>Elaborar los paquetes didácticos de los cursos que imparta, de acuerdo con el Estándar de Competencia aplicable.</w:t>
      </w:r>
    </w:p>
    <w:p w14:paraId="3DF3E219"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8.</w:t>
      </w:r>
      <w:r w:rsidRPr="008D05DD">
        <w:rPr>
          <w:rFonts w:ascii="Tofino Regular" w:hAnsi="Tofino Regular" w:cs="Calibri Light"/>
          <w:sz w:val="21"/>
          <w:szCs w:val="21"/>
        </w:rPr>
        <w:tab/>
        <w:t>Impartir los talleres de alineación con base en los estándares de competencia en los que se encuentre acreditada.</w:t>
      </w:r>
    </w:p>
    <w:p w14:paraId="5035B4B8"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9.</w:t>
      </w:r>
      <w:r w:rsidRPr="008D05DD">
        <w:rPr>
          <w:rFonts w:ascii="Tofino Regular" w:hAnsi="Tofino Regular" w:cs="Calibri Light"/>
          <w:sz w:val="21"/>
          <w:szCs w:val="21"/>
        </w:rPr>
        <w:tab/>
        <w:t>Apoyar en la realización de actividades editoriales del Instituto.</w:t>
      </w:r>
    </w:p>
    <w:p w14:paraId="3762D64E"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10.</w:t>
      </w:r>
      <w:r w:rsidRPr="008D05DD">
        <w:rPr>
          <w:rFonts w:ascii="Tofino Regular" w:hAnsi="Tofino Regular" w:cs="Calibri Light"/>
          <w:sz w:val="21"/>
          <w:szCs w:val="21"/>
        </w:rPr>
        <w:tab/>
        <w:t>Elaborar los materiales para la realización de las actividades académicas curriculares y extracurriculares aprobadas.</w:t>
      </w:r>
    </w:p>
    <w:p w14:paraId="65C4318B"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11.</w:t>
      </w:r>
      <w:r w:rsidRPr="008D05DD">
        <w:rPr>
          <w:rFonts w:ascii="Tofino Regular" w:hAnsi="Tofino Regular" w:cs="Calibri Light"/>
          <w:sz w:val="21"/>
          <w:szCs w:val="21"/>
        </w:rPr>
        <w:tab/>
        <w:t>Elaborar los informes y registros estadísticos de las actividades realizadas</w:t>
      </w:r>
    </w:p>
    <w:p w14:paraId="32AD9F14"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r w:rsidRPr="008D05DD">
        <w:rPr>
          <w:rFonts w:ascii="Tofino Regular" w:hAnsi="Tofino Regular" w:cs="Calibri Light"/>
          <w:sz w:val="21"/>
          <w:szCs w:val="21"/>
        </w:rPr>
        <w:t>12.</w:t>
      </w:r>
      <w:r w:rsidRPr="008D05DD">
        <w:rPr>
          <w:rFonts w:ascii="Tofino Regular" w:hAnsi="Tofino Regular" w:cs="Calibri Light"/>
          <w:sz w:val="21"/>
          <w:szCs w:val="21"/>
        </w:rPr>
        <w:tab/>
        <w:t>Las demás funciones similares y complementarias que le asigne el Coordinador de Capacitación y Proyectos Educativos.</w:t>
      </w:r>
    </w:p>
    <w:p w14:paraId="49BC863A"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p>
    <w:p w14:paraId="60762F3E" w14:textId="77777777" w:rsidR="00174B74" w:rsidRPr="008D05DD" w:rsidRDefault="00174B74" w:rsidP="00174B74">
      <w:pPr>
        <w:autoSpaceDE w:val="0"/>
        <w:autoSpaceDN w:val="0"/>
        <w:adjustRightInd w:val="0"/>
        <w:jc w:val="both"/>
        <w:rPr>
          <w:rFonts w:ascii="Tofino Regular" w:hAnsi="Tofino Regular" w:cs="Calibri Light"/>
          <w:sz w:val="21"/>
          <w:szCs w:val="21"/>
        </w:rPr>
      </w:pPr>
      <w:r w:rsidRPr="008D05DD">
        <w:rPr>
          <w:rFonts w:ascii="Tofino Regular" w:hAnsi="Tofino Regular" w:cs="Calibri Light"/>
          <w:sz w:val="21"/>
          <w:szCs w:val="21"/>
        </w:rPr>
        <w:t>Del análisis minucioso realizado al memorándum recibido, así como de lo anteriormente expuesto y fundado, el Pleno del Instituto Estatal de Transparencia, Acceso a la Información Pública y Protección de Datos Personales emite el siguiente:</w:t>
      </w:r>
    </w:p>
    <w:p w14:paraId="30FF4500" w14:textId="77777777" w:rsidR="00174B74" w:rsidRPr="008D05DD" w:rsidRDefault="00174B74" w:rsidP="00174B74">
      <w:pPr>
        <w:autoSpaceDE w:val="0"/>
        <w:autoSpaceDN w:val="0"/>
        <w:adjustRightInd w:val="0"/>
        <w:ind w:left="360"/>
        <w:jc w:val="both"/>
        <w:rPr>
          <w:rFonts w:ascii="Tofino Regular" w:hAnsi="Tofino Regular" w:cs="Calibri Light"/>
          <w:sz w:val="21"/>
          <w:szCs w:val="21"/>
        </w:rPr>
      </w:pPr>
    </w:p>
    <w:p w14:paraId="4C06E4EB" w14:textId="77777777" w:rsidR="00174B74" w:rsidRPr="008D05DD" w:rsidRDefault="00174B74" w:rsidP="00174B74">
      <w:pPr>
        <w:jc w:val="center"/>
        <w:rPr>
          <w:rFonts w:ascii="Tofino Regular" w:hAnsi="Tofino Regular"/>
          <w:sz w:val="21"/>
          <w:szCs w:val="21"/>
        </w:rPr>
      </w:pPr>
      <w:r w:rsidRPr="008D05DD">
        <w:rPr>
          <w:rFonts w:ascii="Tofino Regular" w:hAnsi="Tofino Regular"/>
          <w:b/>
          <w:bCs/>
          <w:sz w:val="21"/>
          <w:szCs w:val="21"/>
        </w:rPr>
        <w:t>ACUERDO</w:t>
      </w:r>
    </w:p>
    <w:p w14:paraId="3F88F5FF" w14:textId="237EFABF" w:rsidR="00174B74" w:rsidRPr="008D05DD" w:rsidRDefault="00174B74" w:rsidP="00174B74">
      <w:pPr>
        <w:jc w:val="both"/>
        <w:rPr>
          <w:rFonts w:ascii="Tofino Regular" w:hAnsi="Tofino Regular"/>
          <w:sz w:val="21"/>
          <w:szCs w:val="21"/>
        </w:rPr>
      </w:pPr>
      <w:r w:rsidRPr="008D05DD">
        <w:rPr>
          <w:rFonts w:ascii="Tofino Regular" w:hAnsi="Tofino Regular"/>
          <w:b/>
          <w:bCs/>
          <w:sz w:val="21"/>
          <w:szCs w:val="21"/>
        </w:rPr>
        <w:t>PRIMERO</w:t>
      </w:r>
      <w:r w:rsidRPr="008D05DD">
        <w:rPr>
          <w:rFonts w:ascii="Tofino Regular" w:hAnsi="Tofino Regular"/>
          <w:sz w:val="21"/>
          <w:szCs w:val="21"/>
        </w:rPr>
        <w:t xml:space="preserve">.- Se autoriza por unanimidad de votos del Pleno comisionar al </w:t>
      </w:r>
      <w:r w:rsidR="00FF249A">
        <w:rPr>
          <w:rFonts w:ascii="Tofino Regular" w:hAnsi="Tofino Regular"/>
          <w:sz w:val="21"/>
          <w:szCs w:val="21"/>
        </w:rPr>
        <w:t>Maestro</w:t>
      </w:r>
      <w:r w:rsidRPr="008D05DD">
        <w:rPr>
          <w:rFonts w:ascii="Tofino Regular" w:hAnsi="Tofino Regular"/>
          <w:sz w:val="21"/>
          <w:szCs w:val="21"/>
        </w:rPr>
        <w:t xml:space="preserve"> Mario Rodrigo Escalante Galaz, </w:t>
      </w:r>
      <w:r w:rsidR="00FF249A">
        <w:rPr>
          <w:rFonts w:ascii="Tofino Regular" w:hAnsi="Tofino Regular"/>
          <w:sz w:val="21"/>
          <w:szCs w:val="21"/>
        </w:rPr>
        <w:t>Titular</w:t>
      </w:r>
      <w:r w:rsidRPr="008D05DD">
        <w:rPr>
          <w:rFonts w:ascii="Tofino Regular" w:hAnsi="Tofino Regular"/>
          <w:sz w:val="21"/>
          <w:szCs w:val="21"/>
        </w:rPr>
        <w:t xml:space="preserve"> de la Unidad de Transparencia del Instituto Estatal de Transparencia, Acceso a la Información Pública y Protección de Datos Personales para que realice funciones descritas en el considerando TERCERO.</w:t>
      </w:r>
    </w:p>
    <w:p w14:paraId="17DCEC99" w14:textId="77777777" w:rsidR="00174B74" w:rsidRPr="008D05DD" w:rsidRDefault="00174B74" w:rsidP="00174B74">
      <w:pPr>
        <w:jc w:val="both"/>
        <w:rPr>
          <w:rFonts w:ascii="Tofino Regular" w:hAnsi="Tofino Regular"/>
          <w:sz w:val="21"/>
          <w:szCs w:val="21"/>
        </w:rPr>
      </w:pPr>
    </w:p>
    <w:p w14:paraId="0451FD53" w14:textId="77777777" w:rsidR="00174B74" w:rsidRPr="008D05DD" w:rsidRDefault="00174B74" w:rsidP="00174B74">
      <w:pPr>
        <w:jc w:val="both"/>
        <w:rPr>
          <w:rFonts w:ascii="Tofino Regular" w:hAnsi="Tofino Regular"/>
          <w:sz w:val="21"/>
          <w:szCs w:val="21"/>
        </w:rPr>
      </w:pPr>
      <w:r w:rsidRPr="008D05DD">
        <w:rPr>
          <w:rFonts w:ascii="Tofino Regular" w:hAnsi="Tofino Regular"/>
          <w:b/>
          <w:bCs/>
          <w:sz w:val="21"/>
          <w:szCs w:val="21"/>
        </w:rPr>
        <w:t>SEGUNDO</w:t>
      </w:r>
      <w:r w:rsidRPr="008D05DD">
        <w:rPr>
          <w:rFonts w:ascii="Tofino Regular" w:hAnsi="Tofino Regular"/>
          <w:sz w:val="21"/>
          <w:szCs w:val="21"/>
        </w:rPr>
        <w:t>.- Se instruye a la Dirección de Asuntos Jurídicos y Plenarios para que notifique al Titular de la Unidad de Transparencia, Maestro Mario Rodrigo Escalante Galaz, de lo aprobado en el presente acuerdo.</w:t>
      </w:r>
    </w:p>
    <w:p w14:paraId="2AF9C13C" w14:textId="77777777" w:rsidR="00174B74" w:rsidRPr="008D05DD" w:rsidRDefault="00174B74" w:rsidP="00174B74">
      <w:pPr>
        <w:jc w:val="both"/>
        <w:rPr>
          <w:rFonts w:ascii="Tofino Regular" w:hAnsi="Tofino Regular"/>
          <w:sz w:val="21"/>
          <w:szCs w:val="21"/>
        </w:rPr>
      </w:pPr>
    </w:p>
    <w:p w14:paraId="587009C8" w14:textId="77777777" w:rsidR="00174B74" w:rsidRPr="008D05DD" w:rsidRDefault="00174B74" w:rsidP="00174B74">
      <w:pPr>
        <w:jc w:val="both"/>
        <w:rPr>
          <w:rFonts w:ascii="Tofino Regular" w:hAnsi="Tofino Regular"/>
          <w:sz w:val="21"/>
          <w:szCs w:val="21"/>
        </w:rPr>
      </w:pPr>
      <w:r w:rsidRPr="008D05DD">
        <w:rPr>
          <w:rFonts w:ascii="Tofino Regular" w:hAnsi="Tofino Regular"/>
          <w:b/>
          <w:bCs/>
          <w:sz w:val="21"/>
          <w:szCs w:val="21"/>
        </w:rPr>
        <w:t>TERCERO</w:t>
      </w:r>
      <w:r w:rsidRPr="008D05DD">
        <w:rPr>
          <w:rFonts w:ascii="Tofino Regular" w:hAnsi="Tofino Regular"/>
          <w:sz w:val="21"/>
          <w:szCs w:val="21"/>
        </w:rPr>
        <w:t>. - El presente acuerdo entrará en vigor el día 01 de julio de 2024, hasta en tanto no se emita otro acuerdo, que disponga lo contrario.</w:t>
      </w:r>
    </w:p>
    <w:p w14:paraId="4FFB89BE" w14:textId="77777777" w:rsidR="00174B74" w:rsidRPr="008D05DD" w:rsidRDefault="00174B74" w:rsidP="00174B74">
      <w:pPr>
        <w:jc w:val="both"/>
        <w:rPr>
          <w:rFonts w:ascii="Tofino Regular" w:hAnsi="Tofino Regular"/>
          <w:sz w:val="21"/>
          <w:szCs w:val="21"/>
        </w:rPr>
      </w:pPr>
    </w:p>
    <w:p w14:paraId="5D341313" w14:textId="77777777" w:rsidR="00174B74" w:rsidRPr="008D05DD" w:rsidRDefault="00174B74" w:rsidP="00174B74">
      <w:pPr>
        <w:jc w:val="both"/>
        <w:rPr>
          <w:rFonts w:ascii="Tofino Regular" w:eastAsia="Arial" w:hAnsi="Tofino Regular" w:cs="Calibri Light"/>
          <w:sz w:val="21"/>
          <w:szCs w:val="21"/>
        </w:rPr>
      </w:pPr>
      <w:r w:rsidRPr="008D05DD">
        <w:rPr>
          <w:rFonts w:ascii="Tofino Regular" w:hAnsi="Tofino Regular" w:cs="Calibri Light"/>
          <w:b/>
          <w:sz w:val="21"/>
          <w:szCs w:val="21"/>
        </w:rPr>
        <w:t xml:space="preserve">CUARTO. - </w:t>
      </w:r>
      <w:r w:rsidRPr="008D05DD">
        <w:rPr>
          <w:rFonts w:ascii="Tofino Regular" w:hAnsi="Tofino Regular" w:cs="Calibri Light"/>
          <w:sz w:val="21"/>
          <w:szCs w:val="21"/>
        </w:rPr>
        <w:t>Se instruye a la Dirección de Asuntos Jurídicos y Plenarios para que realice los trámites correspondientes para la</w:t>
      </w:r>
      <w:r w:rsidRPr="008D05DD">
        <w:rPr>
          <w:rFonts w:ascii="Tofino Regular" w:hAnsi="Tofino Regular" w:cs="Calibri Light"/>
          <w:b/>
          <w:sz w:val="21"/>
          <w:szCs w:val="21"/>
        </w:rPr>
        <w:t xml:space="preserve"> </w:t>
      </w:r>
      <w:r w:rsidRPr="008D05DD">
        <w:rPr>
          <w:rFonts w:ascii="Tofino Regular" w:eastAsia="Arial" w:hAnsi="Tofino Regular" w:cs="Calibri Light"/>
          <w:sz w:val="21"/>
          <w:szCs w:val="21"/>
        </w:rPr>
        <w:t>publicación del presente acuerdo en la Página de Internet Oficial del Instituto Estatal de Transparencia, Acceso a la Información Pública y Protección de Datos Personales.</w:t>
      </w:r>
    </w:p>
    <w:p w14:paraId="512BC009" w14:textId="77777777" w:rsidR="00174B74" w:rsidRPr="008D05DD" w:rsidRDefault="00174B74" w:rsidP="00174B74">
      <w:pPr>
        <w:jc w:val="both"/>
        <w:rPr>
          <w:rFonts w:ascii="Tofino Regular" w:eastAsia="Arial" w:hAnsi="Tofino Regular" w:cs="Calibri Light"/>
          <w:sz w:val="21"/>
          <w:szCs w:val="21"/>
        </w:rPr>
      </w:pPr>
    </w:p>
    <w:p w14:paraId="31CC9C71" w14:textId="77777777" w:rsidR="00174B74" w:rsidRPr="008D05DD" w:rsidRDefault="00174B74" w:rsidP="00174B74">
      <w:pPr>
        <w:jc w:val="both"/>
        <w:rPr>
          <w:rFonts w:ascii="Tofino Regular" w:hAnsi="Tofino Regular" w:cs="Calibri Light"/>
          <w:sz w:val="21"/>
          <w:szCs w:val="21"/>
        </w:rPr>
      </w:pPr>
      <w:r w:rsidRPr="008D05DD">
        <w:rPr>
          <w:rFonts w:ascii="Tofino Regular" w:hAnsi="Tofino Regular" w:cs="Calibri Light"/>
          <w:sz w:val="21"/>
          <w:szCs w:val="21"/>
        </w:rPr>
        <w:t>Así lo acordaron y firman para debida constancia, los integrantes del Pleno del Instituto Estatal de Transparencia, Acceso a la Información Pública y Protección de Datos Personales:</w:t>
      </w:r>
    </w:p>
    <w:tbl>
      <w:tblPr>
        <w:tblW w:w="9214" w:type="dxa"/>
        <w:tblInd w:w="-5" w:type="dxa"/>
        <w:tblLook w:val="04A0" w:firstRow="1" w:lastRow="0" w:firstColumn="1" w:lastColumn="0" w:noHBand="0" w:noVBand="1"/>
      </w:tblPr>
      <w:tblGrid>
        <w:gridCol w:w="4678"/>
        <w:gridCol w:w="4536"/>
      </w:tblGrid>
      <w:tr w:rsidR="00174B74" w:rsidRPr="008D05DD" w14:paraId="4031A4F0" w14:textId="77777777" w:rsidTr="006139A2">
        <w:trPr>
          <w:trHeight w:val="859"/>
        </w:trPr>
        <w:tc>
          <w:tcPr>
            <w:tcW w:w="9214" w:type="dxa"/>
            <w:gridSpan w:val="2"/>
          </w:tcPr>
          <w:p w14:paraId="119A5B0B" w14:textId="77777777" w:rsidR="00174B74" w:rsidRPr="008D05DD" w:rsidRDefault="00174B74" w:rsidP="006139A2">
            <w:pPr>
              <w:pStyle w:val="Sinespaciado"/>
              <w:spacing w:line="256" w:lineRule="auto"/>
              <w:rPr>
                <w:rFonts w:ascii="Tofino Regular" w:hAnsi="Tofino Regular" w:cs="Calibri Light"/>
                <w:b/>
                <w:sz w:val="21"/>
                <w:szCs w:val="21"/>
              </w:rPr>
            </w:pPr>
          </w:p>
          <w:p w14:paraId="69A36D1D"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3D9DF39C"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6F978E19"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24333A89"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5C597182"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6E647CF6" w14:textId="29748C18" w:rsidR="00174B74" w:rsidRPr="008D05DD" w:rsidRDefault="00A27648" w:rsidP="006139A2">
            <w:pPr>
              <w:pStyle w:val="Sinespaciado"/>
              <w:spacing w:line="256" w:lineRule="auto"/>
              <w:jc w:val="center"/>
              <w:rPr>
                <w:rFonts w:ascii="Tofino Regular" w:hAnsi="Tofino Regular" w:cs="Calibri Light"/>
                <w:b/>
                <w:sz w:val="21"/>
                <w:szCs w:val="21"/>
              </w:rPr>
            </w:pPr>
            <w:r>
              <w:rPr>
                <w:rFonts w:ascii="Tofino Regular" w:hAnsi="Tofino Regular" w:cs="Calibri Light"/>
                <w:b/>
                <w:sz w:val="21"/>
                <w:szCs w:val="21"/>
              </w:rPr>
              <w:t>(RÚBRICA)</w:t>
            </w:r>
          </w:p>
          <w:p w14:paraId="201AE96C"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4379980B" w14:textId="77777777" w:rsidR="00174B74" w:rsidRPr="008D05DD" w:rsidRDefault="00174B74" w:rsidP="006139A2">
            <w:pPr>
              <w:pStyle w:val="Sinespaciado"/>
              <w:spacing w:line="256" w:lineRule="auto"/>
              <w:ind w:right="23"/>
              <w:jc w:val="center"/>
              <w:rPr>
                <w:rFonts w:ascii="Tofino Regular" w:hAnsi="Tofino Regular"/>
                <w:bCs/>
                <w:sz w:val="21"/>
                <w:szCs w:val="21"/>
              </w:rPr>
            </w:pPr>
            <w:r w:rsidRPr="008D05DD">
              <w:rPr>
                <w:rFonts w:ascii="Tofino Regular" w:hAnsi="Tofino Regular" w:cs="Calibri Light"/>
                <w:b/>
                <w:sz w:val="21"/>
                <w:szCs w:val="21"/>
              </w:rPr>
              <w:t>MTRA. MARÍA GILDA SEGOVIA CHAB</w:t>
            </w:r>
          </w:p>
          <w:p w14:paraId="2ACAC699" w14:textId="77777777" w:rsidR="00174B74" w:rsidRPr="008D05DD" w:rsidRDefault="00174B74" w:rsidP="006139A2">
            <w:pPr>
              <w:pStyle w:val="Sinespaciado"/>
              <w:spacing w:line="256" w:lineRule="auto"/>
              <w:jc w:val="center"/>
              <w:rPr>
                <w:rFonts w:ascii="Tofino Regular" w:hAnsi="Tofino Regular" w:cs="Calibri Light"/>
                <w:b/>
                <w:sz w:val="21"/>
                <w:szCs w:val="21"/>
              </w:rPr>
            </w:pPr>
            <w:r w:rsidRPr="008D05DD">
              <w:rPr>
                <w:rFonts w:ascii="Tofino Regular" w:hAnsi="Tofino Regular" w:cs="Calibri Light"/>
                <w:b/>
                <w:sz w:val="21"/>
                <w:szCs w:val="21"/>
              </w:rPr>
              <w:t>COMISIONADA PRESIDENTA</w:t>
            </w:r>
          </w:p>
        </w:tc>
      </w:tr>
      <w:tr w:rsidR="00174B74" w:rsidRPr="008D05DD" w14:paraId="167CB5F9" w14:textId="77777777" w:rsidTr="006139A2">
        <w:trPr>
          <w:trHeight w:val="859"/>
        </w:trPr>
        <w:tc>
          <w:tcPr>
            <w:tcW w:w="4678" w:type="dxa"/>
          </w:tcPr>
          <w:p w14:paraId="4B915E5C" w14:textId="77777777" w:rsidR="00174B74" w:rsidRPr="008D05DD" w:rsidRDefault="00174B74" w:rsidP="006139A2">
            <w:pPr>
              <w:pStyle w:val="Sinespaciado"/>
              <w:spacing w:line="256" w:lineRule="auto"/>
              <w:jc w:val="center"/>
              <w:rPr>
                <w:rFonts w:ascii="Tofino Regular" w:hAnsi="Tofino Regular" w:cs="Times New Roman"/>
                <w:b/>
                <w:sz w:val="21"/>
                <w:szCs w:val="21"/>
              </w:rPr>
            </w:pPr>
          </w:p>
          <w:p w14:paraId="22DDBABA" w14:textId="77777777" w:rsidR="00174B74" w:rsidRPr="008D05DD" w:rsidRDefault="00174B74" w:rsidP="006139A2">
            <w:pPr>
              <w:pStyle w:val="Sinespaciado"/>
              <w:spacing w:line="256" w:lineRule="auto"/>
              <w:jc w:val="center"/>
              <w:rPr>
                <w:rFonts w:ascii="Tofino Regular" w:hAnsi="Tofino Regular" w:cs="Times New Roman"/>
                <w:b/>
                <w:sz w:val="21"/>
                <w:szCs w:val="21"/>
              </w:rPr>
            </w:pPr>
          </w:p>
          <w:p w14:paraId="2F513A1A" w14:textId="77777777" w:rsidR="00174B74" w:rsidRPr="008D05DD" w:rsidRDefault="00174B74" w:rsidP="006139A2">
            <w:pPr>
              <w:pStyle w:val="Sinespaciado"/>
              <w:spacing w:line="256" w:lineRule="auto"/>
              <w:jc w:val="center"/>
              <w:rPr>
                <w:rFonts w:ascii="Tofino Regular" w:hAnsi="Tofino Regular" w:cs="Times New Roman"/>
                <w:b/>
                <w:sz w:val="21"/>
                <w:szCs w:val="21"/>
              </w:rPr>
            </w:pPr>
          </w:p>
          <w:p w14:paraId="5A2ECAB0" w14:textId="77777777" w:rsidR="00174B74" w:rsidRPr="008D05DD" w:rsidRDefault="00174B74" w:rsidP="006139A2">
            <w:pPr>
              <w:pStyle w:val="Sinespaciado"/>
              <w:spacing w:line="256" w:lineRule="auto"/>
              <w:jc w:val="center"/>
              <w:rPr>
                <w:rFonts w:ascii="Tofino Regular" w:hAnsi="Tofino Regular" w:cs="Times New Roman"/>
                <w:b/>
                <w:sz w:val="21"/>
                <w:szCs w:val="21"/>
              </w:rPr>
            </w:pPr>
          </w:p>
          <w:p w14:paraId="5022BA92" w14:textId="77777777" w:rsidR="00174B74" w:rsidRPr="008D05DD" w:rsidRDefault="00174B74" w:rsidP="006139A2">
            <w:pPr>
              <w:pStyle w:val="Sinespaciado"/>
              <w:spacing w:line="256" w:lineRule="auto"/>
              <w:jc w:val="center"/>
              <w:rPr>
                <w:rFonts w:ascii="Tofino Regular" w:hAnsi="Tofino Regular" w:cs="Times New Roman"/>
                <w:b/>
                <w:sz w:val="21"/>
                <w:szCs w:val="21"/>
              </w:rPr>
            </w:pPr>
          </w:p>
          <w:p w14:paraId="5F5C5DCF" w14:textId="77777777" w:rsidR="00174B74" w:rsidRPr="008D05DD" w:rsidRDefault="00174B74" w:rsidP="006139A2">
            <w:pPr>
              <w:pStyle w:val="Sinespaciado"/>
              <w:spacing w:line="256" w:lineRule="auto"/>
              <w:jc w:val="center"/>
              <w:rPr>
                <w:rFonts w:ascii="Tofino Regular" w:hAnsi="Tofino Regular" w:cs="Times New Roman"/>
                <w:b/>
                <w:sz w:val="21"/>
                <w:szCs w:val="21"/>
              </w:rPr>
            </w:pPr>
          </w:p>
          <w:p w14:paraId="7587C82E" w14:textId="77777777" w:rsidR="00174B74" w:rsidRPr="008D05DD" w:rsidRDefault="00174B74" w:rsidP="006139A2">
            <w:pPr>
              <w:pStyle w:val="Sinespaciado"/>
              <w:spacing w:line="256" w:lineRule="auto"/>
              <w:jc w:val="center"/>
              <w:rPr>
                <w:rFonts w:ascii="Tofino Regular" w:hAnsi="Tofino Regular" w:cs="Times New Roman"/>
                <w:b/>
                <w:sz w:val="21"/>
                <w:szCs w:val="21"/>
              </w:rPr>
            </w:pPr>
          </w:p>
          <w:p w14:paraId="6B5327B9" w14:textId="77777777" w:rsidR="00A27648" w:rsidRPr="008D05DD" w:rsidRDefault="00A27648" w:rsidP="00A27648">
            <w:pPr>
              <w:pStyle w:val="Sinespaciado"/>
              <w:spacing w:line="256" w:lineRule="auto"/>
              <w:jc w:val="center"/>
              <w:rPr>
                <w:rFonts w:ascii="Tofino Regular" w:hAnsi="Tofino Regular" w:cs="Calibri Light"/>
                <w:b/>
                <w:sz w:val="21"/>
                <w:szCs w:val="21"/>
              </w:rPr>
            </w:pPr>
            <w:r>
              <w:rPr>
                <w:rFonts w:ascii="Tofino Regular" w:hAnsi="Tofino Regular" w:cs="Calibri Light"/>
                <w:b/>
                <w:sz w:val="21"/>
                <w:szCs w:val="21"/>
              </w:rPr>
              <w:t>(RÚBRICA)</w:t>
            </w:r>
          </w:p>
          <w:p w14:paraId="21DC51E6" w14:textId="77777777" w:rsidR="00174B74" w:rsidRPr="008D05DD" w:rsidRDefault="00174B74" w:rsidP="006139A2">
            <w:pPr>
              <w:pStyle w:val="Sinespaciado"/>
              <w:spacing w:line="256" w:lineRule="auto"/>
              <w:jc w:val="center"/>
              <w:rPr>
                <w:rFonts w:ascii="Tofino Regular" w:hAnsi="Tofino Regular"/>
                <w:b/>
                <w:sz w:val="21"/>
                <w:szCs w:val="21"/>
              </w:rPr>
            </w:pPr>
          </w:p>
          <w:p w14:paraId="1C3E9ABB" w14:textId="77777777" w:rsidR="00174B74" w:rsidRPr="008D05DD" w:rsidRDefault="00174B74" w:rsidP="006139A2">
            <w:pPr>
              <w:pStyle w:val="Sinespaciado"/>
              <w:spacing w:line="256" w:lineRule="auto"/>
              <w:jc w:val="center"/>
              <w:rPr>
                <w:rFonts w:ascii="Tofino Regular" w:hAnsi="Tofino Regular" w:cs="Calibri Light"/>
                <w:b/>
                <w:sz w:val="21"/>
                <w:szCs w:val="21"/>
              </w:rPr>
            </w:pPr>
            <w:r w:rsidRPr="008D05DD">
              <w:rPr>
                <w:rFonts w:ascii="Tofino Regular" w:hAnsi="Tofino Regular" w:cs="Calibri Light"/>
                <w:b/>
                <w:sz w:val="21"/>
                <w:szCs w:val="21"/>
              </w:rPr>
              <w:t>DR. CARLOS FERNANDO PAVÓN DURÁN</w:t>
            </w:r>
          </w:p>
          <w:p w14:paraId="28C2B7ED" w14:textId="77777777" w:rsidR="00174B74" w:rsidRPr="008D05DD" w:rsidRDefault="00174B74" w:rsidP="006139A2">
            <w:pPr>
              <w:pStyle w:val="Sinespaciado"/>
              <w:spacing w:line="256" w:lineRule="auto"/>
              <w:jc w:val="center"/>
              <w:rPr>
                <w:rFonts w:ascii="Tofino Regular" w:hAnsi="Tofino Regular" w:cs="Calibri Light"/>
                <w:b/>
                <w:sz w:val="21"/>
                <w:szCs w:val="21"/>
              </w:rPr>
            </w:pPr>
            <w:r w:rsidRPr="008D05DD">
              <w:rPr>
                <w:rFonts w:ascii="Tofino Regular" w:hAnsi="Tofino Regular" w:cs="Calibri Light"/>
                <w:b/>
                <w:sz w:val="21"/>
                <w:szCs w:val="21"/>
              </w:rPr>
              <w:t>COMISIONADO</w:t>
            </w:r>
          </w:p>
        </w:tc>
        <w:tc>
          <w:tcPr>
            <w:tcW w:w="4536" w:type="dxa"/>
          </w:tcPr>
          <w:p w14:paraId="5116B738"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6F7FBB0E"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1237EE84"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06C5FD1F"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748C4674"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4477D92F"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0AD7C8F1"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7027E59B" w14:textId="77777777" w:rsidR="00A27648" w:rsidRPr="008D05DD" w:rsidRDefault="00A27648" w:rsidP="00A27648">
            <w:pPr>
              <w:pStyle w:val="Sinespaciado"/>
              <w:spacing w:line="256" w:lineRule="auto"/>
              <w:jc w:val="center"/>
              <w:rPr>
                <w:rFonts w:ascii="Tofino Regular" w:hAnsi="Tofino Regular" w:cs="Calibri Light"/>
                <w:b/>
                <w:sz w:val="21"/>
                <w:szCs w:val="21"/>
              </w:rPr>
            </w:pPr>
            <w:r>
              <w:rPr>
                <w:rFonts w:ascii="Tofino Regular" w:hAnsi="Tofino Regular" w:cs="Calibri Light"/>
                <w:b/>
                <w:sz w:val="21"/>
                <w:szCs w:val="21"/>
              </w:rPr>
              <w:t>(RÚBRICA)</w:t>
            </w:r>
          </w:p>
          <w:p w14:paraId="13446F24" w14:textId="77777777" w:rsidR="00174B74" w:rsidRPr="008D05DD" w:rsidRDefault="00174B74" w:rsidP="006139A2">
            <w:pPr>
              <w:pStyle w:val="Sinespaciado"/>
              <w:spacing w:line="256" w:lineRule="auto"/>
              <w:jc w:val="center"/>
              <w:rPr>
                <w:rFonts w:ascii="Tofino Regular" w:hAnsi="Tofino Regular" w:cs="Calibri Light"/>
                <w:b/>
                <w:sz w:val="21"/>
                <w:szCs w:val="21"/>
              </w:rPr>
            </w:pPr>
          </w:p>
          <w:p w14:paraId="43686449" w14:textId="77777777" w:rsidR="00174B74" w:rsidRPr="008D05DD" w:rsidRDefault="00174B74" w:rsidP="006139A2">
            <w:pPr>
              <w:pStyle w:val="Sinespaciado"/>
              <w:spacing w:line="256" w:lineRule="auto"/>
              <w:jc w:val="center"/>
              <w:rPr>
                <w:rFonts w:ascii="Tofino Regular" w:hAnsi="Tofino Regular" w:cs="Calibri Light"/>
                <w:b/>
                <w:sz w:val="21"/>
                <w:szCs w:val="21"/>
              </w:rPr>
            </w:pPr>
            <w:r w:rsidRPr="008D05DD">
              <w:rPr>
                <w:rFonts w:ascii="Tofino Regular" w:hAnsi="Tofino Regular" w:cs="Calibri Light"/>
                <w:b/>
                <w:sz w:val="21"/>
                <w:szCs w:val="21"/>
              </w:rPr>
              <w:t>LIC. MAURICIO MORENO MENDOZA</w:t>
            </w:r>
          </w:p>
          <w:p w14:paraId="16DC24CE" w14:textId="77777777" w:rsidR="00174B74" w:rsidRPr="008D05DD" w:rsidRDefault="00174B74" w:rsidP="006139A2">
            <w:pPr>
              <w:pStyle w:val="Sinespaciado"/>
              <w:spacing w:line="256" w:lineRule="auto"/>
              <w:jc w:val="center"/>
              <w:rPr>
                <w:rFonts w:ascii="Tofino Regular" w:hAnsi="Tofino Regular" w:cs="Calibri Light"/>
                <w:b/>
                <w:sz w:val="21"/>
                <w:szCs w:val="21"/>
              </w:rPr>
            </w:pPr>
            <w:r w:rsidRPr="008D05DD">
              <w:rPr>
                <w:rFonts w:ascii="Tofino Regular" w:hAnsi="Tofino Regular" w:cs="Calibri Light"/>
                <w:b/>
                <w:sz w:val="21"/>
                <w:szCs w:val="21"/>
              </w:rPr>
              <w:t>COMISIONADO</w:t>
            </w:r>
          </w:p>
        </w:tc>
      </w:tr>
    </w:tbl>
    <w:p w14:paraId="495DE1B4" w14:textId="77777777" w:rsidR="00174B74" w:rsidRPr="008D05DD" w:rsidRDefault="00174B74" w:rsidP="00174B74">
      <w:pPr>
        <w:suppressAutoHyphens/>
        <w:rPr>
          <w:rFonts w:ascii="Tofino Regular" w:hAnsi="Tofino Regular"/>
          <w:sz w:val="21"/>
          <w:szCs w:val="21"/>
        </w:rPr>
      </w:pPr>
    </w:p>
    <w:p w14:paraId="31A8A4D6" w14:textId="77777777" w:rsidR="00174B74" w:rsidRPr="008D05DD" w:rsidRDefault="00174B74" w:rsidP="00174B74">
      <w:pPr>
        <w:jc w:val="both"/>
        <w:rPr>
          <w:rFonts w:ascii="Tofino Regular" w:hAnsi="Tofino Regular"/>
          <w:sz w:val="21"/>
          <w:szCs w:val="21"/>
        </w:rPr>
      </w:pPr>
    </w:p>
    <w:p w14:paraId="5D969EA4" w14:textId="1C1685BA" w:rsidR="00A42D23" w:rsidRPr="008D05DD" w:rsidRDefault="00A42D23" w:rsidP="00174B74">
      <w:pPr>
        <w:rPr>
          <w:sz w:val="21"/>
          <w:szCs w:val="21"/>
        </w:rPr>
      </w:pPr>
    </w:p>
    <w:sectPr w:rsidR="00A42D23" w:rsidRPr="008D05DD" w:rsidSect="00543C1B">
      <w:headerReference w:type="even" r:id="rId8"/>
      <w:headerReference w:type="default" r:id="rId9"/>
      <w:footerReference w:type="default" r:id="rId10"/>
      <w:headerReference w:type="first" r:id="rId11"/>
      <w:pgSz w:w="12240" w:h="15840"/>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9D7D3" w14:textId="77777777" w:rsidR="003127E9" w:rsidRDefault="003127E9" w:rsidP="00FD40D2">
      <w:r>
        <w:separator/>
      </w:r>
    </w:p>
  </w:endnote>
  <w:endnote w:type="continuationSeparator" w:id="0">
    <w:p w14:paraId="3295FF6F" w14:textId="77777777" w:rsidR="003127E9" w:rsidRDefault="003127E9"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1500" w14:textId="7A678C9F" w:rsidR="00543C1B" w:rsidRDefault="00543C1B" w:rsidP="00543C1B">
    <w:pPr>
      <w:pStyle w:val="Piedepgina"/>
      <w:jc w:val="center"/>
      <w:rPr>
        <w:rFonts w:ascii="Arial" w:hAnsi="Arial" w:cs="Arial"/>
        <w:noProof/>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sidR="005C1AF5">
      <w:rPr>
        <w:rFonts w:ascii="Arial" w:hAnsi="Arial" w:cs="Arial"/>
        <w:noProof/>
        <w:sz w:val="18"/>
        <w:szCs w:val="18"/>
      </w:rPr>
      <w:t>6</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sidR="005C1AF5">
      <w:rPr>
        <w:rFonts w:ascii="Arial" w:hAnsi="Arial" w:cs="Arial"/>
        <w:noProof/>
        <w:sz w:val="18"/>
        <w:szCs w:val="18"/>
      </w:rPr>
      <w:t>6</w:t>
    </w:r>
    <w:r w:rsidRPr="00371BBE">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77777777" w:rsidR="009B625A" w:rsidRDefault="00D226F5">
    <w:pPr>
      <w:pStyle w:val="Piedepgina"/>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148697098" name="Imagen 14869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BAA26" w14:textId="77777777" w:rsidR="003127E9" w:rsidRDefault="003127E9" w:rsidP="00FD40D2">
      <w:r>
        <w:separator/>
      </w:r>
    </w:p>
  </w:footnote>
  <w:footnote w:type="continuationSeparator" w:id="0">
    <w:p w14:paraId="44450D5A" w14:textId="77777777" w:rsidR="003127E9" w:rsidRDefault="003127E9"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F313" w14:textId="77777777" w:rsidR="009B625A" w:rsidRDefault="00A27648">
    <w:pPr>
      <w:pStyle w:val="Encabezado"/>
    </w:pPr>
    <w:r>
      <w:rPr>
        <w:noProof/>
      </w:rPr>
      <w:pict w14:anchorId="6D827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2051"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4969"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41E78F35" wp14:editId="408B568E">
          <wp:simplePos x="0" y="0"/>
          <wp:positionH relativeFrom="column">
            <wp:posOffset>-888365</wp:posOffset>
          </wp:positionH>
          <wp:positionV relativeFrom="paragraph">
            <wp:posOffset>-271145</wp:posOffset>
          </wp:positionV>
          <wp:extent cx="5612130" cy="864235"/>
          <wp:effectExtent l="0" t="0" r="7620" b="0"/>
          <wp:wrapNone/>
          <wp:docPr id="288673465" name="Imagen 28867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A27648">
      <w:rPr>
        <w:noProof/>
      </w:rPr>
      <w:pict w14:anchorId="6B8CF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2050"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B93C" w14:textId="77777777" w:rsidR="009B625A" w:rsidRDefault="00A27648">
    <w:pPr>
      <w:pStyle w:val="Encabezado"/>
    </w:pPr>
    <w:r>
      <w:rPr>
        <w:noProof/>
      </w:rPr>
      <w:pict w14:anchorId="0F4C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2049"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2"/>
  </w:num>
  <w:num w:numId="2" w16cid:durableId="633219152">
    <w:abstractNumId w:val="0"/>
  </w:num>
  <w:num w:numId="3" w16cid:durableId="1493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10CA5"/>
    <w:rsid w:val="000259EE"/>
    <w:rsid w:val="00026125"/>
    <w:rsid w:val="00062598"/>
    <w:rsid w:val="000846C3"/>
    <w:rsid w:val="000B211A"/>
    <w:rsid w:val="000C2E75"/>
    <w:rsid w:val="000C3B92"/>
    <w:rsid w:val="000F7510"/>
    <w:rsid w:val="00110E78"/>
    <w:rsid w:val="00116630"/>
    <w:rsid w:val="00167951"/>
    <w:rsid w:val="00174B74"/>
    <w:rsid w:val="001C0FA0"/>
    <w:rsid w:val="001E0FD4"/>
    <w:rsid w:val="001E56EF"/>
    <w:rsid w:val="00262FB7"/>
    <w:rsid w:val="002938DE"/>
    <w:rsid w:val="002C0E3C"/>
    <w:rsid w:val="002C2C40"/>
    <w:rsid w:val="002D0109"/>
    <w:rsid w:val="002E5FFE"/>
    <w:rsid w:val="002F242F"/>
    <w:rsid w:val="00302435"/>
    <w:rsid w:val="003127E9"/>
    <w:rsid w:val="00313F2B"/>
    <w:rsid w:val="0033465A"/>
    <w:rsid w:val="00335FCE"/>
    <w:rsid w:val="00350C3A"/>
    <w:rsid w:val="003513B2"/>
    <w:rsid w:val="00360FA1"/>
    <w:rsid w:val="00372D60"/>
    <w:rsid w:val="003C1D40"/>
    <w:rsid w:val="003D22AB"/>
    <w:rsid w:val="003F2A4C"/>
    <w:rsid w:val="00440543"/>
    <w:rsid w:val="004654E3"/>
    <w:rsid w:val="0047193C"/>
    <w:rsid w:val="004B3893"/>
    <w:rsid w:val="004B39F3"/>
    <w:rsid w:val="004B5DF1"/>
    <w:rsid w:val="004B727E"/>
    <w:rsid w:val="004B7BBC"/>
    <w:rsid w:val="004C0150"/>
    <w:rsid w:val="004D03F5"/>
    <w:rsid w:val="004D0DD9"/>
    <w:rsid w:val="004D5977"/>
    <w:rsid w:val="00504935"/>
    <w:rsid w:val="00505E9A"/>
    <w:rsid w:val="00533AD8"/>
    <w:rsid w:val="00533B3A"/>
    <w:rsid w:val="00543C1B"/>
    <w:rsid w:val="00551E55"/>
    <w:rsid w:val="0055587D"/>
    <w:rsid w:val="005949A6"/>
    <w:rsid w:val="005C1AF5"/>
    <w:rsid w:val="005C5B3C"/>
    <w:rsid w:val="0061390D"/>
    <w:rsid w:val="00624659"/>
    <w:rsid w:val="00641DE9"/>
    <w:rsid w:val="00652FA4"/>
    <w:rsid w:val="006E6463"/>
    <w:rsid w:val="00711C66"/>
    <w:rsid w:val="00716FF3"/>
    <w:rsid w:val="00776272"/>
    <w:rsid w:val="00786867"/>
    <w:rsid w:val="007A5FFB"/>
    <w:rsid w:val="007C0D9A"/>
    <w:rsid w:val="007D079B"/>
    <w:rsid w:val="007F70B1"/>
    <w:rsid w:val="00825508"/>
    <w:rsid w:val="0084622D"/>
    <w:rsid w:val="00853943"/>
    <w:rsid w:val="008D05DD"/>
    <w:rsid w:val="008E4F2F"/>
    <w:rsid w:val="00902F2D"/>
    <w:rsid w:val="00904CA8"/>
    <w:rsid w:val="00980ADC"/>
    <w:rsid w:val="00983C16"/>
    <w:rsid w:val="0099249B"/>
    <w:rsid w:val="009B625A"/>
    <w:rsid w:val="009B7DD6"/>
    <w:rsid w:val="009D461D"/>
    <w:rsid w:val="00A164B0"/>
    <w:rsid w:val="00A27648"/>
    <w:rsid w:val="00A42D23"/>
    <w:rsid w:val="00AC272B"/>
    <w:rsid w:val="00B23143"/>
    <w:rsid w:val="00B46CAA"/>
    <w:rsid w:val="00B813C1"/>
    <w:rsid w:val="00B87D12"/>
    <w:rsid w:val="00B92192"/>
    <w:rsid w:val="00BC3A99"/>
    <w:rsid w:val="00BD65EC"/>
    <w:rsid w:val="00C0079C"/>
    <w:rsid w:val="00C311BD"/>
    <w:rsid w:val="00C85D44"/>
    <w:rsid w:val="00CB1EA4"/>
    <w:rsid w:val="00CC4C15"/>
    <w:rsid w:val="00CF0F51"/>
    <w:rsid w:val="00D2127A"/>
    <w:rsid w:val="00D226F5"/>
    <w:rsid w:val="00D714C8"/>
    <w:rsid w:val="00DD3A96"/>
    <w:rsid w:val="00DF409A"/>
    <w:rsid w:val="00E04DF4"/>
    <w:rsid w:val="00E36438"/>
    <w:rsid w:val="00E4307F"/>
    <w:rsid w:val="00E44378"/>
    <w:rsid w:val="00E8666E"/>
    <w:rsid w:val="00EB4905"/>
    <w:rsid w:val="00ED68F9"/>
    <w:rsid w:val="00F243C6"/>
    <w:rsid w:val="00F33902"/>
    <w:rsid w:val="00F8469E"/>
    <w:rsid w:val="00F91CB7"/>
    <w:rsid w:val="00FC41E1"/>
    <w:rsid w:val="00FD40D2"/>
    <w:rsid w:val="00FF24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0866">
      <w:bodyDiv w:val="1"/>
      <w:marLeft w:val="0"/>
      <w:marRight w:val="0"/>
      <w:marTop w:val="0"/>
      <w:marBottom w:val="0"/>
      <w:divBdr>
        <w:top w:val="none" w:sz="0" w:space="0" w:color="auto"/>
        <w:left w:val="none" w:sz="0" w:space="0" w:color="auto"/>
        <w:bottom w:val="none" w:sz="0" w:space="0" w:color="auto"/>
        <w:right w:val="none" w:sz="0" w:space="0" w:color="auto"/>
      </w:divBdr>
    </w:div>
    <w:div w:id="15453608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185489021">
      <w:bodyDiv w:val="1"/>
      <w:marLeft w:val="0"/>
      <w:marRight w:val="0"/>
      <w:marTop w:val="0"/>
      <w:marBottom w:val="0"/>
      <w:divBdr>
        <w:top w:val="none" w:sz="0" w:space="0" w:color="auto"/>
        <w:left w:val="none" w:sz="0" w:space="0" w:color="auto"/>
        <w:bottom w:val="none" w:sz="0" w:space="0" w:color="auto"/>
        <w:right w:val="none" w:sz="0" w:space="0" w:color="auto"/>
      </w:divBdr>
    </w:div>
    <w:div w:id="192156959">
      <w:bodyDiv w:val="1"/>
      <w:marLeft w:val="0"/>
      <w:marRight w:val="0"/>
      <w:marTop w:val="0"/>
      <w:marBottom w:val="0"/>
      <w:divBdr>
        <w:top w:val="none" w:sz="0" w:space="0" w:color="auto"/>
        <w:left w:val="none" w:sz="0" w:space="0" w:color="auto"/>
        <w:bottom w:val="none" w:sz="0" w:space="0" w:color="auto"/>
        <w:right w:val="none" w:sz="0" w:space="0" w:color="auto"/>
      </w:divBdr>
    </w:div>
    <w:div w:id="213125006">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534776125">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30403307">
      <w:bodyDiv w:val="1"/>
      <w:marLeft w:val="0"/>
      <w:marRight w:val="0"/>
      <w:marTop w:val="0"/>
      <w:marBottom w:val="0"/>
      <w:divBdr>
        <w:top w:val="none" w:sz="0" w:space="0" w:color="auto"/>
        <w:left w:val="none" w:sz="0" w:space="0" w:color="auto"/>
        <w:bottom w:val="none" w:sz="0" w:space="0" w:color="auto"/>
        <w:right w:val="none" w:sz="0" w:space="0" w:color="auto"/>
      </w:divBdr>
    </w:div>
    <w:div w:id="693455982">
      <w:bodyDiv w:val="1"/>
      <w:marLeft w:val="0"/>
      <w:marRight w:val="0"/>
      <w:marTop w:val="0"/>
      <w:marBottom w:val="0"/>
      <w:divBdr>
        <w:top w:val="none" w:sz="0" w:space="0" w:color="auto"/>
        <w:left w:val="none" w:sz="0" w:space="0" w:color="auto"/>
        <w:bottom w:val="none" w:sz="0" w:space="0" w:color="auto"/>
        <w:right w:val="none" w:sz="0" w:space="0" w:color="auto"/>
      </w:divBdr>
    </w:div>
    <w:div w:id="748035929">
      <w:bodyDiv w:val="1"/>
      <w:marLeft w:val="0"/>
      <w:marRight w:val="0"/>
      <w:marTop w:val="0"/>
      <w:marBottom w:val="0"/>
      <w:divBdr>
        <w:top w:val="none" w:sz="0" w:space="0" w:color="auto"/>
        <w:left w:val="none" w:sz="0" w:space="0" w:color="auto"/>
        <w:bottom w:val="none" w:sz="0" w:space="0" w:color="auto"/>
        <w:right w:val="none" w:sz="0" w:space="0" w:color="auto"/>
      </w:divBdr>
    </w:div>
    <w:div w:id="800223831">
      <w:bodyDiv w:val="1"/>
      <w:marLeft w:val="0"/>
      <w:marRight w:val="0"/>
      <w:marTop w:val="0"/>
      <w:marBottom w:val="0"/>
      <w:divBdr>
        <w:top w:val="none" w:sz="0" w:space="0" w:color="auto"/>
        <w:left w:val="none" w:sz="0" w:space="0" w:color="auto"/>
        <w:bottom w:val="none" w:sz="0" w:space="0" w:color="auto"/>
        <w:right w:val="none" w:sz="0" w:space="0" w:color="auto"/>
      </w:divBdr>
    </w:div>
    <w:div w:id="885339076">
      <w:bodyDiv w:val="1"/>
      <w:marLeft w:val="0"/>
      <w:marRight w:val="0"/>
      <w:marTop w:val="0"/>
      <w:marBottom w:val="0"/>
      <w:divBdr>
        <w:top w:val="none" w:sz="0" w:space="0" w:color="auto"/>
        <w:left w:val="none" w:sz="0" w:space="0" w:color="auto"/>
        <w:bottom w:val="none" w:sz="0" w:space="0" w:color="auto"/>
        <w:right w:val="none" w:sz="0" w:space="0" w:color="auto"/>
      </w:divBdr>
    </w:div>
    <w:div w:id="924413869">
      <w:bodyDiv w:val="1"/>
      <w:marLeft w:val="0"/>
      <w:marRight w:val="0"/>
      <w:marTop w:val="0"/>
      <w:marBottom w:val="0"/>
      <w:divBdr>
        <w:top w:val="none" w:sz="0" w:space="0" w:color="auto"/>
        <w:left w:val="none" w:sz="0" w:space="0" w:color="auto"/>
        <w:bottom w:val="none" w:sz="0" w:space="0" w:color="auto"/>
        <w:right w:val="none" w:sz="0" w:space="0" w:color="auto"/>
      </w:divBdr>
    </w:div>
    <w:div w:id="957839639">
      <w:bodyDiv w:val="1"/>
      <w:marLeft w:val="0"/>
      <w:marRight w:val="0"/>
      <w:marTop w:val="0"/>
      <w:marBottom w:val="0"/>
      <w:divBdr>
        <w:top w:val="none" w:sz="0" w:space="0" w:color="auto"/>
        <w:left w:val="none" w:sz="0" w:space="0" w:color="auto"/>
        <w:bottom w:val="none" w:sz="0" w:space="0" w:color="auto"/>
        <w:right w:val="none" w:sz="0" w:space="0" w:color="auto"/>
      </w:divBdr>
    </w:div>
    <w:div w:id="964232465">
      <w:bodyDiv w:val="1"/>
      <w:marLeft w:val="0"/>
      <w:marRight w:val="0"/>
      <w:marTop w:val="0"/>
      <w:marBottom w:val="0"/>
      <w:divBdr>
        <w:top w:val="none" w:sz="0" w:space="0" w:color="auto"/>
        <w:left w:val="none" w:sz="0" w:space="0" w:color="auto"/>
        <w:bottom w:val="none" w:sz="0" w:space="0" w:color="auto"/>
        <w:right w:val="none" w:sz="0" w:space="0" w:color="auto"/>
      </w:divBdr>
    </w:div>
    <w:div w:id="1053846562">
      <w:bodyDiv w:val="1"/>
      <w:marLeft w:val="0"/>
      <w:marRight w:val="0"/>
      <w:marTop w:val="0"/>
      <w:marBottom w:val="0"/>
      <w:divBdr>
        <w:top w:val="none" w:sz="0" w:space="0" w:color="auto"/>
        <w:left w:val="none" w:sz="0" w:space="0" w:color="auto"/>
        <w:bottom w:val="none" w:sz="0" w:space="0" w:color="auto"/>
        <w:right w:val="none" w:sz="0" w:space="0" w:color="auto"/>
      </w:divBdr>
    </w:div>
    <w:div w:id="1091000633">
      <w:bodyDiv w:val="1"/>
      <w:marLeft w:val="0"/>
      <w:marRight w:val="0"/>
      <w:marTop w:val="0"/>
      <w:marBottom w:val="0"/>
      <w:divBdr>
        <w:top w:val="none" w:sz="0" w:space="0" w:color="auto"/>
        <w:left w:val="none" w:sz="0" w:space="0" w:color="auto"/>
        <w:bottom w:val="none" w:sz="0" w:space="0" w:color="auto"/>
        <w:right w:val="none" w:sz="0" w:space="0" w:color="auto"/>
      </w:divBdr>
    </w:div>
    <w:div w:id="1135836847">
      <w:bodyDiv w:val="1"/>
      <w:marLeft w:val="0"/>
      <w:marRight w:val="0"/>
      <w:marTop w:val="0"/>
      <w:marBottom w:val="0"/>
      <w:divBdr>
        <w:top w:val="none" w:sz="0" w:space="0" w:color="auto"/>
        <w:left w:val="none" w:sz="0" w:space="0" w:color="auto"/>
        <w:bottom w:val="none" w:sz="0" w:space="0" w:color="auto"/>
        <w:right w:val="none" w:sz="0" w:space="0" w:color="auto"/>
      </w:divBdr>
    </w:div>
    <w:div w:id="1163744214">
      <w:bodyDiv w:val="1"/>
      <w:marLeft w:val="0"/>
      <w:marRight w:val="0"/>
      <w:marTop w:val="0"/>
      <w:marBottom w:val="0"/>
      <w:divBdr>
        <w:top w:val="none" w:sz="0" w:space="0" w:color="auto"/>
        <w:left w:val="none" w:sz="0" w:space="0" w:color="auto"/>
        <w:bottom w:val="none" w:sz="0" w:space="0" w:color="auto"/>
        <w:right w:val="none" w:sz="0" w:space="0" w:color="auto"/>
      </w:divBdr>
    </w:div>
    <w:div w:id="1304847491">
      <w:bodyDiv w:val="1"/>
      <w:marLeft w:val="0"/>
      <w:marRight w:val="0"/>
      <w:marTop w:val="0"/>
      <w:marBottom w:val="0"/>
      <w:divBdr>
        <w:top w:val="none" w:sz="0" w:space="0" w:color="auto"/>
        <w:left w:val="none" w:sz="0" w:space="0" w:color="auto"/>
        <w:bottom w:val="none" w:sz="0" w:space="0" w:color="auto"/>
        <w:right w:val="none" w:sz="0" w:space="0" w:color="auto"/>
      </w:divBdr>
    </w:div>
    <w:div w:id="1463769001">
      <w:bodyDiv w:val="1"/>
      <w:marLeft w:val="0"/>
      <w:marRight w:val="0"/>
      <w:marTop w:val="0"/>
      <w:marBottom w:val="0"/>
      <w:divBdr>
        <w:top w:val="none" w:sz="0" w:space="0" w:color="auto"/>
        <w:left w:val="none" w:sz="0" w:space="0" w:color="auto"/>
        <w:bottom w:val="none" w:sz="0" w:space="0" w:color="auto"/>
        <w:right w:val="none" w:sz="0" w:space="0" w:color="auto"/>
      </w:divBdr>
    </w:div>
    <w:div w:id="1558198186">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666738370">
      <w:bodyDiv w:val="1"/>
      <w:marLeft w:val="0"/>
      <w:marRight w:val="0"/>
      <w:marTop w:val="0"/>
      <w:marBottom w:val="0"/>
      <w:divBdr>
        <w:top w:val="none" w:sz="0" w:space="0" w:color="auto"/>
        <w:left w:val="none" w:sz="0" w:space="0" w:color="auto"/>
        <w:bottom w:val="none" w:sz="0" w:space="0" w:color="auto"/>
        <w:right w:val="none" w:sz="0" w:space="0" w:color="auto"/>
      </w:divBdr>
    </w:div>
    <w:div w:id="1699162686">
      <w:bodyDiv w:val="1"/>
      <w:marLeft w:val="0"/>
      <w:marRight w:val="0"/>
      <w:marTop w:val="0"/>
      <w:marBottom w:val="0"/>
      <w:divBdr>
        <w:top w:val="none" w:sz="0" w:space="0" w:color="auto"/>
        <w:left w:val="none" w:sz="0" w:space="0" w:color="auto"/>
        <w:bottom w:val="none" w:sz="0" w:space="0" w:color="auto"/>
        <w:right w:val="none" w:sz="0" w:space="0" w:color="auto"/>
      </w:divBdr>
    </w:div>
    <w:div w:id="1703165712">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63261399">
      <w:bodyDiv w:val="1"/>
      <w:marLeft w:val="0"/>
      <w:marRight w:val="0"/>
      <w:marTop w:val="0"/>
      <w:marBottom w:val="0"/>
      <w:divBdr>
        <w:top w:val="none" w:sz="0" w:space="0" w:color="auto"/>
        <w:left w:val="none" w:sz="0" w:space="0" w:color="auto"/>
        <w:bottom w:val="none" w:sz="0" w:space="0" w:color="auto"/>
        <w:right w:val="none" w:sz="0" w:space="0" w:color="auto"/>
      </w:divBdr>
    </w:div>
    <w:div w:id="1769546158">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963999532">
      <w:bodyDiv w:val="1"/>
      <w:marLeft w:val="0"/>
      <w:marRight w:val="0"/>
      <w:marTop w:val="0"/>
      <w:marBottom w:val="0"/>
      <w:divBdr>
        <w:top w:val="none" w:sz="0" w:space="0" w:color="auto"/>
        <w:left w:val="none" w:sz="0" w:space="0" w:color="auto"/>
        <w:bottom w:val="none" w:sz="0" w:space="0" w:color="auto"/>
        <w:right w:val="none" w:sz="0" w:space="0" w:color="auto"/>
      </w:divBdr>
    </w:div>
    <w:div w:id="2020812592">
      <w:bodyDiv w:val="1"/>
      <w:marLeft w:val="0"/>
      <w:marRight w:val="0"/>
      <w:marTop w:val="0"/>
      <w:marBottom w:val="0"/>
      <w:divBdr>
        <w:top w:val="none" w:sz="0" w:space="0" w:color="auto"/>
        <w:left w:val="none" w:sz="0" w:space="0" w:color="auto"/>
        <w:bottom w:val="none" w:sz="0" w:space="0" w:color="auto"/>
        <w:right w:val="none" w:sz="0" w:space="0" w:color="auto"/>
      </w:divBdr>
    </w:div>
    <w:div w:id="2036151615">
      <w:bodyDiv w:val="1"/>
      <w:marLeft w:val="0"/>
      <w:marRight w:val="0"/>
      <w:marTop w:val="0"/>
      <w:marBottom w:val="0"/>
      <w:divBdr>
        <w:top w:val="none" w:sz="0" w:space="0" w:color="auto"/>
        <w:left w:val="none" w:sz="0" w:space="0" w:color="auto"/>
        <w:bottom w:val="none" w:sz="0" w:space="0" w:color="auto"/>
        <w:right w:val="none" w:sz="0" w:space="0" w:color="auto"/>
      </w:divBdr>
    </w:div>
    <w:div w:id="20509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1423</Words>
  <Characters>7828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76</cp:revision>
  <cp:lastPrinted>2024-07-04T15:17:00Z</cp:lastPrinted>
  <dcterms:created xsi:type="dcterms:W3CDTF">2023-12-20T16:25:00Z</dcterms:created>
  <dcterms:modified xsi:type="dcterms:W3CDTF">2024-07-11T18:11:00Z</dcterms:modified>
</cp:coreProperties>
</file>