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C271A" w14:textId="1F083D6B" w:rsidR="006156A6" w:rsidRPr="00B008B7" w:rsidRDefault="006156A6" w:rsidP="00B008B7">
      <w:pPr>
        <w:jc w:val="center"/>
        <w:rPr>
          <w:rFonts w:ascii="Tofino Regular" w:hAnsi="Tofino Regular" w:cs="Calibri Light"/>
          <w:b/>
          <w:sz w:val="19"/>
          <w:szCs w:val="19"/>
        </w:rPr>
      </w:pPr>
      <w:bookmarkStart w:id="0" w:name="_Hlk21939798"/>
      <w:r w:rsidRPr="00B008B7">
        <w:rPr>
          <w:rFonts w:ascii="Tofino Regular" w:hAnsi="Tofino Regular" w:cs="Calibri Light"/>
          <w:b/>
          <w:sz w:val="19"/>
          <w:szCs w:val="19"/>
        </w:rPr>
        <w:t>ACUERDO ADMINISTRATIVO</w:t>
      </w:r>
    </w:p>
    <w:p w14:paraId="32F4E7BD" w14:textId="77777777" w:rsidR="006156A6" w:rsidRPr="00B008B7" w:rsidRDefault="006156A6" w:rsidP="00B008B7">
      <w:pPr>
        <w:jc w:val="both"/>
        <w:rPr>
          <w:rFonts w:ascii="Tofino Regular" w:hAnsi="Tofino Regular" w:cs="Calibri Light"/>
          <w:bCs/>
          <w:sz w:val="19"/>
          <w:szCs w:val="19"/>
        </w:rPr>
      </w:pPr>
    </w:p>
    <w:p w14:paraId="51C31CD3" w14:textId="6C84C8A4" w:rsidR="00D836CF" w:rsidRPr="00B008B7" w:rsidRDefault="00D836CF" w:rsidP="00B008B7">
      <w:pPr>
        <w:jc w:val="both"/>
        <w:rPr>
          <w:rFonts w:ascii="Tofino Regular" w:eastAsia="Arial" w:hAnsi="Tofino Regular" w:cs="Calibri Light"/>
          <w:sz w:val="19"/>
          <w:szCs w:val="19"/>
        </w:rPr>
      </w:pPr>
      <w:r w:rsidRPr="00B008B7">
        <w:rPr>
          <w:rFonts w:ascii="Tofino Regular" w:eastAsia="Arial" w:hAnsi="Tofino Regular" w:cs="Calibri Light"/>
          <w:sz w:val="19"/>
          <w:szCs w:val="19"/>
        </w:rPr>
        <w:t xml:space="preserve">En la ciudad de Mérida, Yucatán, a los </w:t>
      </w:r>
      <w:r w:rsidR="00715DB0" w:rsidRPr="00B008B7">
        <w:rPr>
          <w:rFonts w:ascii="Tofino Regular" w:eastAsia="Arial" w:hAnsi="Tofino Regular" w:cs="Calibri Light"/>
          <w:sz w:val="19"/>
          <w:szCs w:val="19"/>
        </w:rPr>
        <w:t>dieciséis</w:t>
      </w:r>
      <w:r w:rsidRPr="00B008B7">
        <w:rPr>
          <w:rFonts w:ascii="Tofino Regular" w:eastAsia="Arial" w:hAnsi="Tofino Regular" w:cs="Calibri Light"/>
          <w:sz w:val="19"/>
          <w:szCs w:val="19"/>
        </w:rPr>
        <w:t xml:space="preserve"> </w:t>
      </w:r>
      <w:r w:rsidR="0002758C" w:rsidRPr="00B008B7">
        <w:rPr>
          <w:rFonts w:ascii="Tofino Regular" w:eastAsia="Arial" w:hAnsi="Tofino Regular" w:cs="Calibri Light"/>
          <w:sz w:val="19"/>
          <w:szCs w:val="19"/>
        </w:rPr>
        <w:t xml:space="preserve">días </w:t>
      </w:r>
      <w:r w:rsidRPr="00B008B7">
        <w:rPr>
          <w:rFonts w:ascii="Tofino Regular" w:eastAsia="Arial" w:hAnsi="Tofino Regular" w:cs="Calibri Light"/>
          <w:sz w:val="19"/>
          <w:szCs w:val="19"/>
        </w:rPr>
        <w:t xml:space="preserve">del mes de </w:t>
      </w:r>
      <w:r w:rsidR="00C04C75" w:rsidRPr="00B008B7">
        <w:rPr>
          <w:rFonts w:ascii="Tofino Regular" w:eastAsia="Arial" w:hAnsi="Tofino Regular" w:cs="Calibri Light"/>
          <w:sz w:val="19"/>
          <w:szCs w:val="19"/>
        </w:rPr>
        <w:t>ju</w:t>
      </w:r>
      <w:r w:rsidR="00715DB0" w:rsidRPr="00B008B7">
        <w:rPr>
          <w:rFonts w:ascii="Tofino Regular" w:eastAsia="Arial" w:hAnsi="Tofino Regular" w:cs="Calibri Light"/>
          <w:sz w:val="19"/>
          <w:szCs w:val="19"/>
        </w:rPr>
        <w:t>l</w:t>
      </w:r>
      <w:r w:rsidR="00C04C75" w:rsidRPr="00B008B7">
        <w:rPr>
          <w:rFonts w:ascii="Tofino Regular" w:eastAsia="Arial" w:hAnsi="Tofino Regular" w:cs="Calibri Light"/>
          <w:sz w:val="19"/>
          <w:szCs w:val="19"/>
        </w:rPr>
        <w:t>io</w:t>
      </w:r>
      <w:r w:rsidR="00BB46DA" w:rsidRPr="00B008B7">
        <w:rPr>
          <w:rFonts w:ascii="Tofino Regular" w:eastAsia="Arial" w:hAnsi="Tofino Regular" w:cs="Calibri Light"/>
          <w:sz w:val="19"/>
          <w:szCs w:val="19"/>
        </w:rPr>
        <w:t xml:space="preserve"> </w:t>
      </w:r>
      <w:r w:rsidRPr="00B008B7">
        <w:rPr>
          <w:rFonts w:ascii="Tofino Regular" w:eastAsia="Arial" w:hAnsi="Tofino Regular" w:cs="Calibri Light"/>
          <w:sz w:val="19"/>
          <w:szCs w:val="19"/>
        </w:rPr>
        <w:t>del año dos mil veinti</w:t>
      </w:r>
      <w:r w:rsidR="000A40E5" w:rsidRPr="00B008B7">
        <w:rPr>
          <w:rFonts w:ascii="Tofino Regular" w:eastAsia="Arial" w:hAnsi="Tofino Regular" w:cs="Calibri Light"/>
          <w:sz w:val="19"/>
          <w:szCs w:val="19"/>
        </w:rPr>
        <w:t>cinco</w:t>
      </w:r>
      <w:r w:rsidRPr="00B008B7">
        <w:rPr>
          <w:rFonts w:ascii="Tofino Regular" w:eastAsia="Arial" w:hAnsi="Tofino Regular" w:cs="Calibri Light"/>
          <w:sz w:val="19"/>
          <w:szCs w:val="19"/>
        </w:rPr>
        <w:t>, las personas integrantes del Pleno del Instituto Estatal de Transparencia, Acceso a la Información Pública y Protección de Datos Personales, la Maestra María Gilda Segovia Chab, el Doctor en Derecho Carlos Fernando Pavón Durán y el Licenciado en Derecho Mauricio Moreno Mendoza,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3D3554E8" w14:textId="77777777" w:rsidR="006156A6" w:rsidRPr="00B008B7" w:rsidRDefault="006156A6" w:rsidP="00B008B7">
      <w:pPr>
        <w:jc w:val="both"/>
        <w:rPr>
          <w:rFonts w:ascii="Tofino Regular" w:hAnsi="Tofino Regular" w:cs="Calibri Light"/>
          <w:sz w:val="19"/>
          <w:szCs w:val="19"/>
        </w:rPr>
      </w:pPr>
    </w:p>
    <w:p w14:paraId="42073035" w14:textId="77777777" w:rsidR="006156A6" w:rsidRPr="00B008B7" w:rsidRDefault="006156A6" w:rsidP="00B008B7">
      <w:pPr>
        <w:jc w:val="center"/>
        <w:rPr>
          <w:rFonts w:ascii="Tofino Regular" w:hAnsi="Tofino Regular" w:cs="Calibri Light"/>
          <w:b/>
          <w:sz w:val="19"/>
          <w:szCs w:val="19"/>
        </w:rPr>
      </w:pPr>
      <w:r w:rsidRPr="00B008B7">
        <w:rPr>
          <w:rFonts w:ascii="Tofino Regular" w:hAnsi="Tofino Regular" w:cs="Calibri Light"/>
          <w:b/>
          <w:sz w:val="19"/>
          <w:szCs w:val="19"/>
        </w:rPr>
        <w:t>ANTECEDENTES</w:t>
      </w:r>
    </w:p>
    <w:p w14:paraId="28D1389F" w14:textId="77777777" w:rsidR="006156A6" w:rsidRPr="00B008B7" w:rsidRDefault="006156A6" w:rsidP="00B008B7">
      <w:pPr>
        <w:jc w:val="both"/>
        <w:rPr>
          <w:rFonts w:ascii="Tofino Regular" w:hAnsi="Tofino Regular" w:cs="Calibri Light"/>
          <w:b/>
          <w:sz w:val="19"/>
          <w:szCs w:val="19"/>
        </w:rPr>
      </w:pPr>
    </w:p>
    <w:p w14:paraId="141626E0" w14:textId="5B8C2AB3" w:rsidR="0070745C" w:rsidRPr="00B008B7" w:rsidRDefault="006156A6" w:rsidP="00B008B7">
      <w:pPr>
        <w:jc w:val="both"/>
        <w:rPr>
          <w:rFonts w:ascii="Tofino Regular" w:hAnsi="Tofino Regular" w:cs="Calibri Light"/>
          <w:bCs/>
          <w:sz w:val="19"/>
          <w:szCs w:val="19"/>
        </w:rPr>
      </w:pPr>
      <w:r w:rsidRPr="00B008B7">
        <w:rPr>
          <w:rFonts w:ascii="Tofino Regular" w:hAnsi="Tofino Regular" w:cs="Calibri Light"/>
          <w:b/>
          <w:sz w:val="19"/>
          <w:szCs w:val="19"/>
        </w:rPr>
        <w:t>PRIMERO</w:t>
      </w:r>
      <w:r w:rsidRPr="00B008B7">
        <w:rPr>
          <w:rFonts w:ascii="Tofino Regular" w:hAnsi="Tofino Regular" w:cs="Calibri Light"/>
          <w:bCs/>
          <w:sz w:val="19"/>
          <w:szCs w:val="19"/>
        </w:rPr>
        <w:t xml:space="preserve">.- En fecha </w:t>
      </w:r>
      <w:r w:rsidR="000A40E5" w:rsidRPr="00B008B7">
        <w:rPr>
          <w:rFonts w:ascii="Tofino Regular" w:hAnsi="Tofino Regular" w:cs="Calibri Light"/>
          <w:bCs/>
          <w:sz w:val="19"/>
          <w:szCs w:val="19"/>
        </w:rPr>
        <w:t>31 de diciembre de 2024</w:t>
      </w:r>
      <w:r w:rsidRPr="00B008B7">
        <w:rPr>
          <w:rFonts w:ascii="Tofino Regular" w:hAnsi="Tofino Regular" w:cs="Calibri Light"/>
          <w:bCs/>
          <w:sz w:val="19"/>
          <w:szCs w:val="19"/>
        </w:rPr>
        <w:t>, se publicó en el Diario Oficial del Gobierno del Estado de Yucatán el</w:t>
      </w:r>
      <w:r w:rsidR="007A2804" w:rsidRPr="00B008B7">
        <w:rPr>
          <w:rFonts w:ascii="Tofino Regular" w:hAnsi="Tofino Regular" w:cs="Calibri Light"/>
          <w:bCs/>
          <w:sz w:val="19"/>
          <w:szCs w:val="19"/>
        </w:rPr>
        <w:t xml:space="preserve"> Decreto </w:t>
      </w:r>
      <w:r w:rsidR="000A40E5" w:rsidRPr="00B008B7">
        <w:rPr>
          <w:rFonts w:ascii="Tofino Regular" w:hAnsi="Tofino Regular" w:cs="Calibri Light"/>
          <w:bCs/>
          <w:sz w:val="19"/>
          <w:szCs w:val="19"/>
        </w:rPr>
        <w:t>38/2024</w:t>
      </w:r>
      <w:r w:rsidR="007A2804" w:rsidRPr="00B008B7">
        <w:rPr>
          <w:rFonts w:ascii="Tofino Regular" w:hAnsi="Tofino Regular" w:cs="Calibri Light"/>
          <w:bCs/>
          <w:sz w:val="19"/>
          <w:szCs w:val="19"/>
        </w:rPr>
        <w:t xml:space="preserve"> por el que se emite el</w:t>
      </w:r>
      <w:r w:rsidRPr="00B008B7">
        <w:rPr>
          <w:rFonts w:ascii="Tofino Regular" w:hAnsi="Tofino Regular" w:cs="Calibri Light"/>
          <w:bCs/>
          <w:sz w:val="19"/>
          <w:szCs w:val="19"/>
        </w:rPr>
        <w:t xml:space="preserve"> Presupuesto de Egresos del Gobierno del Estado de Yucatán para el ejercicio Fiscal 202</w:t>
      </w:r>
      <w:r w:rsidR="0070745C" w:rsidRPr="00B008B7">
        <w:rPr>
          <w:rFonts w:ascii="Tofino Regular" w:hAnsi="Tofino Regular" w:cs="Calibri Light"/>
          <w:bCs/>
          <w:sz w:val="19"/>
          <w:szCs w:val="19"/>
        </w:rPr>
        <w:t>5</w:t>
      </w:r>
      <w:r w:rsidRPr="00B008B7">
        <w:rPr>
          <w:rFonts w:ascii="Tofino Regular" w:hAnsi="Tofino Regular" w:cs="Calibri Light"/>
          <w:bCs/>
          <w:sz w:val="19"/>
          <w:szCs w:val="19"/>
        </w:rPr>
        <w:t>. A través de dicho decreto, se especifica que, al Instituto Estatal de Transparencia, Acceso a la Información Pública y Protección de Datos Personales se le otorgaría la cantidad de $</w:t>
      </w:r>
      <w:r w:rsidR="0070745C" w:rsidRPr="00B008B7">
        <w:rPr>
          <w:rFonts w:ascii="Tofino Regular" w:hAnsi="Tofino Regular" w:cs="Calibri Light"/>
          <w:bCs/>
          <w:sz w:val="19"/>
          <w:szCs w:val="19"/>
        </w:rPr>
        <w:t>26,499,180.</w:t>
      </w:r>
    </w:p>
    <w:p w14:paraId="103C74C9" w14:textId="77777777" w:rsidR="000A40E5" w:rsidRPr="00B008B7" w:rsidRDefault="000A40E5" w:rsidP="00B008B7">
      <w:pPr>
        <w:jc w:val="both"/>
        <w:rPr>
          <w:rFonts w:ascii="Tofino Regular" w:hAnsi="Tofino Regular" w:cs="Calibri Light"/>
          <w:bCs/>
          <w:sz w:val="19"/>
          <w:szCs w:val="19"/>
        </w:rPr>
      </w:pPr>
    </w:p>
    <w:p w14:paraId="005FCC62" w14:textId="07877213" w:rsidR="006156A6" w:rsidRPr="00B008B7" w:rsidRDefault="006156A6" w:rsidP="00B008B7">
      <w:pPr>
        <w:jc w:val="both"/>
        <w:rPr>
          <w:rFonts w:ascii="Tofino Regular" w:hAnsi="Tofino Regular" w:cs="Calibri Light"/>
          <w:sz w:val="19"/>
          <w:szCs w:val="19"/>
        </w:rPr>
      </w:pPr>
      <w:r w:rsidRPr="00B008B7">
        <w:rPr>
          <w:rFonts w:ascii="Tofino Regular" w:hAnsi="Tofino Regular" w:cs="Calibri Light"/>
          <w:b/>
          <w:sz w:val="19"/>
          <w:szCs w:val="19"/>
        </w:rPr>
        <w:t>SEGUNDO.-</w:t>
      </w:r>
      <w:r w:rsidRPr="00B008B7">
        <w:rPr>
          <w:rFonts w:ascii="Tofino Regular" w:hAnsi="Tofino Regular" w:cs="Calibri Light"/>
          <w:sz w:val="19"/>
          <w:szCs w:val="19"/>
        </w:rPr>
        <w:t xml:space="preserve"> Mediante sesión ordinaria de fecha </w:t>
      </w:r>
      <w:r w:rsidR="00E8774A" w:rsidRPr="00B008B7">
        <w:rPr>
          <w:rFonts w:ascii="Tofino Regular" w:hAnsi="Tofino Regular" w:cs="Calibri Light"/>
          <w:sz w:val="19"/>
          <w:szCs w:val="19"/>
        </w:rPr>
        <w:t>07</w:t>
      </w:r>
      <w:r w:rsidRPr="00B008B7">
        <w:rPr>
          <w:rFonts w:ascii="Tofino Regular" w:hAnsi="Tofino Regular" w:cs="Calibri Light"/>
          <w:sz w:val="19"/>
          <w:szCs w:val="19"/>
        </w:rPr>
        <w:t xml:space="preserve"> de enero de 202</w:t>
      </w:r>
      <w:r w:rsidR="00E8774A" w:rsidRPr="00B008B7">
        <w:rPr>
          <w:rFonts w:ascii="Tofino Regular" w:hAnsi="Tofino Regular" w:cs="Calibri Light"/>
          <w:sz w:val="19"/>
          <w:szCs w:val="19"/>
        </w:rPr>
        <w:t>5</w:t>
      </w:r>
      <w:r w:rsidRPr="00B008B7">
        <w:rPr>
          <w:rFonts w:ascii="Tofino Regular" w:hAnsi="Tofino Regular" w:cs="Calibri Light"/>
          <w:sz w:val="19"/>
          <w:szCs w:val="19"/>
        </w:rPr>
        <w:t>, radicada en el acta número 00</w:t>
      </w:r>
      <w:r w:rsidR="007A2804" w:rsidRPr="00B008B7">
        <w:rPr>
          <w:rFonts w:ascii="Tofino Regular" w:hAnsi="Tofino Regular" w:cs="Calibri Light"/>
          <w:sz w:val="19"/>
          <w:szCs w:val="19"/>
        </w:rPr>
        <w:t>1</w:t>
      </w:r>
      <w:r w:rsidRPr="00B008B7">
        <w:rPr>
          <w:rFonts w:ascii="Tofino Regular" w:hAnsi="Tofino Regular" w:cs="Calibri Light"/>
          <w:sz w:val="19"/>
          <w:szCs w:val="19"/>
        </w:rPr>
        <w:t>/202</w:t>
      </w:r>
      <w:r w:rsidR="00E8774A" w:rsidRPr="00B008B7">
        <w:rPr>
          <w:rFonts w:ascii="Tofino Regular" w:hAnsi="Tofino Regular" w:cs="Calibri Light"/>
          <w:sz w:val="19"/>
          <w:szCs w:val="19"/>
        </w:rPr>
        <w:t>5</w:t>
      </w:r>
      <w:r w:rsidRPr="00B008B7">
        <w:rPr>
          <w:rFonts w:ascii="Tofino Regular" w:hAnsi="Tofino Regular" w:cs="Calibri Light"/>
          <w:sz w:val="19"/>
          <w:szCs w:val="19"/>
        </w:rPr>
        <w:t xml:space="preserve">, </w:t>
      </w:r>
      <w:r w:rsidR="00E8774A" w:rsidRPr="00B008B7">
        <w:rPr>
          <w:rFonts w:ascii="Tofino Regular" w:hAnsi="Tofino Regular" w:cs="Calibri Light"/>
          <w:sz w:val="19"/>
          <w:szCs w:val="19"/>
        </w:rPr>
        <w:t xml:space="preserve">los </w:t>
      </w:r>
      <w:r w:rsidRPr="00B008B7">
        <w:rPr>
          <w:rFonts w:ascii="Tofino Regular" w:hAnsi="Tofino Regular" w:cs="Calibri Light"/>
          <w:sz w:val="19"/>
          <w:szCs w:val="19"/>
        </w:rPr>
        <w:t>integrantes del Pleno del Instituto Estatal de Transparencia, Acceso a la Información Pública y Protección de Datos Personales, la Maestra María Gilda Segovia Chab</w:t>
      </w:r>
      <w:r w:rsidR="007F6646" w:rsidRPr="00B008B7">
        <w:rPr>
          <w:rFonts w:ascii="Tofino Regular" w:hAnsi="Tofino Regular" w:cs="Calibri Light"/>
          <w:sz w:val="19"/>
          <w:szCs w:val="19"/>
        </w:rPr>
        <w:t xml:space="preserve">, </w:t>
      </w:r>
      <w:r w:rsidR="007A2804" w:rsidRPr="00B008B7">
        <w:rPr>
          <w:rFonts w:ascii="Tofino Regular" w:hAnsi="Tofino Regular" w:cs="Calibri Light"/>
          <w:sz w:val="19"/>
          <w:szCs w:val="19"/>
        </w:rPr>
        <w:t>el</w:t>
      </w:r>
      <w:r w:rsidRPr="00B008B7">
        <w:rPr>
          <w:rFonts w:ascii="Tofino Regular" w:hAnsi="Tofino Regular" w:cs="Calibri Light"/>
          <w:sz w:val="19"/>
          <w:szCs w:val="19"/>
        </w:rPr>
        <w:t xml:space="preserve"> Doctor en Derecho, Carlos Fernando Pavón Durán</w:t>
      </w:r>
      <w:r w:rsidR="007F6646" w:rsidRPr="00B008B7">
        <w:rPr>
          <w:rFonts w:ascii="Tofino Regular" w:hAnsi="Tofino Regular" w:cs="Calibri Light"/>
          <w:sz w:val="19"/>
          <w:szCs w:val="19"/>
        </w:rPr>
        <w:t xml:space="preserve"> y el</w:t>
      </w:r>
      <w:r w:rsidR="003E1E8E" w:rsidRPr="00B008B7">
        <w:rPr>
          <w:rFonts w:ascii="Tofino Regular" w:hAnsi="Tofino Regular" w:cs="Calibri Light"/>
          <w:sz w:val="19"/>
          <w:szCs w:val="19"/>
        </w:rPr>
        <w:t xml:space="preserve"> Licenciado en Derecho,</w:t>
      </w:r>
      <w:r w:rsidR="007F6646" w:rsidRPr="00B008B7">
        <w:rPr>
          <w:rFonts w:ascii="Tofino Regular" w:hAnsi="Tofino Regular" w:cs="Calibri Light"/>
          <w:sz w:val="19"/>
          <w:szCs w:val="19"/>
        </w:rPr>
        <w:t xml:space="preserve"> Mauricio Moreno Mendoza,</w:t>
      </w:r>
      <w:r w:rsidRPr="00B008B7">
        <w:rPr>
          <w:rFonts w:ascii="Tofino Regular" w:hAnsi="Tofino Regular" w:cs="Calibri Light"/>
          <w:sz w:val="19"/>
          <w:szCs w:val="19"/>
        </w:rPr>
        <w:t xml:space="preserve"> Comisionada Presidenta y Comisionado</w:t>
      </w:r>
      <w:r w:rsidR="007F6646" w:rsidRPr="00B008B7">
        <w:rPr>
          <w:rFonts w:ascii="Tofino Regular" w:hAnsi="Tofino Regular" w:cs="Calibri Light"/>
          <w:sz w:val="19"/>
          <w:szCs w:val="19"/>
        </w:rPr>
        <w:t>s</w:t>
      </w:r>
      <w:r w:rsidRPr="00B008B7">
        <w:rPr>
          <w:rFonts w:ascii="Tofino Regular" w:hAnsi="Tofino Regular" w:cs="Calibri Light"/>
          <w:sz w:val="19"/>
          <w:szCs w:val="19"/>
        </w:rPr>
        <w:t xml:space="preserve">, respectivamente, aprobaron por </w:t>
      </w:r>
      <w:r w:rsidR="007A2804" w:rsidRPr="00B008B7">
        <w:rPr>
          <w:rFonts w:ascii="Tofino Regular" w:hAnsi="Tofino Regular" w:cs="Calibri Light"/>
          <w:sz w:val="19"/>
          <w:szCs w:val="19"/>
        </w:rPr>
        <w:t xml:space="preserve">unanimidad de votos </w:t>
      </w:r>
      <w:r w:rsidR="000A40E5" w:rsidRPr="00B008B7">
        <w:rPr>
          <w:rFonts w:ascii="Tofino Regular" w:hAnsi="Tofino Regular" w:cs="Calibri Light"/>
          <w:sz w:val="19"/>
          <w:szCs w:val="19"/>
        </w:rPr>
        <w:t>del Pleno</w:t>
      </w:r>
      <w:r w:rsidRPr="00B008B7">
        <w:rPr>
          <w:rFonts w:ascii="Tofino Regular" w:hAnsi="Tofino Regular" w:cs="Calibri Light"/>
          <w:sz w:val="19"/>
          <w:szCs w:val="19"/>
        </w:rPr>
        <w:t>, el Presupuesto de Egresos del Inaip Yucatán para el ejercicio 202</w:t>
      </w:r>
      <w:r w:rsidR="00E8774A" w:rsidRPr="00B008B7">
        <w:rPr>
          <w:rFonts w:ascii="Tofino Regular" w:hAnsi="Tofino Regular" w:cs="Calibri Light"/>
          <w:sz w:val="19"/>
          <w:szCs w:val="19"/>
        </w:rPr>
        <w:t>5</w:t>
      </w:r>
      <w:r w:rsidRPr="00B008B7">
        <w:rPr>
          <w:rFonts w:ascii="Tofino Regular" w:hAnsi="Tofino Regular" w:cs="Calibri Light"/>
          <w:sz w:val="19"/>
          <w:szCs w:val="19"/>
        </w:rPr>
        <w:t>, en el cual se consider</w:t>
      </w:r>
      <w:r w:rsidR="000C2B1C" w:rsidRPr="00B008B7">
        <w:rPr>
          <w:rFonts w:ascii="Tofino Regular" w:hAnsi="Tofino Regular" w:cs="Calibri Light"/>
          <w:sz w:val="19"/>
          <w:szCs w:val="19"/>
        </w:rPr>
        <w:t xml:space="preserve">aron </w:t>
      </w:r>
      <w:r w:rsidRPr="00B008B7">
        <w:rPr>
          <w:rFonts w:ascii="Tofino Regular" w:hAnsi="Tofino Regular" w:cs="Calibri Light"/>
          <w:sz w:val="19"/>
          <w:szCs w:val="19"/>
        </w:rPr>
        <w:t xml:space="preserve"> </w:t>
      </w:r>
      <w:r w:rsidRPr="00B008B7">
        <w:rPr>
          <w:rFonts w:ascii="Tofino Regular" w:hAnsi="Tofino Regular" w:cs="Calibri Light"/>
          <w:iCs/>
          <w:sz w:val="19"/>
          <w:szCs w:val="19"/>
        </w:rPr>
        <w:t>l</w:t>
      </w:r>
      <w:r w:rsidR="000C2B1C" w:rsidRPr="00B008B7">
        <w:rPr>
          <w:rFonts w:ascii="Tofino Regular" w:hAnsi="Tofino Regular" w:cs="Calibri Light"/>
          <w:iCs/>
          <w:sz w:val="19"/>
          <w:szCs w:val="19"/>
        </w:rPr>
        <w:t>os siguientes ingresos a recibir:</w:t>
      </w:r>
    </w:p>
    <w:p w14:paraId="7EFC1585" w14:textId="77777777" w:rsidR="007A2804" w:rsidRPr="00B008B7" w:rsidRDefault="007A2804" w:rsidP="00B008B7">
      <w:pPr>
        <w:jc w:val="both"/>
        <w:rPr>
          <w:rFonts w:ascii="Tofino Regular" w:hAnsi="Tofino Regular" w:cs="Calibri Light"/>
          <w:sz w:val="19"/>
          <w:szCs w:val="19"/>
        </w:rPr>
      </w:pPr>
    </w:p>
    <w:tbl>
      <w:tblPr>
        <w:tblW w:w="8770" w:type="dxa"/>
        <w:jc w:val="center"/>
        <w:tblCellMar>
          <w:left w:w="70" w:type="dxa"/>
          <w:right w:w="70" w:type="dxa"/>
        </w:tblCellMar>
        <w:tblLook w:val="04A0" w:firstRow="1" w:lastRow="0" w:firstColumn="1" w:lastColumn="0" w:noHBand="0" w:noVBand="1"/>
      </w:tblPr>
      <w:tblGrid>
        <w:gridCol w:w="6968"/>
        <w:gridCol w:w="1802"/>
      </w:tblGrid>
      <w:tr w:rsidR="00E8774A" w:rsidRPr="00B008B7" w14:paraId="12575D22" w14:textId="77777777" w:rsidTr="00E8774A">
        <w:trPr>
          <w:trHeight w:val="272"/>
          <w:jc w:val="center"/>
        </w:trPr>
        <w:tc>
          <w:tcPr>
            <w:tcW w:w="6968" w:type="dxa"/>
            <w:tcBorders>
              <w:top w:val="single" w:sz="4" w:space="0" w:color="auto"/>
              <w:left w:val="single" w:sz="4" w:space="0" w:color="auto"/>
              <w:bottom w:val="single" w:sz="4" w:space="0" w:color="auto"/>
              <w:right w:val="single" w:sz="4" w:space="0" w:color="auto"/>
            </w:tcBorders>
            <w:noWrap/>
            <w:vAlign w:val="bottom"/>
            <w:hideMark/>
          </w:tcPr>
          <w:p w14:paraId="7594D1E3" w14:textId="1FFFD86E" w:rsidR="00E8774A" w:rsidRPr="00B008B7" w:rsidRDefault="00E8774A" w:rsidP="00B008B7">
            <w:pPr>
              <w:rPr>
                <w:rFonts w:ascii="Arial" w:hAnsi="Arial" w:cs="Arial"/>
                <w:sz w:val="19"/>
                <w:szCs w:val="19"/>
                <w:lang w:eastAsia="es-MX"/>
              </w:rPr>
            </w:pPr>
            <w:r w:rsidRPr="00B008B7">
              <w:rPr>
                <w:rFonts w:ascii="Arial" w:hAnsi="Arial" w:cs="Arial"/>
                <w:sz w:val="19"/>
                <w:szCs w:val="19"/>
                <w:lang w:eastAsia="es-MX"/>
              </w:rPr>
              <w:t>INGRESOS POR PRESTACIÓN DE SERVICIOS DE CERTIFICACIONES Y CUOTAS DE RECUPERACIÓN DE ESPECIALIZACIÓN DE ARCHIVÍSTICA</w:t>
            </w:r>
          </w:p>
        </w:tc>
        <w:tc>
          <w:tcPr>
            <w:tcW w:w="1802" w:type="dxa"/>
            <w:tcBorders>
              <w:top w:val="single" w:sz="4" w:space="0" w:color="auto"/>
              <w:left w:val="nil"/>
              <w:bottom w:val="single" w:sz="4" w:space="0" w:color="auto"/>
              <w:right w:val="single" w:sz="4" w:space="0" w:color="auto"/>
            </w:tcBorders>
            <w:noWrap/>
            <w:vAlign w:val="center"/>
            <w:hideMark/>
          </w:tcPr>
          <w:p w14:paraId="6944E022" w14:textId="77777777" w:rsidR="00E8774A" w:rsidRPr="00B008B7" w:rsidRDefault="00E8774A" w:rsidP="00B008B7">
            <w:pPr>
              <w:rPr>
                <w:rFonts w:ascii="Arial" w:hAnsi="Arial" w:cs="Arial"/>
                <w:sz w:val="19"/>
                <w:szCs w:val="19"/>
                <w:lang w:eastAsia="es-MX"/>
              </w:rPr>
            </w:pPr>
            <w:r w:rsidRPr="00B008B7">
              <w:rPr>
                <w:rFonts w:ascii="Arial" w:hAnsi="Arial" w:cs="Arial"/>
                <w:sz w:val="19"/>
                <w:szCs w:val="19"/>
                <w:lang w:eastAsia="es-MX"/>
              </w:rPr>
              <w:t>$         28,000.00</w:t>
            </w:r>
          </w:p>
        </w:tc>
      </w:tr>
      <w:tr w:rsidR="00E8774A" w:rsidRPr="00B008B7" w14:paraId="5600DC29" w14:textId="77777777" w:rsidTr="00E8774A">
        <w:trPr>
          <w:trHeight w:val="272"/>
          <w:jc w:val="center"/>
        </w:trPr>
        <w:tc>
          <w:tcPr>
            <w:tcW w:w="6968" w:type="dxa"/>
            <w:tcBorders>
              <w:top w:val="single" w:sz="4" w:space="0" w:color="auto"/>
              <w:left w:val="single" w:sz="4" w:space="0" w:color="auto"/>
              <w:bottom w:val="single" w:sz="4" w:space="0" w:color="auto"/>
              <w:right w:val="single" w:sz="4" w:space="0" w:color="auto"/>
            </w:tcBorders>
            <w:noWrap/>
            <w:vAlign w:val="bottom"/>
            <w:hideMark/>
          </w:tcPr>
          <w:p w14:paraId="3C9CA097" w14:textId="77777777" w:rsidR="00E8774A" w:rsidRPr="00B008B7" w:rsidRDefault="00E8774A" w:rsidP="00B008B7">
            <w:pPr>
              <w:rPr>
                <w:rFonts w:ascii="Arial" w:hAnsi="Arial" w:cs="Arial"/>
                <w:sz w:val="19"/>
                <w:szCs w:val="19"/>
                <w:lang w:eastAsia="es-MX"/>
              </w:rPr>
            </w:pPr>
            <w:r w:rsidRPr="00B008B7">
              <w:rPr>
                <w:rFonts w:ascii="Arial" w:hAnsi="Arial" w:cs="Arial"/>
                <w:sz w:val="19"/>
                <w:szCs w:val="19"/>
                <w:lang w:eastAsia="es-MX"/>
              </w:rPr>
              <w:t xml:space="preserve">INGRESOS POR TRANSFERENCIAS DEL GOBIERNO DEL ESTADO </w:t>
            </w:r>
          </w:p>
        </w:tc>
        <w:tc>
          <w:tcPr>
            <w:tcW w:w="1802" w:type="dxa"/>
            <w:tcBorders>
              <w:top w:val="single" w:sz="4" w:space="0" w:color="auto"/>
              <w:left w:val="nil"/>
              <w:bottom w:val="single" w:sz="4" w:space="0" w:color="auto"/>
              <w:right w:val="single" w:sz="4" w:space="0" w:color="auto"/>
            </w:tcBorders>
            <w:noWrap/>
            <w:vAlign w:val="center"/>
            <w:hideMark/>
          </w:tcPr>
          <w:p w14:paraId="5FC9A662" w14:textId="77777777" w:rsidR="00E8774A" w:rsidRPr="00B008B7" w:rsidRDefault="00E8774A" w:rsidP="00B008B7">
            <w:pPr>
              <w:rPr>
                <w:rFonts w:ascii="Arial" w:hAnsi="Arial" w:cs="Arial"/>
                <w:sz w:val="19"/>
                <w:szCs w:val="19"/>
                <w:lang w:eastAsia="es-MX"/>
              </w:rPr>
            </w:pPr>
            <w:r w:rsidRPr="00B008B7">
              <w:rPr>
                <w:rFonts w:ascii="Arial" w:hAnsi="Arial" w:cs="Arial"/>
                <w:sz w:val="19"/>
                <w:szCs w:val="19"/>
                <w:lang w:eastAsia="es-MX"/>
              </w:rPr>
              <w:t>$  26</w:t>
            </w:r>
            <w:r w:rsidRPr="00B008B7">
              <w:rPr>
                <w:rFonts w:ascii="Arial" w:hAnsi="Arial" w:cs="Arial"/>
                <w:sz w:val="19"/>
                <w:szCs w:val="19"/>
              </w:rPr>
              <w:t>’471</w:t>
            </w:r>
            <w:r w:rsidRPr="00B008B7">
              <w:rPr>
                <w:rFonts w:ascii="Arial" w:hAnsi="Arial" w:cs="Arial"/>
                <w:sz w:val="19"/>
                <w:szCs w:val="19"/>
                <w:lang w:eastAsia="es-MX"/>
              </w:rPr>
              <w:t>,180.00</w:t>
            </w:r>
          </w:p>
        </w:tc>
      </w:tr>
      <w:tr w:rsidR="00E8774A" w:rsidRPr="00B008B7" w14:paraId="5A6C7595" w14:textId="77777777" w:rsidTr="00B008B7">
        <w:trPr>
          <w:trHeight w:val="625"/>
          <w:jc w:val="center"/>
        </w:trPr>
        <w:tc>
          <w:tcPr>
            <w:tcW w:w="6968" w:type="dxa"/>
            <w:noWrap/>
            <w:vAlign w:val="bottom"/>
            <w:hideMark/>
          </w:tcPr>
          <w:p w14:paraId="7A0AF392" w14:textId="77777777" w:rsidR="00E8774A" w:rsidRPr="00B008B7" w:rsidRDefault="00E8774A" w:rsidP="00B008B7">
            <w:pPr>
              <w:rPr>
                <w:rFonts w:ascii="Arial" w:hAnsi="Arial" w:cs="Arial"/>
                <w:b/>
                <w:sz w:val="19"/>
                <w:szCs w:val="19"/>
                <w:lang w:eastAsia="es-MX"/>
              </w:rPr>
            </w:pPr>
            <w:r w:rsidRPr="00B008B7">
              <w:rPr>
                <w:rFonts w:ascii="Arial" w:hAnsi="Arial" w:cs="Arial"/>
                <w:b/>
                <w:sz w:val="19"/>
                <w:szCs w:val="19"/>
                <w:lang w:eastAsia="es-MX"/>
              </w:rPr>
              <w:t>TOTAL</w:t>
            </w:r>
          </w:p>
        </w:tc>
        <w:tc>
          <w:tcPr>
            <w:tcW w:w="1802" w:type="dxa"/>
            <w:tcBorders>
              <w:top w:val="nil"/>
              <w:left w:val="nil"/>
              <w:bottom w:val="double" w:sz="6" w:space="0" w:color="auto"/>
              <w:right w:val="nil"/>
            </w:tcBorders>
            <w:noWrap/>
            <w:vAlign w:val="bottom"/>
            <w:hideMark/>
          </w:tcPr>
          <w:p w14:paraId="112F30B6" w14:textId="77777777" w:rsidR="00E8774A" w:rsidRPr="00B008B7" w:rsidRDefault="00E8774A" w:rsidP="00B008B7">
            <w:pPr>
              <w:rPr>
                <w:rFonts w:ascii="Arial" w:hAnsi="Arial" w:cs="Arial"/>
                <w:b/>
                <w:bCs/>
                <w:sz w:val="19"/>
                <w:szCs w:val="19"/>
                <w:lang w:eastAsia="es-MX"/>
              </w:rPr>
            </w:pPr>
            <w:r w:rsidRPr="00B008B7">
              <w:rPr>
                <w:rFonts w:ascii="Arial" w:hAnsi="Arial" w:cs="Arial"/>
                <w:b/>
                <w:bCs/>
                <w:sz w:val="19"/>
                <w:szCs w:val="19"/>
                <w:lang w:eastAsia="es-MX"/>
              </w:rPr>
              <w:t>$  26</w:t>
            </w:r>
            <w:r w:rsidRPr="00B008B7">
              <w:rPr>
                <w:rFonts w:ascii="Arial" w:hAnsi="Arial" w:cs="Arial"/>
                <w:i/>
                <w:sz w:val="19"/>
                <w:szCs w:val="19"/>
              </w:rPr>
              <w:t>’</w:t>
            </w:r>
            <w:r w:rsidRPr="00B008B7">
              <w:rPr>
                <w:rFonts w:ascii="Arial" w:hAnsi="Arial" w:cs="Arial"/>
                <w:b/>
                <w:bCs/>
                <w:sz w:val="19"/>
                <w:szCs w:val="19"/>
                <w:lang w:eastAsia="es-MX"/>
              </w:rPr>
              <w:t>499,180.00</w:t>
            </w:r>
          </w:p>
        </w:tc>
      </w:tr>
    </w:tbl>
    <w:p w14:paraId="4AB4EB3C" w14:textId="74A83F4F" w:rsidR="007A2804" w:rsidRPr="00B008B7" w:rsidRDefault="007A2804" w:rsidP="00B008B7">
      <w:pPr>
        <w:jc w:val="both"/>
        <w:rPr>
          <w:rFonts w:ascii="Tofino Regular" w:hAnsi="Tofino Regular" w:cs="Calibri Light"/>
          <w:sz w:val="19"/>
          <w:szCs w:val="19"/>
        </w:rPr>
      </w:pPr>
    </w:p>
    <w:p w14:paraId="07D9F100" w14:textId="77777777" w:rsidR="00E8774A" w:rsidRPr="00B008B7" w:rsidRDefault="00E8774A" w:rsidP="00B008B7">
      <w:pPr>
        <w:jc w:val="both"/>
        <w:rPr>
          <w:rFonts w:ascii="Tofino Regular" w:hAnsi="Tofino Regular" w:cs="Calibri Light"/>
          <w:b/>
          <w:bCs/>
          <w:sz w:val="19"/>
          <w:szCs w:val="19"/>
        </w:rPr>
      </w:pPr>
    </w:p>
    <w:p w14:paraId="1FE35E9D" w14:textId="4EEA3D4B" w:rsidR="00DE68ED" w:rsidRPr="00B008B7" w:rsidRDefault="00DE68ED" w:rsidP="00B008B7">
      <w:pPr>
        <w:jc w:val="both"/>
        <w:rPr>
          <w:rFonts w:ascii="Tofino Regular" w:eastAsia="MS Mincho" w:hAnsi="Tofino Regular" w:cs="Arial"/>
          <w:sz w:val="19"/>
          <w:szCs w:val="19"/>
          <w:lang w:val="es-ES_tradnl" w:eastAsia="es-ES"/>
        </w:rPr>
      </w:pPr>
      <w:r w:rsidRPr="00B008B7">
        <w:rPr>
          <w:rFonts w:ascii="Tofino Regular" w:hAnsi="Tofino Regular" w:cs="Calibri Light"/>
          <w:b/>
          <w:bCs/>
          <w:sz w:val="19"/>
          <w:szCs w:val="19"/>
        </w:rPr>
        <w:t>TERCERO</w:t>
      </w:r>
      <w:r w:rsidRPr="00B008B7">
        <w:rPr>
          <w:rFonts w:ascii="Tofino Regular" w:hAnsi="Tofino Regular" w:cs="Calibri Light"/>
          <w:sz w:val="19"/>
          <w:szCs w:val="19"/>
        </w:rPr>
        <w:t xml:space="preserve">.- En sesión ordinaria del Pleno de fecha </w:t>
      </w:r>
      <w:r w:rsidR="00E8774A" w:rsidRPr="00B008B7">
        <w:rPr>
          <w:rFonts w:ascii="Tofino Regular" w:hAnsi="Tofino Regular" w:cs="Calibri Light"/>
          <w:sz w:val="19"/>
          <w:szCs w:val="19"/>
        </w:rPr>
        <w:t>30</w:t>
      </w:r>
      <w:r w:rsidRPr="00B008B7">
        <w:rPr>
          <w:rFonts w:ascii="Tofino Regular" w:hAnsi="Tofino Regular" w:cs="Calibri Light"/>
          <w:sz w:val="19"/>
          <w:szCs w:val="19"/>
        </w:rPr>
        <w:t xml:space="preserve"> de enero de 202</w:t>
      </w:r>
      <w:r w:rsidR="00E8774A" w:rsidRPr="00B008B7">
        <w:rPr>
          <w:rFonts w:ascii="Tofino Regular" w:hAnsi="Tofino Regular" w:cs="Calibri Light"/>
          <w:sz w:val="19"/>
          <w:szCs w:val="19"/>
        </w:rPr>
        <w:t>5</w:t>
      </w:r>
      <w:r w:rsidRPr="00B008B7">
        <w:rPr>
          <w:rFonts w:ascii="Tofino Regular" w:hAnsi="Tofino Regular" w:cs="Calibri Light"/>
          <w:sz w:val="19"/>
          <w:szCs w:val="19"/>
        </w:rPr>
        <w:t>, radicada bajo el número de acta 005/202</w:t>
      </w:r>
      <w:r w:rsidR="00E8774A" w:rsidRPr="00B008B7">
        <w:rPr>
          <w:rFonts w:ascii="Tofino Regular" w:hAnsi="Tofino Regular" w:cs="Calibri Light"/>
          <w:sz w:val="19"/>
          <w:szCs w:val="19"/>
        </w:rPr>
        <w:t>5</w:t>
      </w:r>
      <w:r w:rsidRPr="00B008B7">
        <w:rPr>
          <w:rFonts w:ascii="Tofino Regular" w:hAnsi="Tofino Regular" w:cs="Calibri Light"/>
          <w:sz w:val="19"/>
          <w:szCs w:val="19"/>
        </w:rPr>
        <w:t>, el Pleno del Instituto Estatal de Transparencia, Acceso a la Información Pública y Protección de Datos Personales aprobó l</w:t>
      </w:r>
      <w:r w:rsidRPr="00B008B7">
        <w:rPr>
          <w:rFonts w:ascii="Tofino Regular" w:eastAsia="MS Mincho" w:hAnsi="Tofino Regular" w:cs="Arial"/>
          <w:sz w:val="19"/>
          <w:szCs w:val="19"/>
          <w:lang w:val="es-ES_tradnl" w:eastAsia="es-ES"/>
        </w:rPr>
        <w:t>a asignación de los reman</w:t>
      </w:r>
      <w:r w:rsidR="00916DA8" w:rsidRPr="00B008B7">
        <w:rPr>
          <w:rFonts w:ascii="Tofino Regular" w:eastAsia="MS Mincho" w:hAnsi="Tofino Regular" w:cs="Arial"/>
          <w:sz w:val="19"/>
          <w:szCs w:val="19"/>
          <w:lang w:val="es-ES_tradnl" w:eastAsia="es-ES"/>
        </w:rPr>
        <w:t>en</w:t>
      </w:r>
      <w:r w:rsidRPr="00B008B7">
        <w:rPr>
          <w:rFonts w:ascii="Tofino Regular" w:eastAsia="MS Mincho" w:hAnsi="Tofino Regular" w:cs="Arial"/>
          <w:sz w:val="19"/>
          <w:szCs w:val="19"/>
          <w:lang w:val="es-ES_tradnl" w:eastAsia="es-ES"/>
        </w:rPr>
        <w:t>tes del ejercicio anterior provenientes de los recursos propios, para ser incorporados al presupuesto de egresos actualizado del ejercicio 202</w:t>
      </w:r>
      <w:r w:rsidR="00E8774A" w:rsidRPr="00B008B7">
        <w:rPr>
          <w:rFonts w:ascii="Tofino Regular" w:eastAsia="MS Mincho" w:hAnsi="Tofino Regular" w:cs="Arial"/>
          <w:sz w:val="19"/>
          <w:szCs w:val="19"/>
          <w:lang w:val="es-ES_tradnl" w:eastAsia="es-ES"/>
        </w:rPr>
        <w:t>5</w:t>
      </w:r>
      <w:r w:rsidRPr="00B008B7">
        <w:rPr>
          <w:rFonts w:ascii="Tofino Regular" w:eastAsia="MS Mincho" w:hAnsi="Tofino Regular" w:cs="Arial"/>
          <w:sz w:val="19"/>
          <w:szCs w:val="19"/>
          <w:lang w:val="es-ES_tradnl" w:eastAsia="es-ES"/>
        </w:rPr>
        <w:t>.</w:t>
      </w:r>
    </w:p>
    <w:p w14:paraId="19E6A2A9" w14:textId="17F1A979" w:rsidR="003D5CE1" w:rsidRPr="00B008B7" w:rsidRDefault="003D5CE1" w:rsidP="00B008B7">
      <w:pPr>
        <w:jc w:val="both"/>
        <w:rPr>
          <w:rFonts w:ascii="Tofino Regular" w:eastAsia="MS Mincho" w:hAnsi="Tofino Regular" w:cs="Arial"/>
          <w:sz w:val="19"/>
          <w:szCs w:val="19"/>
          <w:lang w:val="es-ES_tradnl" w:eastAsia="es-ES"/>
        </w:rPr>
      </w:pPr>
    </w:p>
    <w:p w14:paraId="66E7088B" w14:textId="6D5A71B0" w:rsidR="003D5CE1" w:rsidRPr="00B008B7" w:rsidRDefault="00F2145D" w:rsidP="00B008B7">
      <w:pPr>
        <w:jc w:val="both"/>
        <w:rPr>
          <w:rFonts w:ascii="Tofino Regular" w:eastAsia="MS Mincho" w:hAnsi="Tofino Regular" w:cs="Arial"/>
          <w:sz w:val="19"/>
          <w:szCs w:val="19"/>
          <w:lang w:val="es-ES_tradnl" w:eastAsia="es-ES"/>
        </w:rPr>
      </w:pPr>
      <w:r w:rsidRPr="00B008B7">
        <w:rPr>
          <w:rFonts w:ascii="Tofino Regular" w:eastAsia="MS Mincho" w:hAnsi="Tofino Regular" w:cs="Arial"/>
          <w:b/>
          <w:bCs/>
          <w:sz w:val="19"/>
          <w:szCs w:val="19"/>
          <w:lang w:val="es-ES_tradnl" w:eastAsia="es-ES"/>
        </w:rPr>
        <w:t>CUARTO</w:t>
      </w:r>
      <w:r w:rsidRPr="00B008B7">
        <w:rPr>
          <w:rFonts w:ascii="Tofino Regular" w:eastAsia="MS Mincho" w:hAnsi="Tofino Regular" w:cs="Arial"/>
          <w:sz w:val="19"/>
          <w:szCs w:val="19"/>
          <w:lang w:val="es-ES_tradnl" w:eastAsia="es-ES"/>
        </w:rPr>
        <w:t xml:space="preserve">.- Que de acuerdo al artículo 28 de la </w:t>
      </w:r>
      <w:r w:rsidR="00143B07" w:rsidRPr="00B008B7">
        <w:rPr>
          <w:rFonts w:ascii="Tofino Regular" w:hAnsi="Tofino Regular" w:cs="Calibri Light"/>
          <w:sz w:val="19"/>
          <w:szCs w:val="19"/>
        </w:rPr>
        <w:t>Ley de Presupuesto y Contabilidad Gubernamental del Estado de Yucatán</w:t>
      </w:r>
      <w:r w:rsidRPr="00B008B7">
        <w:rPr>
          <w:rFonts w:ascii="Tofino Regular" w:hAnsi="Tofino Regular" w:cs="Calibri Light"/>
          <w:sz w:val="19"/>
          <w:szCs w:val="19"/>
        </w:rPr>
        <w:t>, l</w:t>
      </w:r>
      <w:r w:rsidR="003D5CE1" w:rsidRPr="00B008B7">
        <w:rPr>
          <w:rFonts w:ascii="Tofino Regular" w:hAnsi="Tofino Regular" w:cs="Calibri Light"/>
          <w:sz w:val="19"/>
          <w:szCs w:val="19"/>
        </w:rPr>
        <w:t>os Poderes Legislativo y Judicial, los organismos autónomos y los órganos de gobierno de las entidades podrán autorizar erogaciones adicionales a las aprobadas en sus presupuestos respectivos, con cargo a los ingresos excedentes que en su caso generen, siempre y cuando: I.- Registren ante la Secretaría dichos ingresos en los conceptos correspondientes de la Ley de Ingresos, y II.- Informen a la Secretaría sobre la obtención y la aplicación de dichos ingresos, para efectos de la integración de los informes trimestrales y la Cuenta Pública</w:t>
      </w:r>
      <w:r w:rsidR="003D5CE1" w:rsidRPr="00B008B7">
        <w:rPr>
          <w:sz w:val="19"/>
          <w:szCs w:val="19"/>
        </w:rPr>
        <w:t>.</w:t>
      </w:r>
    </w:p>
    <w:p w14:paraId="2D6578CD" w14:textId="6DD8D743" w:rsidR="006156A6" w:rsidRPr="00B008B7" w:rsidRDefault="00F2145D" w:rsidP="00B008B7">
      <w:pPr>
        <w:jc w:val="both"/>
        <w:rPr>
          <w:rFonts w:ascii="Tofino Regular" w:hAnsi="Tofino Regular" w:cs="Calibri Light"/>
          <w:sz w:val="19"/>
          <w:szCs w:val="19"/>
        </w:rPr>
      </w:pPr>
      <w:r w:rsidRPr="00B008B7">
        <w:rPr>
          <w:rFonts w:ascii="Tofino Regular" w:eastAsia="Arial" w:hAnsi="Tofino Regular" w:cs="Calibri Light"/>
          <w:b/>
          <w:sz w:val="19"/>
          <w:szCs w:val="19"/>
        </w:rPr>
        <w:lastRenderedPageBreak/>
        <w:t>QUINTO</w:t>
      </w:r>
      <w:r w:rsidR="006156A6" w:rsidRPr="00B008B7">
        <w:rPr>
          <w:rFonts w:ascii="Tofino Regular" w:eastAsia="Arial" w:hAnsi="Tofino Regular" w:cs="Calibri Light"/>
          <w:b/>
          <w:sz w:val="19"/>
          <w:szCs w:val="19"/>
        </w:rPr>
        <w:t>.-</w:t>
      </w:r>
      <w:r w:rsidR="006156A6" w:rsidRPr="00B008B7">
        <w:rPr>
          <w:rFonts w:ascii="Tofino Regular" w:hAnsi="Tofino Regular" w:cs="Calibri Light"/>
          <w:sz w:val="19"/>
          <w:szCs w:val="19"/>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w:t>
      </w:r>
    </w:p>
    <w:p w14:paraId="28D80A52" w14:textId="77777777" w:rsidR="006156A6" w:rsidRPr="00B008B7" w:rsidRDefault="006156A6" w:rsidP="00B008B7">
      <w:pPr>
        <w:jc w:val="both"/>
        <w:rPr>
          <w:rFonts w:ascii="Tofino Regular" w:hAnsi="Tofino Regular" w:cs="Calibri Light"/>
          <w:sz w:val="19"/>
          <w:szCs w:val="19"/>
        </w:rPr>
      </w:pPr>
    </w:p>
    <w:p w14:paraId="0310A7F6" w14:textId="5FE91142" w:rsidR="006156A6" w:rsidRPr="00B008B7" w:rsidRDefault="00F2145D" w:rsidP="00B008B7">
      <w:pPr>
        <w:jc w:val="both"/>
        <w:rPr>
          <w:rFonts w:ascii="Tofino Regular" w:hAnsi="Tofino Regular" w:cs="Calibri Light"/>
          <w:sz w:val="19"/>
          <w:szCs w:val="19"/>
        </w:rPr>
      </w:pPr>
      <w:r w:rsidRPr="00B008B7">
        <w:rPr>
          <w:rFonts w:ascii="Tofino Regular" w:hAnsi="Tofino Regular" w:cs="Calibri Light"/>
          <w:b/>
          <w:sz w:val="19"/>
          <w:szCs w:val="19"/>
        </w:rPr>
        <w:t>SEXTO</w:t>
      </w:r>
      <w:r w:rsidR="006156A6" w:rsidRPr="00B008B7">
        <w:rPr>
          <w:rFonts w:ascii="Tofino Regular" w:hAnsi="Tofino Regular" w:cs="Calibri Light"/>
          <w:b/>
          <w:sz w:val="19"/>
          <w:szCs w:val="19"/>
        </w:rPr>
        <w:t xml:space="preserve">.- </w:t>
      </w:r>
      <w:r w:rsidR="006156A6" w:rsidRPr="00B008B7">
        <w:rPr>
          <w:rFonts w:ascii="Tofino Regular" w:hAnsi="Tofino Regular" w:cs="Calibri Light"/>
          <w:sz w:val="19"/>
          <w:szCs w:val="19"/>
        </w:rPr>
        <w:t>Que en términos de lo establecido en el artículo 104 de la Ley de Presupuesto y Contabilidad Gubernamental del Estado de Yucatán, las ampliaciones presupuestales que se autoricen en los términos del artículo 103 de la Ley en cita, serán para fines específicos y no podrán reorientarse a programas o proyectos de inversión distintos a los originalmente planteados.</w:t>
      </w:r>
    </w:p>
    <w:p w14:paraId="31083660" w14:textId="77777777" w:rsidR="006156A6" w:rsidRPr="00B008B7" w:rsidRDefault="006156A6" w:rsidP="00B008B7">
      <w:pPr>
        <w:jc w:val="both"/>
        <w:rPr>
          <w:rFonts w:ascii="Tofino Regular" w:eastAsia="Arial" w:hAnsi="Tofino Regular" w:cs="Calibri Light"/>
          <w:sz w:val="19"/>
          <w:szCs w:val="19"/>
        </w:rPr>
      </w:pPr>
    </w:p>
    <w:p w14:paraId="231AC896" w14:textId="71AA27B8" w:rsidR="006156A6" w:rsidRPr="00B008B7" w:rsidRDefault="00F2145D" w:rsidP="00B008B7">
      <w:pPr>
        <w:autoSpaceDE w:val="0"/>
        <w:autoSpaceDN w:val="0"/>
        <w:adjustRightInd w:val="0"/>
        <w:jc w:val="both"/>
        <w:rPr>
          <w:rFonts w:ascii="Tofino Regular" w:hAnsi="Tofino Regular" w:cs="Calibri Light"/>
          <w:sz w:val="19"/>
          <w:szCs w:val="19"/>
        </w:rPr>
      </w:pPr>
      <w:r w:rsidRPr="00B008B7">
        <w:rPr>
          <w:rFonts w:ascii="Tofino Regular" w:eastAsia="Arial" w:hAnsi="Tofino Regular" w:cs="Calibri Light"/>
          <w:b/>
          <w:sz w:val="19"/>
          <w:szCs w:val="19"/>
        </w:rPr>
        <w:t>SÉPTIMO</w:t>
      </w:r>
      <w:r w:rsidR="006156A6" w:rsidRPr="00B008B7">
        <w:rPr>
          <w:rFonts w:ascii="Tofino Regular" w:eastAsia="Arial" w:hAnsi="Tofino Regular" w:cs="Calibri Light"/>
          <w:b/>
          <w:sz w:val="19"/>
          <w:szCs w:val="19"/>
        </w:rPr>
        <w:t xml:space="preserve">.- </w:t>
      </w:r>
      <w:r w:rsidR="006156A6" w:rsidRPr="00B008B7">
        <w:rPr>
          <w:rFonts w:ascii="Tofino Regular" w:hAnsi="Tofino Regular" w:cs="Calibri Light"/>
          <w:sz w:val="19"/>
          <w:szCs w:val="19"/>
        </w:rPr>
        <w:t xml:space="preserve">Que en el artículo 38 fracción II de la Ley </w:t>
      </w:r>
      <w:r w:rsidR="006156A6" w:rsidRPr="00B008B7">
        <w:rPr>
          <w:rFonts w:ascii="Tofino Regular" w:hAnsi="Tofino Regular" w:cs="Calibri Light"/>
          <w:bCs/>
          <w:sz w:val="19"/>
          <w:szCs w:val="19"/>
        </w:rPr>
        <w:t xml:space="preserve">General de Contabilidad Gubernamental, se establece que </w:t>
      </w:r>
      <w:r w:rsidR="006156A6" w:rsidRPr="00B008B7">
        <w:rPr>
          <w:rFonts w:ascii="Tofino Regular" w:hAnsi="Tofino Regular" w:cs="Calibri Light"/>
          <w:sz w:val="19"/>
          <w:szCs w:val="19"/>
        </w:rPr>
        <w:t>el registro de las etapas del presupuesto de los entes públicos se efectuará en las cuentas contables que, para tal efecto, establezca el consejo, las cuales deberán reflejar en lo relativo al ingreso, el estimado, modificado, devengado y recaudado.</w:t>
      </w:r>
    </w:p>
    <w:p w14:paraId="558DE673" w14:textId="77777777" w:rsidR="006156A6" w:rsidRPr="00B008B7" w:rsidRDefault="006156A6" w:rsidP="00B008B7">
      <w:pPr>
        <w:jc w:val="both"/>
        <w:rPr>
          <w:rFonts w:ascii="Tofino Regular" w:eastAsia="Arial" w:hAnsi="Tofino Regular" w:cs="Calibri Light"/>
          <w:b/>
          <w:sz w:val="19"/>
          <w:szCs w:val="19"/>
        </w:rPr>
      </w:pPr>
    </w:p>
    <w:p w14:paraId="3FCEC050" w14:textId="77777777" w:rsidR="006156A6" w:rsidRPr="00B008B7" w:rsidRDefault="006156A6" w:rsidP="00B008B7">
      <w:pPr>
        <w:jc w:val="center"/>
        <w:rPr>
          <w:rFonts w:ascii="Tofino Regular" w:hAnsi="Tofino Regular" w:cs="Calibri Light"/>
          <w:b/>
          <w:sz w:val="19"/>
          <w:szCs w:val="19"/>
        </w:rPr>
      </w:pPr>
      <w:r w:rsidRPr="00B008B7">
        <w:rPr>
          <w:rFonts w:ascii="Tofino Regular" w:hAnsi="Tofino Regular" w:cs="Calibri Light"/>
          <w:b/>
          <w:sz w:val="19"/>
          <w:szCs w:val="19"/>
        </w:rPr>
        <w:t>CONSIDERANDOS</w:t>
      </w:r>
    </w:p>
    <w:p w14:paraId="79B4A489" w14:textId="77777777" w:rsidR="006156A6" w:rsidRPr="00B008B7" w:rsidRDefault="006156A6" w:rsidP="00B008B7">
      <w:pPr>
        <w:jc w:val="center"/>
        <w:rPr>
          <w:rFonts w:ascii="Tofino Regular" w:hAnsi="Tofino Regular" w:cs="Calibri Light"/>
          <w:b/>
          <w:sz w:val="19"/>
          <w:szCs w:val="19"/>
        </w:rPr>
      </w:pPr>
    </w:p>
    <w:p w14:paraId="2219160E" w14:textId="73ACBCE6" w:rsidR="006156A6" w:rsidRPr="00B008B7" w:rsidRDefault="006156A6" w:rsidP="00B008B7">
      <w:pPr>
        <w:jc w:val="both"/>
        <w:rPr>
          <w:rFonts w:ascii="Tofino Regular" w:hAnsi="Tofino Regular" w:cs="Calibri Light"/>
          <w:sz w:val="19"/>
          <w:szCs w:val="19"/>
        </w:rPr>
      </w:pPr>
      <w:r w:rsidRPr="00B008B7">
        <w:rPr>
          <w:rFonts w:ascii="Tofino Regular" w:hAnsi="Tofino Regular" w:cs="Calibri Light"/>
          <w:b/>
          <w:sz w:val="19"/>
          <w:szCs w:val="19"/>
        </w:rPr>
        <w:t>PRIMERO.-</w:t>
      </w:r>
      <w:r w:rsidRPr="00B008B7">
        <w:rPr>
          <w:rFonts w:ascii="Tofino Regular" w:hAnsi="Tofino Regular" w:cs="Calibri Light"/>
          <w:sz w:val="19"/>
          <w:szCs w:val="19"/>
        </w:rPr>
        <w:t xml:space="preserve"> </w:t>
      </w:r>
      <w:r w:rsidR="00715DB0" w:rsidRPr="00B008B7">
        <w:rPr>
          <w:rFonts w:ascii="Tofino Regular" w:hAnsi="Tofino Regular" w:cs="Calibri Light"/>
          <w:sz w:val="19"/>
          <w:szCs w:val="19"/>
        </w:rPr>
        <w:t>Que de conformidad con el artículo 9 fracciones XXXVIII y XLV del Reglamento Interior del Instituto Estatal de Transparencia, Acceso a la Información Pública y Protección de Datos Personales, el Pleno es el encargado de aprobar la creación o modificación de las partidas presupuestales cuando así se requiera; y de aprobar el proyecto, y en su caso actualizar y modificar el presupuesto de egresos y de ingresos del Instituto.</w:t>
      </w:r>
    </w:p>
    <w:p w14:paraId="376FDB59" w14:textId="77777777" w:rsidR="006156A6" w:rsidRPr="00B008B7" w:rsidRDefault="006156A6" w:rsidP="00B008B7">
      <w:pPr>
        <w:jc w:val="both"/>
        <w:rPr>
          <w:rFonts w:ascii="Tofino Regular" w:hAnsi="Tofino Regular" w:cs="Calibri Light"/>
          <w:sz w:val="19"/>
          <w:szCs w:val="19"/>
        </w:rPr>
      </w:pPr>
    </w:p>
    <w:p w14:paraId="593EAB04" w14:textId="28F4A3D9" w:rsidR="006156A6" w:rsidRPr="00B008B7" w:rsidRDefault="006156A6" w:rsidP="00B008B7">
      <w:pPr>
        <w:jc w:val="both"/>
        <w:rPr>
          <w:rFonts w:ascii="Tofino Regular" w:hAnsi="Tofino Regular" w:cs="Calibri Light"/>
          <w:bCs/>
          <w:sz w:val="19"/>
          <w:szCs w:val="19"/>
        </w:rPr>
      </w:pPr>
      <w:r w:rsidRPr="00B008B7">
        <w:rPr>
          <w:rFonts w:ascii="Tofino Regular" w:hAnsi="Tofino Regular" w:cs="Calibri Light"/>
          <w:b/>
          <w:sz w:val="19"/>
          <w:szCs w:val="19"/>
        </w:rPr>
        <w:t xml:space="preserve">SEGUNDO.- </w:t>
      </w:r>
      <w:r w:rsidR="00715DB0" w:rsidRPr="00B008B7">
        <w:rPr>
          <w:rFonts w:ascii="Tofino Regular" w:hAnsi="Tofino Regular" w:cs="Calibri Light"/>
          <w:bCs/>
          <w:sz w:val="19"/>
          <w:szCs w:val="19"/>
        </w:rPr>
        <w:t xml:space="preserve">Con fecha quince de julio de dos mil veinticinco, la Directora de Administración, Finanzas y Recursos Humanos presentó al Pleno el memorándum marcado con el número </w:t>
      </w:r>
      <w:proofErr w:type="spellStart"/>
      <w:r w:rsidR="00715DB0" w:rsidRPr="00B008B7">
        <w:rPr>
          <w:rFonts w:ascii="Tofino Regular" w:hAnsi="Tofino Regular" w:cs="Calibri Light"/>
          <w:bCs/>
          <w:sz w:val="19"/>
          <w:szCs w:val="19"/>
        </w:rPr>
        <w:t>D.A.INAIP</w:t>
      </w:r>
      <w:proofErr w:type="spellEnd"/>
      <w:r w:rsidR="00715DB0" w:rsidRPr="00B008B7">
        <w:rPr>
          <w:rFonts w:ascii="Tofino Regular" w:hAnsi="Tofino Regular" w:cs="Calibri Light"/>
          <w:bCs/>
          <w:sz w:val="19"/>
          <w:szCs w:val="19"/>
        </w:rPr>
        <w:t>/</w:t>
      </w:r>
      <w:proofErr w:type="spellStart"/>
      <w:r w:rsidR="001B5C09" w:rsidRPr="00B008B7">
        <w:rPr>
          <w:rFonts w:ascii="Tofino Regular" w:hAnsi="Tofino Regular" w:cs="Calibri Light"/>
          <w:bCs/>
          <w:sz w:val="19"/>
          <w:szCs w:val="19"/>
        </w:rPr>
        <w:t>015BIS</w:t>
      </w:r>
      <w:proofErr w:type="spellEnd"/>
      <w:r w:rsidR="00715DB0" w:rsidRPr="00B008B7">
        <w:rPr>
          <w:rFonts w:ascii="Tofino Regular" w:hAnsi="Tofino Regular" w:cs="Calibri Light"/>
          <w:bCs/>
          <w:sz w:val="19"/>
          <w:szCs w:val="19"/>
        </w:rPr>
        <w:t>/2025, suscrito por la citada Directora (Anexo único) en el cual solicita una ampliación del estimado de ingresos presupuestales por el importe de $</w:t>
      </w:r>
      <w:r w:rsidR="001B5C09" w:rsidRPr="00B008B7">
        <w:rPr>
          <w:rFonts w:ascii="Tofino Regular" w:hAnsi="Tofino Regular" w:cs="Calibri Light"/>
          <w:bCs/>
          <w:sz w:val="19"/>
          <w:szCs w:val="19"/>
        </w:rPr>
        <w:t>8,073.33</w:t>
      </w:r>
      <w:r w:rsidR="00715DB0" w:rsidRPr="00B008B7">
        <w:rPr>
          <w:rFonts w:ascii="Tofino Regular" w:hAnsi="Tofino Regular" w:cs="Calibri Light"/>
          <w:bCs/>
          <w:sz w:val="19"/>
          <w:szCs w:val="19"/>
        </w:rPr>
        <w:t xml:space="preserve"> (Son </w:t>
      </w:r>
      <w:r w:rsidR="001B5C09" w:rsidRPr="00B008B7">
        <w:rPr>
          <w:rFonts w:ascii="Tofino Regular" w:hAnsi="Tofino Regular" w:cs="Calibri Light"/>
          <w:bCs/>
          <w:sz w:val="19"/>
          <w:szCs w:val="19"/>
        </w:rPr>
        <w:t xml:space="preserve">ocho </w:t>
      </w:r>
      <w:r w:rsidR="00715DB0" w:rsidRPr="00B008B7">
        <w:rPr>
          <w:rFonts w:ascii="Tofino Regular" w:hAnsi="Tofino Regular" w:cs="Calibri Light"/>
          <w:bCs/>
          <w:sz w:val="19"/>
          <w:szCs w:val="19"/>
        </w:rPr>
        <w:t xml:space="preserve">mil </w:t>
      </w:r>
      <w:r w:rsidR="001B5C09" w:rsidRPr="00B008B7">
        <w:rPr>
          <w:rFonts w:ascii="Tofino Regular" w:hAnsi="Tofino Regular" w:cs="Calibri Light"/>
          <w:bCs/>
          <w:sz w:val="19"/>
          <w:szCs w:val="19"/>
        </w:rPr>
        <w:t>setenta y tres</w:t>
      </w:r>
      <w:r w:rsidR="00715DB0" w:rsidRPr="00B008B7">
        <w:rPr>
          <w:rFonts w:ascii="Tofino Regular" w:hAnsi="Tofino Regular" w:cs="Calibri Light"/>
          <w:bCs/>
          <w:sz w:val="19"/>
          <w:szCs w:val="19"/>
        </w:rPr>
        <w:t xml:space="preserve"> pesos con </w:t>
      </w:r>
      <w:r w:rsidR="001B5C09" w:rsidRPr="00B008B7">
        <w:rPr>
          <w:rFonts w:ascii="Tofino Regular" w:hAnsi="Tofino Regular" w:cs="Calibri Light"/>
          <w:bCs/>
          <w:sz w:val="19"/>
          <w:szCs w:val="19"/>
        </w:rPr>
        <w:t>treinta y tres</w:t>
      </w:r>
      <w:r w:rsidR="00715DB0" w:rsidRPr="00B008B7">
        <w:rPr>
          <w:rFonts w:ascii="Tofino Regular" w:hAnsi="Tofino Regular" w:cs="Calibri Light"/>
          <w:bCs/>
          <w:sz w:val="19"/>
          <w:szCs w:val="19"/>
        </w:rPr>
        <w:t xml:space="preserve"> centavos M.N.) </w:t>
      </w:r>
      <w:r w:rsidR="001B5C09" w:rsidRPr="00B008B7">
        <w:rPr>
          <w:rFonts w:ascii="Tofino Regular" w:hAnsi="Tofino Regular" w:cs="Calibri Light"/>
          <w:bCs/>
          <w:sz w:val="19"/>
          <w:szCs w:val="19"/>
        </w:rPr>
        <w:t>generados por los</w:t>
      </w:r>
      <w:r w:rsidR="00715DB0" w:rsidRPr="00B008B7">
        <w:rPr>
          <w:rFonts w:ascii="Tofino Regular" w:hAnsi="Tofino Regular" w:cs="Calibri Light"/>
          <w:bCs/>
          <w:sz w:val="19"/>
          <w:szCs w:val="19"/>
        </w:rPr>
        <w:t xml:space="preserve"> rendimientos financieros de inversión </w:t>
      </w:r>
      <w:r w:rsidR="001B5C09" w:rsidRPr="00B008B7">
        <w:rPr>
          <w:rFonts w:ascii="Tofino Regular" w:hAnsi="Tofino Regular" w:cs="Calibri Light"/>
          <w:bCs/>
          <w:sz w:val="19"/>
          <w:szCs w:val="19"/>
        </w:rPr>
        <w:t xml:space="preserve">de la cuenta bancaria </w:t>
      </w:r>
      <w:r w:rsidR="00715DB0" w:rsidRPr="00B008B7">
        <w:rPr>
          <w:rFonts w:ascii="Tofino Regular" w:hAnsi="Tofino Regular" w:cs="Calibri Light"/>
          <w:bCs/>
          <w:sz w:val="19"/>
          <w:szCs w:val="19"/>
        </w:rPr>
        <w:t xml:space="preserve">productiva al </w:t>
      </w:r>
      <w:r w:rsidR="001B5C09" w:rsidRPr="00B008B7">
        <w:rPr>
          <w:rFonts w:ascii="Tofino Regular" w:hAnsi="Tofino Regular" w:cs="Calibri Light"/>
          <w:bCs/>
          <w:sz w:val="19"/>
          <w:szCs w:val="19"/>
        </w:rPr>
        <w:t>15 de julio</w:t>
      </w:r>
      <w:r w:rsidR="00715DB0" w:rsidRPr="00B008B7">
        <w:rPr>
          <w:rFonts w:ascii="Tofino Regular" w:hAnsi="Tofino Regular" w:cs="Calibri Light"/>
          <w:bCs/>
          <w:sz w:val="19"/>
          <w:szCs w:val="19"/>
        </w:rPr>
        <w:t xml:space="preserve"> de 2025</w:t>
      </w:r>
      <w:r w:rsidR="001B5C09" w:rsidRPr="00B008B7">
        <w:rPr>
          <w:rFonts w:ascii="Tofino Regular" w:hAnsi="Tofino Regular" w:cs="Calibri Light"/>
          <w:bCs/>
          <w:sz w:val="19"/>
          <w:szCs w:val="19"/>
        </w:rPr>
        <w:t xml:space="preserve">, </w:t>
      </w:r>
      <w:r w:rsidR="00715DB0" w:rsidRPr="00B008B7">
        <w:rPr>
          <w:rFonts w:ascii="Tofino Regular" w:hAnsi="Tofino Regular" w:cs="Calibri Light"/>
          <w:bCs/>
          <w:sz w:val="19"/>
          <w:szCs w:val="19"/>
        </w:rPr>
        <w:t>mismos que serán reportados como ingresos para el Instituto, por lo que se propone que se integre al presupuesto de egresos autorizado para el ejercicio 2025, en los siguientes términos:</w:t>
      </w:r>
    </w:p>
    <w:p w14:paraId="03AD131A" w14:textId="77777777" w:rsidR="001B5C09" w:rsidRPr="00B008B7" w:rsidRDefault="001B5C09" w:rsidP="00B008B7">
      <w:pPr>
        <w:jc w:val="both"/>
        <w:rPr>
          <w:rFonts w:ascii="Tofino Regular" w:hAnsi="Tofino Regular" w:cs="Calibri Light"/>
          <w:sz w:val="19"/>
          <w:szCs w:val="19"/>
        </w:rPr>
      </w:pPr>
    </w:p>
    <w:p w14:paraId="54338F72" w14:textId="49F7CF5D" w:rsidR="006156A6" w:rsidRPr="00B008B7" w:rsidRDefault="00666B12" w:rsidP="00B008B7">
      <w:pPr>
        <w:autoSpaceDE w:val="0"/>
        <w:autoSpaceDN w:val="0"/>
        <w:adjustRightInd w:val="0"/>
        <w:jc w:val="center"/>
        <w:rPr>
          <w:rFonts w:ascii="Tofino Regular" w:hAnsi="Tofino Regular" w:cs="Calibri Light"/>
          <w:sz w:val="19"/>
          <w:szCs w:val="19"/>
        </w:rPr>
      </w:pPr>
      <w:r w:rsidRPr="00666B12">
        <w:rPr>
          <w:noProof/>
        </w:rPr>
        <w:drawing>
          <wp:inline distT="0" distB="0" distL="0" distR="0" wp14:anchorId="111FDF56" wp14:editId="23DBF622">
            <wp:extent cx="4716780" cy="2194560"/>
            <wp:effectExtent l="0" t="0" r="7620" b="0"/>
            <wp:docPr id="1590578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6780" cy="2194560"/>
                    </a:xfrm>
                    <a:prstGeom prst="rect">
                      <a:avLst/>
                    </a:prstGeom>
                    <a:noFill/>
                    <a:ln>
                      <a:noFill/>
                    </a:ln>
                  </pic:spPr>
                </pic:pic>
              </a:graphicData>
            </a:graphic>
          </wp:inline>
        </w:drawing>
      </w:r>
    </w:p>
    <w:p w14:paraId="4E04C4F0" w14:textId="77777777" w:rsidR="00BE726E" w:rsidRPr="00B008B7" w:rsidRDefault="00BE726E" w:rsidP="00B008B7">
      <w:pPr>
        <w:jc w:val="both"/>
        <w:rPr>
          <w:rFonts w:ascii="Tofino Regular" w:hAnsi="Tofino Regular" w:cs="Calibri Light"/>
          <w:b/>
          <w:sz w:val="19"/>
          <w:szCs w:val="19"/>
        </w:rPr>
      </w:pPr>
    </w:p>
    <w:p w14:paraId="31FDF6CD" w14:textId="77777777" w:rsidR="006156A6" w:rsidRPr="00B008B7" w:rsidRDefault="006156A6" w:rsidP="00B008B7">
      <w:pPr>
        <w:jc w:val="both"/>
        <w:rPr>
          <w:rFonts w:ascii="Tofino Regular" w:hAnsi="Tofino Regular" w:cs="Calibri Light"/>
          <w:sz w:val="19"/>
          <w:szCs w:val="19"/>
        </w:rPr>
      </w:pPr>
      <w:r w:rsidRPr="00B008B7">
        <w:rPr>
          <w:rFonts w:ascii="Tofino Regular" w:hAnsi="Tofino Regular" w:cs="Calibri Light"/>
          <w:sz w:val="19"/>
          <w:szCs w:val="19"/>
        </w:rPr>
        <w:lastRenderedPageBreak/>
        <w:t>Del análisis minucioso realizado al memorándum recibido, así como de lo anteriormente expuesto y fundado, el Pleno del Instituto Estatal de Transparencia, Acceso a la Información Pública y Protección de Datos Personales emite el siguiente:</w:t>
      </w:r>
    </w:p>
    <w:p w14:paraId="1FB40D5C" w14:textId="77777777" w:rsidR="00D741F5" w:rsidRPr="00B008B7" w:rsidRDefault="00D741F5" w:rsidP="00B008B7">
      <w:pPr>
        <w:jc w:val="center"/>
        <w:rPr>
          <w:rFonts w:ascii="Tofino Regular" w:hAnsi="Tofino Regular" w:cs="Calibri Light"/>
          <w:b/>
          <w:spacing w:val="20"/>
          <w:sz w:val="19"/>
          <w:szCs w:val="19"/>
        </w:rPr>
      </w:pPr>
    </w:p>
    <w:p w14:paraId="390D70B6" w14:textId="1C27033D" w:rsidR="006156A6" w:rsidRPr="00B008B7" w:rsidRDefault="006156A6" w:rsidP="00B008B7">
      <w:pPr>
        <w:jc w:val="center"/>
        <w:rPr>
          <w:rFonts w:ascii="Tofino Regular" w:hAnsi="Tofino Regular" w:cs="Calibri Light"/>
          <w:b/>
          <w:spacing w:val="20"/>
          <w:sz w:val="19"/>
          <w:szCs w:val="19"/>
        </w:rPr>
      </w:pPr>
      <w:r w:rsidRPr="00B008B7">
        <w:rPr>
          <w:rFonts w:ascii="Tofino Regular" w:hAnsi="Tofino Regular" w:cs="Calibri Light"/>
          <w:b/>
          <w:spacing w:val="20"/>
          <w:sz w:val="19"/>
          <w:szCs w:val="19"/>
        </w:rPr>
        <w:t>ACUERDO</w:t>
      </w:r>
    </w:p>
    <w:p w14:paraId="53A9CCF5" w14:textId="77777777" w:rsidR="006156A6" w:rsidRPr="00B008B7" w:rsidRDefault="006156A6" w:rsidP="00B008B7">
      <w:pPr>
        <w:jc w:val="center"/>
        <w:rPr>
          <w:rFonts w:ascii="Tofino Regular" w:hAnsi="Tofino Regular" w:cs="Calibri Light"/>
          <w:sz w:val="19"/>
          <w:szCs w:val="19"/>
        </w:rPr>
      </w:pPr>
    </w:p>
    <w:p w14:paraId="3428C0DA" w14:textId="33976A04" w:rsidR="006156A6" w:rsidRPr="00B008B7" w:rsidRDefault="006156A6" w:rsidP="00B008B7">
      <w:pPr>
        <w:widowControl w:val="0"/>
        <w:jc w:val="both"/>
        <w:rPr>
          <w:rFonts w:ascii="Tofino Regular" w:hAnsi="Tofino Regular" w:cs="Calibri Light"/>
          <w:sz w:val="19"/>
          <w:szCs w:val="19"/>
        </w:rPr>
      </w:pPr>
      <w:r w:rsidRPr="00B008B7">
        <w:rPr>
          <w:rFonts w:ascii="Tofino Regular" w:hAnsi="Tofino Regular" w:cs="Calibri Light"/>
          <w:b/>
          <w:sz w:val="19"/>
          <w:szCs w:val="19"/>
        </w:rPr>
        <w:t>PRIMERO.-</w:t>
      </w:r>
      <w:r w:rsidRPr="00B008B7">
        <w:rPr>
          <w:rFonts w:ascii="Tofino Regular" w:hAnsi="Tofino Regular" w:cs="Calibri Light"/>
          <w:sz w:val="19"/>
          <w:szCs w:val="19"/>
        </w:rPr>
        <w:t xml:space="preserve"> Se procede a autorizar por </w:t>
      </w:r>
      <w:r w:rsidR="002B145D" w:rsidRPr="00B008B7">
        <w:rPr>
          <w:rFonts w:ascii="Tofino Regular" w:hAnsi="Tofino Regular" w:cs="Calibri Light"/>
          <w:sz w:val="19"/>
          <w:szCs w:val="19"/>
        </w:rPr>
        <w:t>unanimidad</w:t>
      </w:r>
      <w:r w:rsidRPr="00B008B7">
        <w:rPr>
          <w:rFonts w:ascii="Tofino Regular" w:hAnsi="Tofino Regular" w:cs="Calibri Light"/>
          <w:sz w:val="19"/>
          <w:szCs w:val="19"/>
        </w:rPr>
        <w:t xml:space="preserve"> de votos del Pleno, la ampliación del estimado de ingresos presupuestales para el ejercicio 202</w:t>
      </w:r>
      <w:r w:rsidR="00AD5233" w:rsidRPr="00B008B7">
        <w:rPr>
          <w:rFonts w:ascii="Tofino Regular" w:hAnsi="Tofino Regular" w:cs="Calibri Light"/>
          <w:sz w:val="19"/>
          <w:szCs w:val="19"/>
        </w:rPr>
        <w:t>5</w:t>
      </w:r>
      <w:r w:rsidRPr="00B008B7">
        <w:rPr>
          <w:rFonts w:ascii="Tofino Regular" w:hAnsi="Tofino Regular" w:cs="Calibri Light"/>
          <w:sz w:val="19"/>
          <w:szCs w:val="19"/>
        </w:rPr>
        <w:t xml:space="preserve">, así como la modificación al presupuesto de egresos en los términos propuestos por la Unidad Administrativa responsable del gasto institucional citada en el considerando </w:t>
      </w:r>
      <w:r w:rsidR="00715DB0" w:rsidRPr="00B008B7">
        <w:rPr>
          <w:rFonts w:ascii="Tofino Regular" w:hAnsi="Tofino Regular" w:cs="Calibri Light"/>
          <w:sz w:val="19"/>
          <w:szCs w:val="19"/>
        </w:rPr>
        <w:t>SEGUNDO</w:t>
      </w:r>
      <w:r w:rsidRPr="00B008B7">
        <w:rPr>
          <w:rFonts w:ascii="Tofino Regular" w:hAnsi="Tofino Regular" w:cs="Calibri Light"/>
          <w:sz w:val="19"/>
          <w:szCs w:val="19"/>
        </w:rPr>
        <w:t xml:space="preserve"> del presente acuerdo administrativo</w:t>
      </w:r>
      <w:r w:rsidR="002B145D" w:rsidRPr="00B008B7">
        <w:rPr>
          <w:rFonts w:ascii="Tofino Regular" w:hAnsi="Tofino Regular" w:cs="Calibri Light"/>
          <w:sz w:val="19"/>
          <w:szCs w:val="19"/>
        </w:rPr>
        <w:t>.</w:t>
      </w:r>
    </w:p>
    <w:p w14:paraId="0B893248" w14:textId="77777777" w:rsidR="002B145D" w:rsidRPr="00B008B7" w:rsidRDefault="002B145D" w:rsidP="00B008B7">
      <w:pPr>
        <w:widowControl w:val="0"/>
        <w:jc w:val="both"/>
        <w:rPr>
          <w:rFonts w:ascii="Tofino Regular" w:hAnsi="Tofino Regular"/>
          <w:sz w:val="19"/>
          <w:szCs w:val="19"/>
        </w:rPr>
      </w:pPr>
    </w:p>
    <w:p w14:paraId="1A7B299D" w14:textId="77777777" w:rsidR="006156A6" w:rsidRPr="00B008B7" w:rsidRDefault="006156A6" w:rsidP="00B008B7">
      <w:pPr>
        <w:jc w:val="both"/>
        <w:rPr>
          <w:rFonts w:ascii="Tofino Regular" w:hAnsi="Tofino Regular" w:cs="Calibri Light"/>
          <w:bCs/>
          <w:sz w:val="19"/>
          <w:szCs w:val="19"/>
        </w:rPr>
      </w:pPr>
      <w:r w:rsidRPr="00B008B7">
        <w:rPr>
          <w:rFonts w:ascii="Tofino Regular" w:hAnsi="Tofino Regular" w:cs="Calibri Light"/>
          <w:b/>
          <w:sz w:val="19"/>
          <w:szCs w:val="19"/>
        </w:rPr>
        <w:t>SEGUNDO</w:t>
      </w:r>
      <w:r w:rsidRPr="00B008B7">
        <w:rPr>
          <w:rFonts w:ascii="Tofino Regular" w:hAnsi="Tofino Regular" w:cs="Calibri Light"/>
          <w:bCs/>
          <w:sz w:val="19"/>
          <w:szCs w:val="19"/>
        </w:rPr>
        <w:t>. - Se instruye a la Dirección de Asuntos Jurídicos y Plenarios para que notifique a la Directora de Administración, Finanzas y Recursos Humanos del Instituto Estatal de Transparencia, Acceso a la Información Pública y Protección de Datos Personales, para que en el ejercicio de sus funciones se sirva en dar trámite oportuno al presente acuerdo.</w:t>
      </w:r>
    </w:p>
    <w:p w14:paraId="01F82B47" w14:textId="77777777" w:rsidR="006156A6" w:rsidRPr="00B008B7" w:rsidRDefault="006156A6" w:rsidP="00B008B7">
      <w:pPr>
        <w:jc w:val="both"/>
        <w:rPr>
          <w:rFonts w:ascii="Tofino Regular" w:hAnsi="Tofino Regular" w:cs="Calibri Light"/>
          <w:b/>
          <w:sz w:val="19"/>
          <w:szCs w:val="19"/>
        </w:rPr>
      </w:pPr>
    </w:p>
    <w:p w14:paraId="28A101F6" w14:textId="29972935" w:rsidR="006156A6" w:rsidRPr="00B008B7" w:rsidRDefault="006156A6" w:rsidP="00B008B7">
      <w:pPr>
        <w:jc w:val="both"/>
        <w:rPr>
          <w:rFonts w:ascii="Tofino Regular" w:hAnsi="Tofino Regular" w:cs="Calibri Light"/>
          <w:bCs/>
          <w:sz w:val="19"/>
          <w:szCs w:val="19"/>
        </w:rPr>
      </w:pPr>
      <w:r w:rsidRPr="00B008B7">
        <w:rPr>
          <w:rFonts w:ascii="Tofino Regular" w:hAnsi="Tofino Regular" w:cs="Calibri Light"/>
          <w:b/>
          <w:sz w:val="19"/>
          <w:szCs w:val="19"/>
        </w:rPr>
        <w:t>TERCERO</w:t>
      </w:r>
      <w:r w:rsidRPr="00B008B7">
        <w:rPr>
          <w:rFonts w:ascii="Tofino Regular" w:hAnsi="Tofino Regular" w:cs="Calibri Light"/>
          <w:bCs/>
          <w:sz w:val="19"/>
          <w:szCs w:val="19"/>
        </w:rPr>
        <w:t>. - 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43D4F291" w14:textId="77777777" w:rsidR="006156A6" w:rsidRPr="00B008B7" w:rsidRDefault="006156A6" w:rsidP="00B008B7">
      <w:pPr>
        <w:jc w:val="both"/>
        <w:rPr>
          <w:rFonts w:ascii="Tofino Regular" w:hAnsi="Tofino Regular" w:cs="Calibri Light"/>
          <w:bCs/>
          <w:sz w:val="19"/>
          <w:szCs w:val="19"/>
        </w:rPr>
      </w:pPr>
    </w:p>
    <w:p w14:paraId="5B6A77FF" w14:textId="77777777" w:rsidR="006156A6" w:rsidRPr="00B008B7" w:rsidRDefault="006156A6" w:rsidP="00B008B7">
      <w:pPr>
        <w:jc w:val="both"/>
        <w:rPr>
          <w:rFonts w:ascii="Tofino Regular" w:hAnsi="Tofino Regular" w:cs="Calibri Light"/>
          <w:bCs/>
          <w:sz w:val="19"/>
          <w:szCs w:val="19"/>
        </w:rPr>
      </w:pPr>
      <w:r w:rsidRPr="00B008B7">
        <w:rPr>
          <w:rFonts w:ascii="Tofino Regular" w:hAnsi="Tofino Regular" w:cs="Calibri Light"/>
          <w:bCs/>
          <w:sz w:val="19"/>
          <w:szCs w:val="19"/>
        </w:rPr>
        <w:t>Así lo acordaron y firman para debida constancia, los integrantes del Pleno del Instituto Estatal de Transparencia, Acceso a la Información Pública y Protección de Datos Personales.</w:t>
      </w:r>
    </w:p>
    <w:p w14:paraId="1E8A4AE1" w14:textId="77777777" w:rsidR="006156A6" w:rsidRPr="00B008B7" w:rsidRDefault="006156A6" w:rsidP="00B008B7">
      <w:pPr>
        <w:jc w:val="both"/>
        <w:rPr>
          <w:rFonts w:ascii="Tofino Regular" w:hAnsi="Tofino Regular" w:cs="Calibri Light"/>
          <w:bCs/>
          <w:sz w:val="19"/>
          <w:szCs w:val="19"/>
        </w:rPr>
      </w:pPr>
    </w:p>
    <w:p w14:paraId="3A675A07" w14:textId="77777777" w:rsidR="006156A6" w:rsidRPr="00B008B7" w:rsidRDefault="006156A6" w:rsidP="00B008B7">
      <w:pPr>
        <w:jc w:val="both"/>
        <w:rPr>
          <w:rFonts w:ascii="Tofino Regular" w:hAnsi="Tofino Regular" w:cs="Calibri Light"/>
          <w:bCs/>
          <w:sz w:val="19"/>
          <w:szCs w:val="19"/>
        </w:rPr>
      </w:pPr>
    </w:p>
    <w:p w14:paraId="4F593A5A" w14:textId="77777777" w:rsidR="00D836CF" w:rsidRPr="00B008B7" w:rsidRDefault="00D836CF" w:rsidP="00B008B7">
      <w:pPr>
        <w:pStyle w:val="Sinespaciado"/>
        <w:jc w:val="center"/>
        <w:rPr>
          <w:rFonts w:ascii="Tofino Regular" w:hAnsi="Tofino Regular"/>
          <w:b/>
          <w:sz w:val="19"/>
          <w:szCs w:val="19"/>
        </w:rPr>
      </w:pPr>
    </w:p>
    <w:p w14:paraId="42168012" w14:textId="77777777" w:rsidR="001839F7" w:rsidRPr="00B008B7" w:rsidRDefault="001839F7" w:rsidP="00B008B7">
      <w:pPr>
        <w:pStyle w:val="Sinespaciado"/>
        <w:jc w:val="center"/>
        <w:rPr>
          <w:rFonts w:ascii="Tofino Regular" w:hAnsi="Tofino Regular"/>
          <w:b/>
          <w:sz w:val="19"/>
          <w:szCs w:val="19"/>
        </w:rPr>
      </w:pPr>
    </w:p>
    <w:p w14:paraId="0A3488BA" w14:textId="4C7EA597" w:rsidR="00D836CF" w:rsidRPr="00B008B7" w:rsidRDefault="00D836CF" w:rsidP="00B008B7">
      <w:pPr>
        <w:pStyle w:val="Sinespaciado"/>
        <w:jc w:val="center"/>
        <w:rPr>
          <w:rFonts w:ascii="Tofino Regular" w:hAnsi="Tofino Regular"/>
          <w:b/>
          <w:sz w:val="19"/>
          <w:szCs w:val="19"/>
        </w:rPr>
      </w:pPr>
    </w:p>
    <w:tbl>
      <w:tblPr>
        <w:tblW w:w="10041" w:type="dxa"/>
        <w:tblInd w:w="-593" w:type="dxa"/>
        <w:tblLook w:val="04A0" w:firstRow="1" w:lastRow="0" w:firstColumn="1" w:lastColumn="0" w:noHBand="0" w:noVBand="1"/>
      </w:tblPr>
      <w:tblGrid>
        <w:gridCol w:w="5020"/>
        <w:gridCol w:w="5021"/>
      </w:tblGrid>
      <w:tr w:rsidR="00D836CF" w:rsidRPr="00B008B7" w14:paraId="7060521B" w14:textId="77777777" w:rsidTr="00D23694">
        <w:trPr>
          <w:trHeight w:val="859"/>
        </w:trPr>
        <w:tc>
          <w:tcPr>
            <w:tcW w:w="10041" w:type="dxa"/>
            <w:gridSpan w:val="2"/>
            <w:hideMark/>
          </w:tcPr>
          <w:p w14:paraId="5B884609" w14:textId="2AC0A7EF" w:rsidR="00C04C75" w:rsidRDefault="00BD3BAC" w:rsidP="00B008B7">
            <w:pPr>
              <w:pStyle w:val="Sinespaciado"/>
              <w:jc w:val="center"/>
              <w:rPr>
                <w:rFonts w:ascii="Tofino Regular" w:hAnsi="Tofino Regular"/>
                <w:b/>
                <w:sz w:val="19"/>
                <w:szCs w:val="19"/>
              </w:rPr>
            </w:pPr>
            <w:r>
              <w:rPr>
                <w:rFonts w:ascii="Tofino Regular" w:hAnsi="Tofino Regular"/>
                <w:b/>
                <w:sz w:val="19"/>
                <w:szCs w:val="19"/>
              </w:rPr>
              <w:t>(RÚBRICA)</w:t>
            </w:r>
          </w:p>
          <w:p w14:paraId="36C1514E" w14:textId="77777777" w:rsidR="00B008B7" w:rsidRPr="00B008B7" w:rsidRDefault="00B008B7" w:rsidP="00B008B7">
            <w:pPr>
              <w:pStyle w:val="Sinespaciado"/>
              <w:jc w:val="center"/>
              <w:rPr>
                <w:rFonts w:ascii="Tofino Regular" w:hAnsi="Tofino Regular"/>
                <w:b/>
                <w:sz w:val="19"/>
                <w:szCs w:val="19"/>
              </w:rPr>
            </w:pPr>
          </w:p>
          <w:p w14:paraId="1C6DF7C0" w14:textId="46CA576A" w:rsidR="00D836CF" w:rsidRPr="00B008B7" w:rsidRDefault="00D836CF" w:rsidP="00B008B7">
            <w:pPr>
              <w:pStyle w:val="Sinespaciado"/>
              <w:jc w:val="center"/>
              <w:rPr>
                <w:rFonts w:ascii="Tofino Regular" w:hAnsi="Tofino Regular"/>
                <w:b/>
                <w:sz w:val="19"/>
                <w:szCs w:val="19"/>
              </w:rPr>
            </w:pPr>
            <w:r w:rsidRPr="00B008B7">
              <w:rPr>
                <w:rFonts w:ascii="Tofino Regular" w:hAnsi="Tofino Regular"/>
                <w:b/>
                <w:sz w:val="19"/>
                <w:szCs w:val="19"/>
              </w:rPr>
              <w:t>MTRA. MARÍA GILDA SEGOVIA CHAB</w:t>
            </w:r>
          </w:p>
          <w:p w14:paraId="41C652B9" w14:textId="77777777" w:rsidR="00D836CF" w:rsidRPr="00B008B7" w:rsidRDefault="00D836CF" w:rsidP="00B008B7">
            <w:pPr>
              <w:pStyle w:val="Sinespaciado"/>
              <w:jc w:val="center"/>
              <w:rPr>
                <w:rFonts w:ascii="Tofino Regular" w:hAnsi="Tofino Regular"/>
                <w:b/>
                <w:sz w:val="19"/>
                <w:szCs w:val="19"/>
              </w:rPr>
            </w:pPr>
            <w:r w:rsidRPr="00B008B7">
              <w:rPr>
                <w:rFonts w:ascii="Tofino Regular" w:hAnsi="Tofino Regular"/>
                <w:b/>
                <w:sz w:val="19"/>
                <w:szCs w:val="19"/>
              </w:rPr>
              <w:t>COMISIONADA PRESIDENTA</w:t>
            </w:r>
          </w:p>
        </w:tc>
      </w:tr>
      <w:tr w:rsidR="00D836CF" w:rsidRPr="00B008B7" w14:paraId="5E70DF2B" w14:textId="77777777" w:rsidTr="00D23694">
        <w:trPr>
          <w:trHeight w:val="859"/>
        </w:trPr>
        <w:tc>
          <w:tcPr>
            <w:tcW w:w="5020" w:type="dxa"/>
          </w:tcPr>
          <w:p w14:paraId="3A3AB9EA" w14:textId="77777777" w:rsidR="00D836CF" w:rsidRPr="00B008B7" w:rsidRDefault="00D836CF" w:rsidP="00B008B7">
            <w:pPr>
              <w:pStyle w:val="Sinespaciado"/>
              <w:jc w:val="center"/>
              <w:rPr>
                <w:rFonts w:ascii="Tofino Regular" w:hAnsi="Tofino Regular"/>
                <w:b/>
                <w:sz w:val="19"/>
                <w:szCs w:val="19"/>
              </w:rPr>
            </w:pPr>
          </w:p>
          <w:p w14:paraId="79FB1341" w14:textId="77777777" w:rsidR="00D836CF" w:rsidRPr="00B008B7" w:rsidRDefault="00D836CF" w:rsidP="00B008B7">
            <w:pPr>
              <w:pStyle w:val="Sinespaciado"/>
              <w:jc w:val="center"/>
              <w:rPr>
                <w:rFonts w:ascii="Tofino Regular" w:hAnsi="Tofino Regular"/>
                <w:b/>
                <w:sz w:val="19"/>
                <w:szCs w:val="19"/>
              </w:rPr>
            </w:pPr>
          </w:p>
          <w:p w14:paraId="297FD64D" w14:textId="77777777" w:rsidR="009109AB" w:rsidRDefault="009109AB" w:rsidP="00B008B7">
            <w:pPr>
              <w:pStyle w:val="Sinespaciado"/>
              <w:jc w:val="center"/>
              <w:rPr>
                <w:rFonts w:ascii="Tofino Regular" w:hAnsi="Tofino Regular"/>
                <w:b/>
                <w:sz w:val="19"/>
                <w:szCs w:val="19"/>
              </w:rPr>
            </w:pPr>
          </w:p>
          <w:p w14:paraId="1DAECFBD" w14:textId="77777777" w:rsidR="00B008B7" w:rsidRPr="00B008B7" w:rsidRDefault="00B008B7" w:rsidP="00B008B7">
            <w:pPr>
              <w:pStyle w:val="Sinespaciado"/>
              <w:jc w:val="center"/>
              <w:rPr>
                <w:rFonts w:ascii="Tofino Regular" w:hAnsi="Tofino Regular"/>
                <w:b/>
                <w:sz w:val="19"/>
                <w:szCs w:val="19"/>
              </w:rPr>
            </w:pPr>
          </w:p>
          <w:p w14:paraId="2A46171F" w14:textId="77777777" w:rsidR="00C04C75" w:rsidRPr="00B008B7" w:rsidRDefault="00C04C75" w:rsidP="00B008B7">
            <w:pPr>
              <w:pStyle w:val="Sinespaciado"/>
              <w:jc w:val="center"/>
              <w:rPr>
                <w:rFonts w:ascii="Tofino Regular" w:hAnsi="Tofino Regular"/>
                <w:b/>
                <w:sz w:val="19"/>
                <w:szCs w:val="19"/>
              </w:rPr>
            </w:pPr>
          </w:p>
          <w:p w14:paraId="190BBE8A" w14:textId="77777777" w:rsidR="00BD3BAC" w:rsidRDefault="00BD3BAC" w:rsidP="00BD3BAC">
            <w:pPr>
              <w:pStyle w:val="Sinespaciado"/>
              <w:jc w:val="center"/>
              <w:rPr>
                <w:rFonts w:ascii="Tofino Regular" w:hAnsi="Tofino Regular"/>
                <w:b/>
                <w:sz w:val="19"/>
                <w:szCs w:val="19"/>
              </w:rPr>
            </w:pPr>
            <w:r>
              <w:rPr>
                <w:rFonts w:ascii="Tofino Regular" w:hAnsi="Tofino Regular"/>
                <w:b/>
                <w:sz w:val="19"/>
                <w:szCs w:val="19"/>
              </w:rPr>
              <w:t>(RÚBRICA)</w:t>
            </w:r>
          </w:p>
          <w:p w14:paraId="209F7C42" w14:textId="77777777" w:rsidR="00C04C75" w:rsidRPr="00B008B7" w:rsidRDefault="00C04C75" w:rsidP="00B008B7">
            <w:pPr>
              <w:pStyle w:val="Sinespaciado"/>
              <w:jc w:val="center"/>
              <w:rPr>
                <w:rFonts w:ascii="Tofino Regular" w:hAnsi="Tofino Regular"/>
                <w:b/>
                <w:sz w:val="19"/>
                <w:szCs w:val="19"/>
              </w:rPr>
            </w:pPr>
          </w:p>
          <w:p w14:paraId="5660E2F1" w14:textId="5DF1CF03" w:rsidR="00D836CF" w:rsidRPr="00B008B7" w:rsidRDefault="00D836CF" w:rsidP="00B008B7">
            <w:pPr>
              <w:pStyle w:val="Sinespaciado"/>
              <w:jc w:val="center"/>
              <w:rPr>
                <w:rFonts w:ascii="Tofino Regular" w:hAnsi="Tofino Regular"/>
                <w:b/>
                <w:sz w:val="19"/>
                <w:szCs w:val="19"/>
              </w:rPr>
            </w:pPr>
            <w:r w:rsidRPr="00B008B7">
              <w:rPr>
                <w:rFonts w:ascii="Tofino Regular" w:hAnsi="Tofino Regular"/>
                <w:b/>
                <w:sz w:val="19"/>
                <w:szCs w:val="19"/>
              </w:rPr>
              <w:t>DR. CARLOS FERNANDO PAVÓN DURÁN</w:t>
            </w:r>
          </w:p>
          <w:p w14:paraId="5DEF0E77" w14:textId="77777777" w:rsidR="00D836CF" w:rsidRPr="00B008B7" w:rsidRDefault="00D836CF" w:rsidP="00B008B7">
            <w:pPr>
              <w:pStyle w:val="Sinespaciado"/>
              <w:jc w:val="center"/>
              <w:rPr>
                <w:rFonts w:ascii="Tofino Regular" w:hAnsi="Tofino Regular"/>
                <w:b/>
                <w:sz w:val="19"/>
                <w:szCs w:val="19"/>
              </w:rPr>
            </w:pPr>
            <w:r w:rsidRPr="00B008B7">
              <w:rPr>
                <w:rFonts w:ascii="Tofino Regular" w:hAnsi="Tofino Regular"/>
                <w:b/>
                <w:sz w:val="19"/>
                <w:szCs w:val="19"/>
              </w:rPr>
              <w:t>COMISIONADO</w:t>
            </w:r>
          </w:p>
          <w:p w14:paraId="370AE00B" w14:textId="77777777" w:rsidR="00D836CF" w:rsidRPr="00B008B7" w:rsidRDefault="00D836CF" w:rsidP="00B008B7">
            <w:pPr>
              <w:pStyle w:val="Sinespaciado"/>
              <w:jc w:val="center"/>
              <w:rPr>
                <w:rFonts w:ascii="Tofino Regular" w:hAnsi="Tofino Regular"/>
                <w:b/>
                <w:sz w:val="19"/>
                <w:szCs w:val="19"/>
              </w:rPr>
            </w:pPr>
          </w:p>
        </w:tc>
        <w:tc>
          <w:tcPr>
            <w:tcW w:w="5021" w:type="dxa"/>
          </w:tcPr>
          <w:p w14:paraId="3741E6A8" w14:textId="77777777" w:rsidR="00D836CF" w:rsidRPr="00B008B7" w:rsidRDefault="00D836CF" w:rsidP="00B008B7">
            <w:pPr>
              <w:pStyle w:val="Sinespaciado"/>
              <w:jc w:val="center"/>
              <w:rPr>
                <w:rFonts w:ascii="Tofino Regular" w:hAnsi="Tofino Regular"/>
                <w:b/>
                <w:sz w:val="19"/>
                <w:szCs w:val="19"/>
                <w:lang w:val="pt-BR"/>
              </w:rPr>
            </w:pPr>
          </w:p>
          <w:p w14:paraId="763A7AA4" w14:textId="77777777" w:rsidR="00D836CF" w:rsidRPr="00B008B7" w:rsidRDefault="00D836CF" w:rsidP="00B008B7">
            <w:pPr>
              <w:pStyle w:val="Sinespaciado"/>
              <w:jc w:val="center"/>
              <w:rPr>
                <w:rFonts w:ascii="Tofino Regular" w:hAnsi="Tofino Regular"/>
                <w:b/>
                <w:sz w:val="19"/>
                <w:szCs w:val="19"/>
                <w:lang w:val="pt-BR"/>
              </w:rPr>
            </w:pPr>
          </w:p>
          <w:p w14:paraId="3C7FEDF3" w14:textId="77777777" w:rsidR="00D836CF" w:rsidRDefault="00D836CF" w:rsidP="00B008B7">
            <w:pPr>
              <w:pStyle w:val="Sinespaciado"/>
              <w:jc w:val="center"/>
              <w:rPr>
                <w:rFonts w:ascii="Tofino Regular" w:hAnsi="Tofino Regular"/>
                <w:b/>
                <w:sz w:val="19"/>
                <w:szCs w:val="19"/>
                <w:lang w:val="pt-BR"/>
              </w:rPr>
            </w:pPr>
          </w:p>
          <w:p w14:paraId="3ADBE45E" w14:textId="77777777" w:rsidR="00B008B7" w:rsidRPr="00B008B7" w:rsidRDefault="00B008B7" w:rsidP="00B008B7">
            <w:pPr>
              <w:pStyle w:val="Sinespaciado"/>
              <w:jc w:val="center"/>
              <w:rPr>
                <w:rFonts w:ascii="Tofino Regular" w:hAnsi="Tofino Regular"/>
                <w:b/>
                <w:sz w:val="19"/>
                <w:szCs w:val="19"/>
                <w:lang w:val="pt-BR"/>
              </w:rPr>
            </w:pPr>
          </w:p>
          <w:p w14:paraId="34C495FF" w14:textId="77777777" w:rsidR="006A3066" w:rsidRPr="00B008B7" w:rsidRDefault="006A3066" w:rsidP="00B008B7">
            <w:pPr>
              <w:pStyle w:val="Sinespaciado"/>
              <w:jc w:val="center"/>
              <w:rPr>
                <w:rFonts w:ascii="Tofino Regular" w:hAnsi="Tofino Regular"/>
                <w:b/>
                <w:sz w:val="19"/>
                <w:szCs w:val="19"/>
              </w:rPr>
            </w:pPr>
          </w:p>
          <w:p w14:paraId="729968A8" w14:textId="77777777" w:rsidR="00BD3BAC" w:rsidRDefault="00BD3BAC" w:rsidP="00BD3BAC">
            <w:pPr>
              <w:pStyle w:val="Sinespaciado"/>
              <w:jc w:val="center"/>
              <w:rPr>
                <w:rFonts w:ascii="Tofino Regular" w:hAnsi="Tofino Regular"/>
                <w:b/>
                <w:sz w:val="19"/>
                <w:szCs w:val="19"/>
              </w:rPr>
            </w:pPr>
            <w:r>
              <w:rPr>
                <w:rFonts w:ascii="Tofino Regular" w:hAnsi="Tofino Regular"/>
                <w:b/>
                <w:sz w:val="19"/>
                <w:szCs w:val="19"/>
              </w:rPr>
              <w:t>(RÚBRICA)</w:t>
            </w:r>
          </w:p>
          <w:p w14:paraId="433B4A02" w14:textId="77777777" w:rsidR="00C04C75" w:rsidRPr="00B008B7" w:rsidRDefault="00C04C75" w:rsidP="00B008B7">
            <w:pPr>
              <w:pStyle w:val="Sinespaciado"/>
              <w:jc w:val="center"/>
              <w:rPr>
                <w:rFonts w:ascii="Tofino Regular" w:hAnsi="Tofino Regular"/>
                <w:b/>
                <w:sz w:val="19"/>
                <w:szCs w:val="19"/>
                <w:lang w:val="pt-BR"/>
              </w:rPr>
            </w:pPr>
          </w:p>
          <w:p w14:paraId="27C0C99D" w14:textId="77777777" w:rsidR="00D836CF" w:rsidRPr="00B008B7" w:rsidRDefault="00D836CF" w:rsidP="00B008B7">
            <w:pPr>
              <w:pStyle w:val="Sinespaciado"/>
              <w:jc w:val="center"/>
              <w:rPr>
                <w:rFonts w:ascii="Tofino Regular" w:hAnsi="Tofino Regular"/>
                <w:b/>
                <w:sz w:val="19"/>
                <w:szCs w:val="19"/>
                <w:lang w:val="pt-BR"/>
              </w:rPr>
            </w:pPr>
            <w:r w:rsidRPr="00B008B7">
              <w:rPr>
                <w:rFonts w:ascii="Tofino Regular" w:hAnsi="Tofino Regular"/>
                <w:b/>
                <w:sz w:val="19"/>
                <w:szCs w:val="19"/>
                <w:lang w:val="pt-BR"/>
              </w:rPr>
              <w:t>LIC. MAURICIO MORENO MENDOZA</w:t>
            </w:r>
          </w:p>
          <w:p w14:paraId="2A035F6F" w14:textId="77777777" w:rsidR="00D836CF" w:rsidRPr="00B008B7" w:rsidRDefault="00D836CF" w:rsidP="00B008B7">
            <w:pPr>
              <w:pStyle w:val="Sinespaciado"/>
              <w:jc w:val="center"/>
              <w:rPr>
                <w:rFonts w:ascii="Tofino Regular" w:hAnsi="Tofino Regular"/>
                <w:b/>
                <w:sz w:val="19"/>
                <w:szCs w:val="19"/>
                <w:lang w:val="pt-BR"/>
              </w:rPr>
            </w:pPr>
            <w:r w:rsidRPr="00B008B7">
              <w:rPr>
                <w:rFonts w:ascii="Tofino Regular" w:hAnsi="Tofino Regular"/>
                <w:b/>
                <w:sz w:val="19"/>
                <w:szCs w:val="19"/>
                <w:lang w:val="pt-BR"/>
              </w:rPr>
              <w:t>COMISIONADO</w:t>
            </w:r>
          </w:p>
        </w:tc>
      </w:tr>
    </w:tbl>
    <w:p w14:paraId="7C36EEB6" w14:textId="77777777" w:rsidR="00186662" w:rsidRPr="00B008B7" w:rsidRDefault="00186662" w:rsidP="00B008B7">
      <w:pPr>
        <w:jc w:val="right"/>
        <w:rPr>
          <w:rFonts w:ascii="Tofino Regular" w:hAnsi="Tofino Regular" w:cs="Calibri Light"/>
          <w:b/>
          <w:bCs/>
          <w:noProof/>
          <w:sz w:val="19"/>
          <w:szCs w:val="19"/>
          <w:lang w:val="pt-BR"/>
        </w:rPr>
      </w:pPr>
    </w:p>
    <w:p w14:paraId="164691F5" w14:textId="77777777" w:rsidR="00186662" w:rsidRDefault="00186662" w:rsidP="00B008B7">
      <w:pPr>
        <w:jc w:val="right"/>
        <w:rPr>
          <w:rFonts w:ascii="Tofino Regular" w:hAnsi="Tofino Regular" w:cs="Calibri Light"/>
          <w:b/>
          <w:bCs/>
          <w:noProof/>
          <w:sz w:val="19"/>
          <w:szCs w:val="19"/>
          <w:lang w:val="pt-BR"/>
        </w:rPr>
      </w:pPr>
    </w:p>
    <w:p w14:paraId="61889C00" w14:textId="77777777" w:rsidR="00B008B7" w:rsidRDefault="00B008B7" w:rsidP="00B008B7">
      <w:pPr>
        <w:jc w:val="right"/>
        <w:rPr>
          <w:rFonts w:ascii="Tofino Regular" w:hAnsi="Tofino Regular" w:cs="Calibri Light"/>
          <w:b/>
          <w:bCs/>
          <w:noProof/>
          <w:sz w:val="19"/>
          <w:szCs w:val="19"/>
          <w:lang w:val="pt-BR"/>
        </w:rPr>
      </w:pPr>
    </w:p>
    <w:p w14:paraId="4B7B9AE6" w14:textId="77777777" w:rsidR="00B008B7" w:rsidRDefault="00B008B7" w:rsidP="00B008B7">
      <w:pPr>
        <w:jc w:val="right"/>
        <w:rPr>
          <w:rFonts w:ascii="Tofino Regular" w:hAnsi="Tofino Regular" w:cs="Calibri Light"/>
          <w:b/>
          <w:bCs/>
          <w:noProof/>
          <w:sz w:val="19"/>
          <w:szCs w:val="19"/>
          <w:lang w:val="pt-BR"/>
        </w:rPr>
      </w:pPr>
    </w:p>
    <w:p w14:paraId="2C1228B5" w14:textId="77777777" w:rsidR="00B008B7" w:rsidRDefault="00B008B7" w:rsidP="00B008B7">
      <w:pPr>
        <w:jc w:val="right"/>
        <w:rPr>
          <w:rFonts w:ascii="Tofino Regular" w:hAnsi="Tofino Regular" w:cs="Calibri Light"/>
          <w:b/>
          <w:bCs/>
          <w:noProof/>
          <w:sz w:val="19"/>
          <w:szCs w:val="19"/>
          <w:lang w:val="pt-BR"/>
        </w:rPr>
      </w:pPr>
    </w:p>
    <w:p w14:paraId="10787E2D" w14:textId="77777777" w:rsidR="00B008B7" w:rsidRPr="00B008B7" w:rsidRDefault="00B008B7" w:rsidP="00B008B7">
      <w:pPr>
        <w:jc w:val="right"/>
        <w:rPr>
          <w:rFonts w:ascii="Tofino Regular" w:hAnsi="Tofino Regular" w:cs="Calibri Light"/>
          <w:b/>
          <w:bCs/>
          <w:noProof/>
          <w:sz w:val="19"/>
          <w:szCs w:val="19"/>
          <w:lang w:val="pt-BR"/>
        </w:rPr>
      </w:pPr>
    </w:p>
    <w:bookmarkEnd w:id="0"/>
    <w:p w14:paraId="6AB71B88" w14:textId="2A29DD40" w:rsidR="00325E18" w:rsidRPr="00B55AEE" w:rsidRDefault="00325E18" w:rsidP="00B008B7">
      <w:pPr>
        <w:jc w:val="right"/>
        <w:rPr>
          <w:rFonts w:ascii="Tofino Regular" w:hAnsi="Tofino Regular" w:cs="Calibri Light"/>
          <w:b/>
          <w:bCs/>
          <w:noProof/>
          <w:sz w:val="32"/>
          <w:szCs w:val="32"/>
          <w:lang w:val="pt-BR"/>
        </w:rPr>
      </w:pPr>
      <w:r w:rsidRPr="00B55AEE">
        <w:rPr>
          <w:rFonts w:ascii="Tofino Regular" w:hAnsi="Tofino Regular" w:cs="Calibri Light"/>
          <w:b/>
          <w:bCs/>
          <w:noProof/>
          <w:sz w:val="32"/>
          <w:szCs w:val="32"/>
          <w:lang w:val="pt-BR"/>
        </w:rPr>
        <w:t>Anexo único</w:t>
      </w:r>
    </w:p>
    <w:p w14:paraId="72FAFB59" w14:textId="77777777" w:rsidR="00AD5233" w:rsidRPr="00B008B7" w:rsidRDefault="00AD5233" w:rsidP="00B008B7">
      <w:pPr>
        <w:jc w:val="right"/>
        <w:rPr>
          <w:rFonts w:ascii="Tofino Regular" w:hAnsi="Tofino Regular" w:cs="Calibri Light"/>
          <w:b/>
          <w:bCs/>
          <w:noProof/>
          <w:sz w:val="19"/>
          <w:szCs w:val="19"/>
          <w:lang w:val="pt-BR"/>
        </w:rPr>
      </w:pPr>
    </w:p>
    <w:p w14:paraId="33AB413B" w14:textId="75A172ED" w:rsidR="00BE3BE2" w:rsidRPr="00B008B7" w:rsidRDefault="009C6417" w:rsidP="00B008B7">
      <w:pPr>
        <w:jc w:val="right"/>
        <w:rPr>
          <w:rFonts w:ascii="Tofino Regular" w:hAnsi="Tofino Regular" w:cs="Calibri Light"/>
          <w:b/>
          <w:bCs/>
          <w:noProof/>
          <w:sz w:val="19"/>
          <w:szCs w:val="19"/>
          <w:lang w:val="pt-BR"/>
        </w:rPr>
      </w:pPr>
      <w:r>
        <w:rPr>
          <w:noProof/>
        </w:rPr>
        <w:drawing>
          <wp:inline distT="0" distB="0" distL="0" distR="0" wp14:anchorId="5D068E8F" wp14:editId="6C64E491">
            <wp:extent cx="5612130" cy="7219950"/>
            <wp:effectExtent l="19050" t="19050" r="26670" b="19050"/>
            <wp:docPr id="21122002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19950"/>
                    </a:xfrm>
                    <a:prstGeom prst="rect">
                      <a:avLst/>
                    </a:prstGeom>
                    <a:noFill/>
                    <a:ln>
                      <a:solidFill>
                        <a:schemeClr val="tx1"/>
                      </a:solidFill>
                    </a:ln>
                  </pic:spPr>
                </pic:pic>
              </a:graphicData>
            </a:graphic>
          </wp:inline>
        </w:drawing>
      </w:r>
    </w:p>
    <w:sectPr w:rsidR="00BE3BE2" w:rsidRPr="00B008B7" w:rsidSect="00AD5233">
      <w:headerReference w:type="default" r:id="rId10"/>
      <w:footerReference w:type="default" r:id="rId11"/>
      <w:pgSz w:w="12240" w:h="15840"/>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4DCE7" w14:textId="77777777" w:rsidR="00F35643" w:rsidRDefault="00F35643" w:rsidP="00FD40D2">
      <w:r>
        <w:separator/>
      </w:r>
    </w:p>
  </w:endnote>
  <w:endnote w:type="continuationSeparator" w:id="0">
    <w:p w14:paraId="7E0EBA1D" w14:textId="77777777" w:rsidR="00F35643" w:rsidRDefault="00F35643"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fino Regular">
    <w:panose1 w:val="02000000000000000000"/>
    <w:charset w:val="00"/>
    <w:family w:val="auto"/>
    <w:pitch w:val="variable"/>
    <w:sig w:usb0="A00000FF" w:usb1="4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6FB0" w14:textId="77777777" w:rsidR="000C0D9D" w:rsidRPr="00F96A1F" w:rsidRDefault="000C0D9D" w:rsidP="000C0D9D">
    <w:pPr>
      <w:pStyle w:val="Piedepgina"/>
      <w:jc w:val="center"/>
      <w:rPr>
        <w:rFonts w:ascii="Arial" w:hAnsi="Arial" w:cs="Arial"/>
        <w:noProof/>
        <w:sz w:val="18"/>
        <w:szCs w:val="18"/>
      </w:rPr>
    </w:pPr>
    <w:r w:rsidRPr="00F96A1F">
      <w:rPr>
        <w:rFonts w:ascii="Arial" w:hAnsi="Arial" w:cs="Arial"/>
        <w:sz w:val="18"/>
        <w:szCs w:val="18"/>
      </w:rPr>
      <w:t xml:space="preserve">Página </w:t>
    </w:r>
    <w:r w:rsidRPr="00F96A1F">
      <w:rPr>
        <w:rFonts w:ascii="Arial" w:hAnsi="Arial" w:cs="Arial"/>
        <w:sz w:val="18"/>
        <w:szCs w:val="18"/>
      </w:rPr>
      <w:fldChar w:fldCharType="begin"/>
    </w:r>
    <w:r w:rsidRPr="00F96A1F">
      <w:rPr>
        <w:rFonts w:ascii="Arial" w:hAnsi="Arial" w:cs="Arial"/>
        <w:sz w:val="18"/>
        <w:szCs w:val="18"/>
      </w:rPr>
      <w:instrText>PAGE  \* Arabic  \* MERGEFORMAT</w:instrText>
    </w:r>
    <w:r w:rsidRPr="00F96A1F">
      <w:rPr>
        <w:rFonts w:ascii="Arial" w:hAnsi="Arial" w:cs="Arial"/>
        <w:sz w:val="18"/>
        <w:szCs w:val="18"/>
      </w:rPr>
      <w:fldChar w:fldCharType="separate"/>
    </w:r>
    <w:r w:rsidRPr="00F96A1F">
      <w:rPr>
        <w:rFonts w:ascii="Arial" w:hAnsi="Arial" w:cs="Arial"/>
        <w:sz w:val="18"/>
        <w:szCs w:val="18"/>
      </w:rPr>
      <w:t>1</w:t>
    </w:r>
    <w:r w:rsidRPr="00F96A1F">
      <w:rPr>
        <w:rFonts w:ascii="Arial" w:hAnsi="Arial" w:cs="Arial"/>
        <w:sz w:val="18"/>
        <w:szCs w:val="18"/>
      </w:rPr>
      <w:fldChar w:fldCharType="end"/>
    </w:r>
    <w:r w:rsidRPr="00F96A1F">
      <w:rPr>
        <w:rFonts w:ascii="Arial" w:hAnsi="Arial" w:cs="Arial"/>
        <w:sz w:val="18"/>
        <w:szCs w:val="18"/>
      </w:rPr>
      <w:t xml:space="preserve"> de </w:t>
    </w:r>
    <w:r w:rsidRPr="00F96A1F">
      <w:rPr>
        <w:rFonts w:ascii="Arial" w:hAnsi="Arial" w:cs="Arial"/>
        <w:sz w:val="18"/>
        <w:szCs w:val="18"/>
      </w:rPr>
      <w:fldChar w:fldCharType="begin"/>
    </w:r>
    <w:r w:rsidRPr="00F96A1F">
      <w:rPr>
        <w:rFonts w:ascii="Arial" w:hAnsi="Arial" w:cs="Arial"/>
        <w:sz w:val="18"/>
        <w:szCs w:val="18"/>
      </w:rPr>
      <w:instrText>NUMPAGES  \* Arabic  \* MERGEFORMAT</w:instrText>
    </w:r>
    <w:r w:rsidRPr="00F96A1F">
      <w:rPr>
        <w:rFonts w:ascii="Arial" w:hAnsi="Arial" w:cs="Arial"/>
        <w:sz w:val="18"/>
        <w:szCs w:val="18"/>
      </w:rPr>
      <w:fldChar w:fldCharType="separate"/>
    </w:r>
    <w:r w:rsidRPr="00F96A1F">
      <w:rPr>
        <w:rFonts w:ascii="Arial" w:hAnsi="Arial" w:cs="Arial"/>
        <w:sz w:val="18"/>
        <w:szCs w:val="18"/>
      </w:rPr>
      <w:t>10</w:t>
    </w:r>
    <w:r w:rsidRPr="00F96A1F">
      <w:rPr>
        <w:rFonts w:ascii="Arial" w:hAnsi="Arial" w:cs="Arial"/>
        <w:noProof/>
        <w:sz w:val="18"/>
        <w:szCs w:val="18"/>
      </w:rPr>
      <w:fldChar w:fldCharType="end"/>
    </w:r>
  </w:p>
  <w:p w14:paraId="554838BF" w14:textId="77777777" w:rsidR="00543C1B" w:rsidRPr="00371BBE" w:rsidRDefault="00543C1B" w:rsidP="00543C1B">
    <w:pPr>
      <w:pStyle w:val="Piedepgina"/>
      <w:jc w:val="center"/>
      <w:rPr>
        <w:rFonts w:ascii="Arial" w:hAnsi="Arial" w:cs="Arial"/>
        <w:sz w:val="18"/>
        <w:szCs w:val="18"/>
      </w:rPr>
    </w:pPr>
  </w:p>
  <w:p w14:paraId="1D19F8BD" w14:textId="42C1BED9" w:rsidR="009B625A" w:rsidRDefault="00D226F5" w:rsidP="000C0D9D">
    <w:pPr>
      <w:pStyle w:val="Piedepgina"/>
      <w:tabs>
        <w:tab w:val="clear" w:pos="8838"/>
      </w:tabs>
    </w:pPr>
    <w:r>
      <w:rPr>
        <w:noProof/>
        <w:lang w:eastAsia="es-MX"/>
      </w:rPr>
      <w:drawing>
        <wp:anchor distT="0" distB="0" distL="114300" distR="114300" simplePos="0" relativeHeight="251670528" behindDoc="1" locked="0" layoutInCell="1" allowOverlap="1" wp14:anchorId="19F1038E" wp14:editId="4E222757">
          <wp:simplePos x="0" y="0"/>
          <wp:positionH relativeFrom="column">
            <wp:posOffset>-893528</wp:posOffset>
          </wp:positionH>
          <wp:positionV relativeFrom="paragraph">
            <wp:posOffset>12700</wp:posOffset>
          </wp:positionV>
          <wp:extent cx="7367418" cy="455983"/>
          <wp:effectExtent l="0" t="0" r="0" b="1270"/>
          <wp:wrapNone/>
          <wp:docPr id="314871741" name="Imagen 31487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r w:rsidR="000C0D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50763" w14:textId="77777777" w:rsidR="00F35643" w:rsidRDefault="00F35643" w:rsidP="00FD40D2">
      <w:r>
        <w:separator/>
      </w:r>
    </w:p>
  </w:footnote>
  <w:footnote w:type="continuationSeparator" w:id="0">
    <w:p w14:paraId="64066421" w14:textId="77777777" w:rsidR="00F35643" w:rsidRDefault="00F35643"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4969" w14:textId="7482618E" w:rsidR="00FD40D2" w:rsidRDefault="000A40E5">
    <w:pPr>
      <w:pStyle w:val="Encabezado"/>
    </w:pPr>
    <w:r>
      <w:rPr>
        <w:noProof/>
        <w:lang w:val="en-US"/>
      </w:rPr>
      <w:drawing>
        <wp:anchor distT="0" distB="0" distL="114300" distR="114300" simplePos="0" relativeHeight="251672576" behindDoc="0" locked="0" layoutInCell="1" allowOverlap="1" wp14:anchorId="79014081" wp14:editId="57E16D9D">
          <wp:simplePos x="0" y="0"/>
          <wp:positionH relativeFrom="column">
            <wp:posOffset>-243840</wp:posOffset>
          </wp:positionH>
          <wp:positionV relativeFrom="paragraph">
            <wp:posOffset>-130175</wp:posOffset>
          </wp:positionV>
          <wp:extent cx="6086246" cy="77765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246" cy="7776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F0E9E"/>
    <w:multiLevelType w:val="hybridMultilevel"/>
    <w:tmpl w:val="474A699E"/>
    <w:lvl w:ilvl="0" w:tplc="4872C7B0">
      <w:numFmt w:val="bullet"/>
      <w:lvlText w:val=""/>
      <w:lvlJc w:val="left"/>
      <w:pPr>
        <w:ind w:left="720" w:hanging="360"/>
      </w:pPr>
      <w:rPr>
        <w:rFonts w:ascii="Symbol" w:eastAsia="Times New Roman"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424C51"/>
    <w:multiLevelType w:val="hybridMultilevel"/>
    <w:tmpl w:val="40C40946"/>
    <w:lvl w:ilvl="0" w:tplc="442A6C40">
      <w:start w:val="2"/>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7FB1759C"/>
    <w:multiLevelType w:val="hybridMultilevel"/>
    <w:tmpl w:val="20E0A562"/>
    <w:lvl w:ilvl="0" w:tplc="2A64B7FE">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47389722">
    <w:abstractNumId w:val="2"/>
  </w:num>
  <w:num w:numId="2" w16cid:durableId="633219152">
    <w:abstractNumId w:val="0"/>
  </w:num>
  <w:num w:numId="3" w16cid:durableId="149357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05900"/>
    <w:rsid w:val="000259EE"/>
    <w:rsid w:val="0002758C"/>
    <w:rsid w:val="000275CC"/>
    <w:rsid w:val="00063A97"/>
    <w:rsid w:val="00082E8F"/>
    <w:rsid w:val="000846C3"/>
    <w:rsid w:val="0008555A"/>
    <w:rsid w:val="00097AFA"/>
    <w:rsid w:val="000A40E5"/>
    <w:rsid w:val="000B0A29"/>
    <w:rsid w:val="000B3A19"/>
    <w:rsid w:val="000C0D9D"/>
    <w:rsid w:val="000C2B1C"/>
    <w:rsid w:val="000C3B92"/>
    <w:rsid w:val="000C4D0B"/>
    <w:rsid w:val="000C595E"/>
    <w:rsid w:val="000C7D26"/>
    <w:rsid w:val="000E0E0F"/>
    <w:rsid w:val="0012016D"/>
    <w:rsid w:val="001306B0"/>
    <w:rsid w:val="00143B07"/>
    <w:rsid w:val="001839F7"/>
    <w:rsid w:val="00186662"/>
    <w:rsid w:val="001B5C09"/>
    <w:rsid w:val="001C0FA0"/>
    <w:rsid w:val="001C243D"/>
    <w:rsid w:val="001D42DD"/>
    <w:rsid w:val="001E0FD4"/>
    <w:rsid w:val="001E56EF"/>
    <w:rsid w:val="00204046"/>
    <w:rsid w:val="0021271B"/>
    <w:rsid w:val="00214F62"/>
    <w:rsid w:val="00215ADA"/>
    <w:rsid w:val="002274BC"/>
    <w:rsid w:val="00256272"/>
    <w:rsid w:val="0026049D"/>
    <w:rsid w:val="00290137"/>
    <w:rsid w:val="002938DE"/>
    <w:rsid w:val="00295EF3"/>
    <w:rsid w:val="002A6921"/>
    <w:rsid w:val="002B145D"/>
    <w:rsid w:val="002C0E3C"/>
    <w:rsid w:val="002E1E94"/>
    <w:rsid w:val="002E5FFE"/>
    <w:rsid w:val="002E786E"/>
    <w:rsid w:val="002F6ACC"/>
    <w:rsid w:val="00303841"/>
    <w:rsid w:val="003127E9"/>
    <w:rsid w:val="00312D5F"/>
    <w:rsid w:val="00325E18"/>
    <w:rsid w:val="00335FCE"/>
    <w:rsid w:val="003513B2"/>
    <w:rsid w:val="0035708C"/>
    <w:rsid w:val="003571F9"/>
    <w:rsid w:val="00360FA1"/>
    <w:rsid w:val="00361B6D"/>
    <w:rsid w:val="003A68ED"/>
    <w:rsid w:val="003D5CE1"/>
    <w:rsid w:val="003E1E8E"/>
    <w:rsid w:val="003E61A4"/>
    <w:rsid w:val="003F3EF3"/>
    <w:rsid w:val="003F56A2"/>
    <w:rsid w:val="00417FF5"/>
    <w:rsid w:val="00421DBE"/>
    <w:rsid w:val="00440543"/>
    <w:rsid w:val="004517F1"/>
    <w:rsid w:val="00451BE8"/>
    <w:rsid w:val="004776D5"/>
    <w:rsid w:val="00491FBB"/>
    <w:rsid w:val="004A1B6F"/>
    <w:rsid w:val="004A67D6"/>
    <w:rsid w:val="004B2F04"/>
    <w:rsid w:val="004B39F3"/>
    <w:rsid w:val="004B5479"/>
    <w:rsid w:val="004B62E6"/>
    <w:rsid w:val="004B727E"/>
    <w:rsid w:val="004D1C5D"/>
    <w:rsid w:val="004D5977"/>
    <w:rsid w:val="005037F6"/>
    <w:rsid w:val="00533B3A"/>
    <w:rsid w:val="00537E42"/>
    <w:rsid w:val="00541C68"/>
    <w:rsid w:val="00543C1B"/>
    <w:rsid w:val="0054464D"/>
    <w:rsid w:val="00546B12"/>
    <w:rsid w:val="00551E55"/>
    <w:rsid w:val="0057147B"/>
    <w:rsid w:val="00574562"/>
    <w:rsid w:val="005812AF"/>
    <w:rsid w:val="00585C0C"/>
    <w:rsid w:val="005A3F8D"/>
    <w:rsid w:val="005B1193"/>
    <w:rsid w:val="005C1AF5"/>
    <w:rsid w:val="005C5B3C"/>
    <w:rsid w:val="006034CA"/>
    <w:rsid w:val="00604004"/>
    <w:rsid w:val="0060653C"/>
    <w:rsid w:val="006156A6"/>
    <w:rsid w:val="00630DC9"/>
    <w:rsid w:val="00637D51"/>
    <w:rsid w:val="006453CC"/>
    <w:rsid w:val="006521C3"/>
    <w:rsid w:val="00652FA4"/>
    <w:rsid w:val="00666B12"/>
    <w:rsid w:val="00670565"/>
    <w:rsid w:val="0067132E"/>
    <w:rsid w:val="00674AF2"/>
    <w:rsid w:val="006A3066"/>
    <w:rsid w:val="006A3FFE"/>
    <w:rsid w:val="006B5445"/>
    <w:rsid w:val="006C0B7E"/>
    <w:rsid w:val="006C7B98"/>
    <w:rsid w:val="006D55F3"/>
    <w:rsid w:val="006E6463"/>
    <w:rsid w:val="006E7093"/>
    <w:rsid w:val="0070745C"/>
    <w:rsid w:val="00715DB0"/>
    <w:rsid w:val="0072312E"/>
    <w:rsid w:val="007319A9"/>
    <w:rsid w:val="00762333"/>
    <w:rsid w:val="0076252D"/>
    <w:rsid w:val="00775BC6"/>
    <w:rsid w:val="00776ABA"/>
    <w:rsid w:val="00783713"/>
    <w:rsid w:val="00783F32"/>
    <w:rsid w:val="00786867"/>
    <w:rsid w:val="007912B2"/>
    <w:rsid w:val="007A2804"/>
    <w:rsid w:val="007B2E88"/>
    <w:rsid w:val="007C076E"/>
    <w:rsid w:val="007C0D9A"/>
    <w:rsid w:val="007C7051"/>
    <w:rsid w:val="007D3B1A"/>
    <w:rsid w:val="007F6646"/>
    <w:rsid w:val="007F70B1"/>
    <w:rsid w:val="00804EC7"/>
    <w:rsid w:val="008252A8"/>
    <w:rsid w:val="00825508"/>
    <w:rsid w:val="00833C6C"/>
    <w:rsid w:val="00853943"/>
    <w:rsid w:val="00853CF2"/>
    <w:rsid w:val="0087087B"/>
    <w:rsid w:val="00895A62"/>
    <w:rsid w:val="008B3115"/>
    <w:rsid w:val="008B6B3C"/>
    <w:rsid w:val="008C11E3"/>
    <w:rsid w:val="008C3C13"/>
    <w:rsid w:val="008C5348"/>
    <w:rsid w:val="008E30D0"/>
    <w:rsid w:val="009109AB"/>
    <w:rsid w:val="009140A3"/>
    <w:rsid w:val="009148DF"/>
    <w:rsid w:val="00916DA8"/>
    <w:rsid w:val="009252CA"/>
    <w:rsid w:val="0094096D"/>
    <w:rsid w:val="00942CA7"/>
    <w:rsid w:val="0095193A"/>
    <w:rsid w:val="009520FC"/>
    <w:rsid w:val="009555B3"/>
    <w:rsid w:val="00966A81"/>
    <w:rsid w:val="0097167A"/>
    <w:rsid w:val="009736C5"/>
    <w:rsid w:val="00980ADC"/>
    <w:rsid w:val="009B625A"/>
    <w:rsid w:val="009C6417"/>
    <w:rsid w:val="009D461D"/>
    <w:rsid w:val="009D7AAA"/>
    <w:rsid w:val="009D7F84"/>
    <w:rsid w:val="00A15773"/>
    <w:rsid w:val="00A308DC"/>
    <w:rsid w:val="00A600DE"/>
    <w:rsid w:val="00A85982"/>
    <w:rsid w:val="00AD5233"/>
    <w:rsid w:val="00B008B7"/>
    <w:rsid w:val="00B12EA6"/>
    <w:rsid w:val="00B13E2D"/>
    <w:rsid w:val="00B1758F"/>
    <w:rsid w:val="00B3217D"/>
    <w:rsid w:val="00B375D6"/>
    <w:rsid w:val="00B424C2"/>
    <w:rsid w:val="00B54AB4"/>
    <w:rsid w:val="00B55AEE"/>
    <w:rsid w:val="00B56011"/>
    <w:rsid w:val="00B563BF"/>
    <w:rsid w:val="00B949AE"/>
    <w:rsid w:val="00BB46DA"/>
    <w:rsid w:val="00BC0C57"/>
    <w:rsid w:val="00BC1405"/>
    <w:rsid w:val="00BC3878"/>
    <w:rsid w:val="00BC3A99"/>
    <w:rsid w:val="00BD3BAC"/>
    <w:rsid w:val="00BD4592"/>
    <w:rsid w:val="00BE3BE2"/>
    <w:rsid w:val="00BE726E"/>
    <w:rsid w:val="00BE7A43"/>
    <w:rsid w:val="00C04C75"/>
    <w:rsid w:val="00C20894"/>
    <w:rsid w:val="00C311BD"/>
    <w:rsid w:val="00C35871"/>
    <w:rsid w:val="00C427D1"/>
    <w:rsid w:val="00C82ADA"/>
    <w:rsid w:val="00C94B63"/>
    <w:rsid w:val="00CB7D51"/>
    <w:rsid w:val="00CC0C44"/>
    <w:rsid w:val="00CC24DE"/>
    <w:rsid w:val="00CE0489"/>
    <w:rsid w:val="00CF734E"/>
    <w:rsid w:val="00D0102F"/>
    <w:rsid w:val="00D05406"/>
    <w:rsid w:val="00D20012"/>
    <w:rsid w:val="00D226F5"/>
    <w:rsid w:val="00D3254A"/>
    <w:rsid w:val="00D554E7"/>
    <w:rsid w:val="00D714C8"/>
    <w:rsid w:val="00D725F2"/>
    <w:rsid w:val="00D741F5"/>
    <w:rsid w:val="00D836CF"/>
    <w:rsid w:val="00D83BDB"/>
    <w:rsid w:val="00DA12C0"/>
    <w:rsid w:val="00DA1FB2"/>
    <w:rsid w:val="00DA6FBB"/>
    <w:rsid w:val="00DC68A7"/>
    <w:rsid w:val="00DD2B1D"/>
    <w:rsid w:val="00DD3A96"/>
    <w:rsid w:val="00DE68ED"/>
    <w:rsid w:val="00DF3042"/>
    <w:rsid w:val="00DF409A"/>
    <w:rsid w:val="00E03C6A"/>
    <w:rsid w:val="00E26053"/>
    <w:rsid w:val="00E30C39"/>
    <w:rsid w:val="00E4307F"/>
    <w:rsid w:val="00E72D3C"/>
    <w:rsid w:val="00E730C3"/>
    <w:rsid w:val="00E8666E"/>
    <w:rsid w:val="00E8774A"/>
    <w:rsid w:val="00E92C4B"/>
    <w:rsid w:val="00EA7B3B"/>
    <w:rsid w:val="00EB349E"/>
    <w:rsid w:val="00EC396A"/>
    <w:rsid w:val="00EC5E9F"/>
    <w:rsid w:val="00ED68F9"/>
    <w:rsid w:val="00EE3F4B"/>
    <w:rsid w:val="00F1014C"/>
    <w:rsid w:val="00F173EB"/>
    <w:rsid w:val="00F2145D"/>
    <w:rsid w:val="00F21AAA"/>
    <w:rsid w:val="00F26E85"/>
    <w:rsid w:val="00F32A54"/>
    <w:rsid w:val="00F34D68"/>
    <w:rsid w:val="00F35643"/>
    <w:rsid w:val="00F36AD5"/>
    <w:rsid w:val="00F53CA9"/>
    <w:rsid w:val="00F8469E"/>
    <w:rsid w:val="00F91CB7"/>
    <w:rsid w:val="00F96A1F"/>
    <w:rsid w:val="00FA0D66"/>
    <w:rsid w:val="00FD40D2"/>
    <w:rsid w:val="00FD4A42"/>
    <w:rsid w:val="00FF2A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86A8E"/>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980ADC"/>
    <w:pPr>
      <w:spacing w:after="160" w:line="259" w:lineRule="auto"/>
      <w:ind w:left="720"/>
      <w:contextualSpacing/>
    </w:pPr>
    <w:rPr>
      <w:rFonts w:eastAsiaTheme="minorEastAsia" w:cs="Times New Roman"/>
      <w:sz w:val="22"/>
      <w:szCs w:val="22"/>
      <w:lang w:eastAsia="es-MX"/>
    </w:rPr>
  </w:style>
  <w:style w:type="paragraph" w:styleId="Sinespaciado">
    <w:name w:val="No Spacing"/>
    <w:uiPriority w:val="1"/>
    <w:qFormat/>
    <w:rsid w:val="00980ADC"/>
    <w:rPr>
      <w:sz w:val="22"/>
      <w:szCs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980ADC"/>
    <w:rPr>
      <w:rFonts w:eastAsiaTheme="minorEastAsia"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9425">
      <w:bodyDiv w:val="1"/>
      <w:marLeft w:val="0"/>
      <w:marRight w:val="0"/>
      <w:marTop w:val="0"/>
      <w:marBottom w:val="0"/>
      <w:divBdr>
        <w:top w:val="none" w:sz="0" w:space="0" w:color="auto"/>
        <w:left w:val="none" w:sz="0" w:space="0" w:color="auto"/>
        <w:bottom w:val="none" w:sz="0" w:space="0" w:color="auto"/>
        <w:right w:val="none" w:sz="0" w:space="0" w:color="auto"/>
      </w:divBdr>
    </w:div>
    <w:div w:id="96297555">
      <w:bodyDiv w:val="1"/>
      <w:marLeft w:val="0"/>
      <w:marRight w:val="0"/>
      <w:marTop w:val="0"/>
      <w:marBottom w:val="0"/>
      <w:divBdr>
        <w:top w:val="none" w:sz="0" w:space="0" w:color="auto"/>
        <w:left w:val="none" w:sz="0" w:space="0" w:color="auto"/>
        <w:bottom w:val="none" w:sz="0" w:space="0" w:color="auto"/>
        <w:right w:val="none" w:sz="0" w:space="0" w:color="auto"/>
      </w:divBdr>
    </w:div>
    <w:div w:id="133063511">
      <w:bodyDiv w:val="1"/>
      <w:marLeft w:val="0"/>
      <w:marRight w:val="0"/>
      <w:marTop w:val="0"/>
      <w:marBottom w:val="0"/>
      <w:divBdr>
        <w:top w:val="none" w:sz="0" w:space="0" w:color="auto"/>
        <w:left w:val="none" w:sz="0" w:space="0" w:color="auto"/>
        <w:bottom w:val="none" w:sz="0" w:space="0" w:color="auto"/>
        <w:right w:val="none" w:sz="0" w:space="0" w:color="auto"/>
      </w:divBdr>
    </w:div>
    <w:div w:id="156072508">
      <w:bodyDiv w:val="1"/>
      <w:marLeft w:val="0"/>
      <w:marRight w:val="0"/>
      <w:marTop w:val="0"/>
      <w:marBottom w:val="0"/>
      <w:divBdr>
        <w:top w:val="none" w:sz="0" w:space="0" w:color="auto"/>
        <w:left w:val="none" w:sz="0" w:space="0" w:color="auto"/>
        <w:bottom w:val="none" w:sz="0" w:space="0" w:color="auto"/>
        <w:right w:val="none" w:sz="0" w:space="0" w:color="auto"/>
      </w:divBdr>
    </w:div>
    <w:div w:id="164322305">
      <w:bodyDiv w:val="1"/>
      <w:marLeft w:val="0"/>
      <w:marRight w:val="0"/>
      <w:marTop w:val="0"/>
      <w:marBottom w:val="0"/>
      <w:divBdr>
        <w:top w:val="none" w:sz="0" w:space="0" w:color="auto"/>
        <w:left w:val="none" w:sz="0" w:space="0" w:color="auto"/>
        <w:bottom w:val="none" w:sz="0" w:space="0" w:color="auto"/>
        <w:right w:val="none" w:sz="0" w:space="0" w:color="auto"/>
      </w:divBdr>
    </w:div>
    <w:div w:id="187985041">
      <w:bodyDiv w:val="1"/>
      <w:marLeft w:val="0"/>
      <w:marRight w:val="0"/>
      <w:marTop w:val="0"/>
      <w:marBottom w:val="0"/>
      <w:divBdr>
        <w:top w:val="none" w:sz="0" w:space="0" w:color="auto"/>
        <w:left w:val="none" w:sz="0" w:space="0" w:color="auto"/>
        <w:bottom w:val="none" w:sz="0" w:space="0" w:color="auto"/>
        <w:right w:val="none" w:sz="0" w:space="0" w:color="auto"/>
      </w:divBdr>
    </w:div>
    <w:div w:id="284778983">
      <w:bodyDiv w:val="1"/>
      <w:marLeft w:val="0"/>
      <w:marRight w:val="0"/>
      <w:marTop w:val="0"/>
      <w:marBottom w:val="0"/>
      <w:divBdr>
        <w:top w:val="none" w:sz="0" w:space="0" w:color="auto"/>
        <w:left w:val="none" w:sz="0" w:space="0" w:color="auto"/>
        <w:bottom w:val="none" w:sz="0" w:space="0" w:color="auto"/>
        <w:right w:val="none" w:sz="0" w:space="0" w:color="auto"/>
      </w:divBdr>
    </w:div>
    <w:div w:id="292710507">
      <w:bodyDiv w:val="1"/>
      <w:marLeft w:val="0"/>
      <w:marRight w:val="0"/>
      <w:marTop w:val="0"/>
      <w:marBottom w:val="0"/>
      <w:divBdr>
        <w:top w:val="none" w:sz="0" w:space="0" w:color="auto"/>
        <w:left w:val="none" w:sz="0" w:space="0" w:color="auto"/>
        <w:bottom w:val="none" w:sz="0" w:space="0" w:color="auto"/>
        <w:right w:val="none" w:sz="0" w:space="0" w:color="auto"/>
      </w:divBdr>
    </w:div>
    <w:div w:id="356733223">
      <w:bodyDiv w:val="1"/>
      <w:marLeft w:val="0"/>
      <w:marRight w:val="0"/>
      <w:marTop w:val="0"/>
      <w:marBottom w:val="0"/>
      <w:divBdr>
        <w:top w:val="none" w:sz="0" w:space="0" w:color="auto"/>
        <w:left w:val="none" w:sz="0" w:space="0" w:color="auto"/>
        <w:bottom w:val="none" w:sz="0" w:space="0" w:color="auto"/>
        <w:right w:val="none" w:sz="0" w:space="0" w:color="auto"/>
      </w:divBdr>
    </w:div>
    <w:div w:id="381635401">
      <w:bodyDiv w:val="1"/>
      <w:marLeft w:val="0"/>
      <w:marRight w:val="0"/>
      <w:marTop w:val="0"/>
      <w:marBottom w:val="0"/>
      <w:divBdr>
        <w:top w:val="none" w:sz="0" w:space="0" w:color="auto"/>
        <w:left w:val="none" w:sz="0" w:space="0" w:color="auto"/>
        <w:bottom w:val="none" w:sz="0" w:space="0" w:color="auto"/>
        <w:right w:val="none" w:sz="0" w:space="0" w:color="auto"/>
      </w:divBdr>
    </w:div>
    <w:div w:id="417604101">
      <w:bodyDiv w:val="1"/>
      <w:marLeft w:val="0"/>
      <w:marRight w:val="0"/>
      <w:marTop w:val="0"/>
      <w:marBottom w:val="0"/>
      <w:divBdr>
        <w:top w:val="none" w:sz="0" w:space="0" w:color="auto"/>
        <w:left w:val="none" w:sz="0" w:space="0" w:color="auto"/>
        <w:bottom w:val="none" w:sz="0" w:space="0" w:color="auto"/>
        <w:right w:val="none" w:sz="0" w:space="0" w:color="auto"/>
      </w:divBdr>
    </w:div>
    <w:div w:id="516772887">
      <w:bodyDiv w:val="1"/>
      <w:marLeft w:val="0"/>
      <w:marRight w:val="0"/>
      <w:marTop w:val="0"/>
      <w:marBottom w:val="0"/>
      <w:divBdr>
        <w:top w:val="none" w:sz="0" w:space="0" w:color="auto"/>
        <w:left w:val="none" w:sz="0" w:space="0" w:color="auto"/>
        <w:bottom w:val="none" w:sz="0" w:space="0" w:color="auto"/>
        <w:right w:val="none" w:sz="0" w:space="0" w:color="auto"/>
      </w:divBdr>
    </w:div>
    <w:div w:id="518158799">
      <w:bodyDiv w:val="1"/>
      <w:marLeft w:val="0"/>
      <w:marRight w:val="0"/>
      <w:marTop w:val="0"/>
      <w:marBottom w:val="0"/>
      <w:divBdr>
        <w:top w:val="none" w:sz="0" w:space="0" w:color="auto"/>
        <w:left w:val="none" w:sz="0" w:space="0" w:color="auto"/>
        <w:bottom w:val="none" w:sz="0" w:space="0" w:color="auto"/>
        <w:right w:val="none" w:sz="0" w:space="0" w:color="auto"/>
      </w:divBdr>
    </w:div>
    <w:div w:id="583950112">
      <w:bodyDiv w:val="1"/>
      <w:marLeft w:val="0"/>
      <w:marRight w:val="0"/>
      <w:marTop w:val="0"/>
      <w:marBottom w:val="0"/>
      <w:divBdr>
        <w:top w:val="none" w:sz="0" w:space="0" w:color="auto"/>
        <w:left w:val="none" w:sz="0" w:space="0" w:color="auto"/>
        <w:bottom w:val="none" w:sz="0" w:space="0" w:color="auto"/>
        <w:right w:val="none" w:sz="0" w:space="0" w:color="auto"/>
      </w:divBdr>
    </w:div>
    <w:div w:id="589897664">
      <w:bodyDiv w:val="1"/>
      <w:marLeft w:val="0"/>
      <w:marRight w:val="0"/>
      <w:marTop w:val="0"/>
      <w:marBottom w:val="0"/>
      <w:divBdr>
        <w:top w:val="none" w:sz="0" w:space="0" w:color="auto"/>
        <w:left w:val="none" w:sz="0" w:space="0" w:color="auto"/>
        <w:bottom w:val="none" w:sz="0" w:space="0" w:color="auto"/>
        <w:right w:val="none" w:sz="0" w:space="0" w:color="auto"/>
      </w:divBdr>
    </w:div>
    <w:div w:id="590310012">
      <w:bodyDiv w:val="1"/>
      <w:marLeft w:val="0"/>
      <w:marRight w:val="0"/>
      <w:marTop w:val="0"/>
      <w:marBottom w:val="0"/>
      <w:divBdr>
        <w:top w:val="none" w:sz="0" w:space="0" w:color="auto"/>
        <w:left w:val="none" w:sz="0" w:space="0" w:color="auto"/>
        <w:bottom w:val="none" w:sz="0" w:space="0" w:color="auto"/>
        <w:right w:val="none" w:sz="0" w:space="0" w:color="auto"/>
      </w:divBdr>
    </w:div>
    <w:div w:id="614217353">
      <w:bodyDiv w:val="1"/>
      <w:marLeft w:val="0"/>
      <w:marRight w:val="0"/>
      <w:marTop w:val="0"/>
      <w:marBottom w:val="0"/>
      <w:divBdr>
        <w:top w:val="none" w:sz="0" w:space="0" w:color="auto"/>
        <w:left w:val="none" w:sz="0" w:space="0" w:color="auto"/>
        <w:bottom w:val="none" w:sz="0" w:space="0" w:color="auto"/>
        <w:right w:val="none" w:sz="0" w:space="0" w:color="auto"/>
      </w:divBdr>
    </w:div>
    <w:div w:id="626080577">
      <w:bodyDiv w:val="1"/>
      <w:marLeft w:val="0"/>
      <w:marRight w:val="0"/>
      <w:marTop w:val="0"/>
      <w:marBottom w:val="0"/>
      <w:divBdr>
        <w:top w:val="none" w:sz="0" w:space="0" w:color="auto"/>
        <w:left w:val="none" w:sz="0" w:space="0" w:color="auto"/>
        <w:bottom w:val="none" w:sz="0" w:space="0" w:color="auto"/>
        <w:right w:val="none" w:sz="0" w:space="0" w:color="auto"/>
      </w:divBdr>
    </w:div>
    <w:div w:id="628173987">
      <w:bodyDiv w:val="1"/>
      <w:marLeft w:val="0"/>
      <w:marRight w:val="0"/>
      <w:marTop w:val="0"/>
      <w:marBottom w:val="0"/>
      <w:divBdr>
        <w:top w:val="none" w:sz="0" w:space="0" w:color="auto"/>
        <w:left w:val="none" w:sz="0" w:space="0" w:color="auto"/>
        <w:bottom w:val="none" w:sz="0" w:space="0" w:color="auto"/>
        <w:right w:val="none" w:sz="0" w:space="0" w:color="auto"/>
      </w:divBdr>
    </w:div>
    <w:div w:id="649552289">
      <w:bodyDiv w:val="1"/>
      <w:marLeft w:val="0"/>
      <w:marRight w:val="0"/>
      <w:marTop w:val="0"/>
      <w:marBottom w:val="0"/>
      <w:divBdr>
        <w:top w:val="none" w:sz="0" w:space="0" w:color="auto"/>
        <w:left w:val="none" w:sz="0" w:space="0" w:color="auto"/>
        <w:bottom w:val="none" w:sz="0" w:space="0" w:color="auto"/>
        <w:right w:val="none" w:sz="0" w:space="0" w:color="auto"/>
      </w:divBdr>
    </w:div>
    <w:div w:id="651328158">
      <w:bodyDiv w:val="1"/>
      <w:marLeft w:val="0"/>
      <w:marRight w:val="0"/>
      <w:marTop w:val="0"/>
      <w:marBottom w:val="0"/>
      <w:divBdr>
        <w:top w:val="none" w:sz="0" w:space="0" w:color="auto"/>
        <w:left w:val="none" w:sz="0" w:space="0" w:color="auto"/>
        <w:bottom w:val="none" w:sz="0" w:space="0" w:color="auto"/>
        <w:right w:val="none" w:sz="0" w:space="0" w:color="auto"/>
      </w:divBdr>
    </w:div>
    <w:div w:id="877275556">
      <w:bodyDiv w:val="1"/>
      <w:marLeft w:val="0"/>
      <w:marRight w:val="0"/>
      <w:marTop w:val="0"/>
      <w:marBottom w:val="0"/>
      <w:divBdr>
        <w:top w:val="none" w:sz="0" w:space="0" w:color="auto"/>
        <w:left w:val="none" w:sz="0" w:space="0" w:color="auto"/>
        <w:bottom w:val="none" w:sz="0" w:space="0" w:color="auto"/>
        <w:right w:val="none" w:sz="0" w:space="0" w:color="auto"/>
      </w:divBdr>
    </w:div>
    <w:div w:id="909116461">
      <w:bodyDiv w:val="1"/>
      <w:marLeft w:val="0"/>
      <w:marRight w:val="0"/>
      <w:marTop w:val="0"/>
      <w:marBottom w:val="0"/>
      <w:divBdr>
        <w:top w:val="none" w:sz="0" w:space="0" w:color="auto"/>
        <w:left w:val="none" w:sz="0" w:space="0" w:color="auto"/>
        <w:bottom w:val="none" w:sz="0" w:space="0" w:color="auto"/>
        <w:right w:val="none" w:sz="0" w:space="0" w:color="auto"/>
      </w:divBdr>
    </w:div>
    <w:div w:id="1106732142">
      <w:bodyDiv w:val="1"/>
      <w:marLeft w:val="0"/>
      <w:marRight w:val="0"/>
      <w:marTop w:val="0"/>
      <w:marBottom w:val="0"/>
      <w:divBdr>
        <w:top w:val="none" w:sz="0" w:space="0" w:color="auto"/>
        <w:left w:val="none" w:sz="0" w:space="0" w:color="auto"/>
        <w:bottom w:val="none" w:sz="0" w:space="0" w:color="auto"/>
        <w:right w:val="none" w:sz="0" w:space="0" w:color="auto"/>
      </w:divBdr>
    </w:div>
    <w:div w:id="1123571164">
      <w:bodyDiv w:val="1"/>
      <w:marLeft w:val="0"/>
      <w:marRight w:val="0"/>
      <w:marTop w:val="0"/>
      <w:marBottom w:val="0"/>
      <w:divBdr>
        <w:top w:val="none" w:sz="0" w:space="0" w:color="auto"/>
        <w:left w:val="none" w:sz="0" w:space="0" w:color="auto"/>
        <w:bottom w:val="none" w:sz="0" w:space="0" w:color="auto"/>
        <w:right w:val="none" w:sz="0" w:space="0" w:color="auto"/>
      </w:divBdr>
    </w:div>
    <w:div w:id="1241984047">
      <w:bodyDiv w:val="1"/>
      <w:marLeft w:val="0"/>
      <w:marRight w:val="0"/>
      <w:marTop w:val="0"/>
      <w:marBottom w:val="0"/>
      <w:divBdr>
        <w:top w:val="none" w:sz="0" w:space="0" w:color="auto"/>
        <w:left w:val="none" w:sz="0" w:space="0" w:color="auto"/>
        <w:bottom w:val="none" w:sz="0" w:space="0" w:color="auto"/>
        <w:right w:val="none" w:sz="0" w:space="0" w:color="auto"/>
      </w:divBdr>
    </w:div>
    <w:div w:id="1253588278">
      <w:bodyDiv w:val="1"/>
      <w:marLeft w:val="0"/>
      <w:marRight w:val="0"/>
      <w:marTop w:val="0"/>
      <w:marBottom w:val="0"/>
      <w:divBdr>
        <w:top w:val="none" w:sz="0" w:space="0" w:color="auto"/>
        <w:left w:val="none" w:sz="0" w:space="0" w:color="auto"/>
        <w:bottom w:val="none" w:sz="0" w:space="0" w:color="auto"/>
        <w:right w:val="none" w:sz="0" w:space="0" w:color="auto"/>
      </w:divBdr>
    </w:div>
    <w:div w:id="1297031058">
      <w:bodyDiv w:val="1"/>
      <w:marLeft w:val="0"/>
      <w:marRight w:val="0"/>
      <w:marTop w:val="0"/>
      <w:marBottom w:val="0"/>
      <w:divBdr>
        <w:top w:val="none" w:sz="0" w:space="0" w:color="auto"/>
        <w:left w:val="none" w:sz="0" w:space="0" w:color="auto"/>
        <w:bottom w:val="none" w:sz="0" w:space="0" w:color="auto"/>
        <w:right w:val="none" w:sz="0" w:space="0" w:color="auto"/>
      </w:divBdr>
    </w:div>
    <w:div w:id="1407990939">
      <w:bodyDiv w:val="1"/>
      <w:marLeft w:val="0"/>
      <w:marRight w:val="0"/>
      <w:marTop w:val="0"/>
      <w:marBottom w:val="0"/>
      <w:divBdr>
        <w:top w:val="none" w:sz="0" w:space="0" w:color="auto"/>
        <w:left w:val="none" w:sz="0" w:space="0" w:color="auto"/>
        <w:bottom w:val="none" w:sz="0" w:space="0" w:color="auto"/>
        <w:right w:val="none" w:sz="0" w:space="0" w:color="auto"/>
      </w:divBdr>
    </w:div>
    <w:div w:id="1514227614">
      <w:bodyDiv w:val="1"/>
      <w:marLeft w:val="0"/>
      <w:marRight w:val="0"/>
      <w:marTop w:val="0"/>
      <w:marBottom w:val="0"/>
      <w:divBdr>
        <w:top w:val="none" w:sz="0" w:space="0" w:color="auto"/>
        <w:left w:val="none" w:sz="0" w:space="0" w:color="auto"/>
        <w:bottom w:val="none" w:sz="0" w:space="0" w:color="auto"/>
        <w:right w:val="none" w:sz="0" w:space="0" w:color="auto"/>
      </w:divBdr>
    </w:div>
    <w:div w:id="1572883349">
      <w:bodyDiv w:val="1"/>
      <w:marLeft w:val="0"/>
      <w:marRight w:val="0"/>
      <w:marTop w:val="0"/>
      <w:marBottom w:val="0"/>
      <w:divBdr>
        <w:top w:val="none" w:sz="0" w:space="0" w:color="auto"/>
        <w:left w:val="none" w:sz="0" w:space="0" w:color="auto"/>
        <w:bottom w:val="none" w:sz="0" w:space="0" w:color="auto"/>
        <w:right w:val="none" w:sz="0" w:space="0" w:color="auto"/>
      </w:divBdr>
    </w:div>
    <w:div w:id="1628388446">
      <w:bodyDiv w:val="1"/>
      <w:marLeft w:val="0"/>
      <w:marRight w:val="0"/>
      <w:marTop w:val="0"/>
      <w:marBottom w:val="0"/>
      <w:divBdr>
        <w:top w:val="none" w:sz="0" w:space="0" w:color="auto"/>
        <w:left w:val="none" w:sz="0" w:space="0" w:color="auto"/>
        <w:bottom w:val="none" w:sz="0" w:space="0" w:color="auto"/>
        <w:right w:val="none" w:sz="0" w:space="0" w:color="auto"/>
      </w:divBdr>
    </w:div>
    <w:div w:id="1629818826">
      <w:bodyDiv w:val="1"/>
      <w:marLeft w:val="0"/>
      <w:marRight w:val="0"/>
      <w:marTop w:val="0"/>
      <w:marBottom w:val="0"/>
      <w:divBdr>
        <w:top w:val="none" w:sz="0" w:space="0" w:color="auto"/>
        <w:left w:val="none" w:sz="0" w:space="0" w:color="auto"/>
        <w:bottom w:val="none" w:sz="0" w:space="0" w:color="auto"/>
        <w:right w:val="none" w:sz="0" w:space="0" w:color="auto"/>
      </w:divBdr>
    </w:div>
    <w:div w:id="1738700801">
      <w:bodyDiv w:val="1"/>
      <w:marLeft w:val="0"/>
      <w:marRight w:val="0"/>
      <w:marTop w:val="0"/>
      <w:marBottom w:val="0"/>
      <w:divBdr>
        <w:top w:val="none" w:sz="0" w:space="0" w:color="auto"/>
        <w:left w:val="none" w:sz="0" w:space="0" w:color="auto"/>
        <w:bottom w:val="none" w:sz="0" w:space="0" w:color="auto"/>
        <w:right w:val="none" w:sz="0" w:space="0" w:color="auto"/>
      </w:divBdr>
    </w:div>
    <w:div w:id="1776707291">
      <w:bodyDiv w:val="1"/>
      <w:marLeft w:val="0"/>
      <w:marRight w:val="0"/>
      <w:marTop w:val="0"/>
      <w:marBottom w:val="0"/>
      <w:divBdr>
        <w:top w:val="none" w:sz="0" w:space="0" w:color="auto"/>
        <w:left w:val="none" w:sz="0" w:space="0" w:color="auto"/>
        <w:bottom w:val="none" w:sz="0" w:space="0" w:color="auto"/>
        <w:right w:val="none" w:sz="0" w:space="0" w:color="auto"/>
      </w:divBdr>
    </w:div>
    <w:div w:id="1782992585">
      <w:bodyDiv w:val="1"/>
      <w:marLeft w:val="0"/>
      <w:marRight w:val="0"/>
      <w:marTop w:val="0"/>
      <w:marBottom w:val="0"/>
      <w:divBdr>
        <w:top w:val="none" w:sz="0" w:space="0" w:color="auto"/>
        <w:left w:val="none" w:sz="0" w:space="0" w:color="auto"/>
        <w:bottom w:val="none" w:sz="0" w:space="0" w:color="auto"/>
        <w:right w:val="none" w:sz="0" w:space="0" w:color="auto"/>
      </w:divBdr>
    </w:div>
    <w:div w:id="1895923399">
      <w:bodyDiv w:val="1"/>
      <w:marLeft w:val="0"/>
      <w:marRight w:val="0"/>
      <w:marTop w:val="0"/>
      <w:marBottom w:val="0"/>
      <w:divBdr>
        <w:top w:val="none" w:sz="0" w:space="0" w:color="auto"/>
        <w:left w:val="none" w:sz="0" w:space="0" w:color="auto"/>
        <w:bottom w:val="none" w:sz="0" w:space="0" w:color="auto"/>
        <w:right w:val="none" w:sz="0" w:space="0" w:color="auto"/>
      </w:divBdr>
    </w:div>
    <w:div w:id="1903326218">
      <w:bodyDiv w:val="1"/>
      <w:marLeft w:val="0"/>
      <w:marRight w:val="0"/>
      <w:marTop w:val="0"/>
      <w:marBottom w:val="0"/>
      <w:divBdr>
        <w:top w:val="none" w:sz="0" w:space="0" w:color="auto"/>
        <w:left w:val="none" w:sz="0" w:space="0" w:color="auto"/>
        <w:bottom w:val="none" w:sz="0" w:space="0" w:color="auto"/>
        <w:right w:val="none" w:sz="0" w:space="0" w:color="auto"/>
      </w:divBdr>
    </w:div>
    <w:div w:id="1977880108">
      <w:bodyDiv w:val="1"/>
      <w:marLeft w:val="0"/>
      <w:marRight w:val="0"/>
      <w:marTop w:val="0"/>
      <w:marBottom w:val="0"/>
      <w:divBdr>
        <w:top w:val="none" w:sz="0" w:space="0" w:color="auto"/>
        <w:left w:val="none" w:sz="0" w:space="0" w:color="auto"/>
        <w:bottom w:val="none" w:sz="0" w:space="0" w:color="auto"/>
        <w:right w:val="none" w:sz="0" w:space="0" w:color="auto"/>
      </w:divBdr>
    </w:div>
    <w:div w:id="208694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D141-6CC2-4DAB-9351-FD19C3F4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1085</Words>
  <Characters>5970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21</cp:revision>
  <cp:lastPrinted>2025-07-16T15:04:00Z</cp:lastPrinted>
  <dcterms:created xsi:type="dcterms:W3CDTF">2025-06-10T21:47:00Z</dcterms:created>
  <dcterms:modified xsi:type="dcterms:W3CDTF">2025-08-07T19:10:00Z</dcterms:modified>
</cp:coreProperties>
</file>