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BF1C0" w14:textId="524EF2C5" w:rsidR="003B3B07" w:rsidRPr="000C48A4" w:rsidRDefault="000C48A4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bookmarkStart w:id="0" w:name="_GoBack"/>
      <w:bookmarkEnd w:id="0"/>
      <w:r w:rsidRPr="000C48A4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ACUERDO POR EL QUE SE AMPLÍA LA VIGENCIA DEL EJERCICIO </w:t>
      </w:r>
      <w:r w:rsidR="00CE223E">
        <w:rPr>
          <w:rFonts w:asciiTheme="majorHAnsi" w:hAnsiTheme="majorHAnsi" w:cstheme="majorHAnsi"/>
          <w:b/>
          <w:bCs/>
          <w:sz w:val="24"/>
          <w:szCs w:val="24"/>
          <w:lang w:val="es-ES"/>
        </w:rPr>
        <w:t>ESTATAL</w:t>
      </w:r>
      <w:r w:rsidRPr="000C48A4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 DE GOBIERNO ABIERTO</w:t>
      </w:r>
    </w:p>
    <w:p w14:paraId="5D0A30AC" w14:textId="77777777" w:rsidR="00E4037B" w:rsidRDefault="00E4037B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1A012F90" w14:textId="5F86965B" w:rsidR="00901FE0" w:rsidRPr="000C48A4" w:rsidRDefault="00901FE0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0C48A4">
        <w:rPr>
          <w:rFonts w:asciiTheme="majorHAnsi" w:hAnsiTheme="majorHAnsi" w:cstheme="majorHAnsi"/>
          <w:sz w:val="24"/>
          <w:szCs w:val="24"/>
          <w:lang w:val="es-ES"/>
        </w:rPr>
        <w:t xml:space="preserve">De conformidad con lo establecido </w:t>
      </w:r>
      <w:r w:rsidR="00563E78" w:rsidRPr="000C48A4">
        <w:rPr>
          <w:rFonts w:asciiTheme="majorHAnsi" w:hAnsiTheme="majorHAnsi" w:cstheme="majorHAnsi"/>
          <w:sz w:val="24"/>
          <w:szCs w:val="24"/>
          <w:lang w:val="es-ES"/>
        </w:rPr>
        <w:t xml:space="preserve">en el artículo 9 de los Lineamientos generales de trabajo de los Secretariados Técnicos Estatal y </w:t>
      </w:r>
      <w:r w:rsidR="00CE223E">
        <w:rPr>
          <w:rFonts w:asciiTheme="majorHAnsi" w:hAnsiTheme="majorHAnsi" w:cstheme="majorHAnsi"/>
          <w:sz w:val="24"/>
          <w:szCs w:val="24"/>
          <w:lang w:val="es-ES"/>
        </w:rPr>
        <w:t>Municipal</w:t>
      </w:r>
      <w:r w:rsidR="00563E78" w:rsidRPr="000C48A4">
        <w:rPr>
          <w:rFonts w:asciiTheme="majorHAnsi" w:hAnsiTheme="majorHAnsi" w:cstheme="majorHAnsi"/>
          <w:sz w:val="24"/>
          <w:szCs w:val="24"/>
          <w:lang w:val="es-ES"/>
        </w:rPr>
        <w:t xml:space="preserve"> de Gobierno Abierto, aprobados en fecha 20 de mayo de 2021, se emite el siguiente acuerdo</w:t>
      </w:r>
      <w:r w:rsidR="00CE4CEC" w:rsidRPr="000C48A4">
        <w:rPr>
          <w:rFonts w:asciiTheme="majorHAnsi" w:hAnsiTheme="majorHAnsi" w:cstheme="majorHAnsi"/>
          <w:sz w:val="24"/>
          <w:szCs w:val="24"/>
          <w:lang w:val="es-ES"/>
        </w:rPr>
        <w:t xml:space="preserve"> de conformidad con los siguientes:</w:t>
      </w:r>
    </w:p>
    <w:p w14:paraId="18BDF5E4" w14:textId="77777777" w:rsidR="00E4037B" w:rsidRDefault="00E4037B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6F3AD997" w14:textId="4A8EFD93" w:rsidR="00CE4CEC" w:rsidRDefault="00266283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0C48A4">
        <w:rPr>
          <w:rFonts w:asciiTheme="majorHAnsi" w:hAnsiTheme="majorHAnsi" w:cstheme="majorHAnsi"/>
          <w:b/>
          <w:bCs/>
          <w:sz w:val="24"/>
          <w:szCs w:val="24"/>
          <w:lang w:val="es-ES"/>
        </w:rPr>
        <w:t>ANTECEDENTES</w:t>
      </w:r>
    </w:p>
    <w:p w14:paraId="6AA2D0C2" w14:textId="77777777" w:rsidR="00E4037B" w:rsidRPr="000C48A4" w:rsidRDefault="00E4037B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462453A7" w14:textId="77777777" w:rsidR="00266283" w:rsidRPr="000C48A4" w:rsidRDefault="00266283" w:rsidP="00E4037B">
      <w:pPr>
        <w:pStyle w:val="Prrafode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0C48A4">
        <w:rPr>
          <w:rFonts w:asciiTheme="majorHAnsi" w:hAnsiTheme="majorHAnsi" w:cstheme="majorHAnsi"/>
          <w:sz w:val="24"/>
          <w:szCs w:val="24"/>
        </w:rPr>
        <w:t xml:space="preserve">El modelo de gobierno abierto es </w:t>
      </w:r>
      <w:r w:rsidRPr="000C48A4">
        <w:rPr>
          <w:rFonts w:asciiTheme="majorHAnsi" w:hAnsiTheme="majorHAnsi" w:cstheme="majorHAnsi"/>
          <w:iCs/>
          <w:sz w:val="24"/>
          <w:szCs w:val="24"/>
        </w:rPr>
        <w:t xml:space="preserve">un esquema de gestión y de producción de políticas públicas orientado a la atención y la solución colaborativa de los problemas públicos con base en colegiados plurales y en cuyo trabajo, convergen la </w:t>
      </w:r>
      <w:r w:rsidRPr="000C48A4">
        <w:rPr>
          <w:rFonts w:asciiTheme="majorHAnsi" w:hAnsiTheme="majorHAnsi" w:cstheme="majorHAnsi"/>
          <w:bCs/>
          <w:iCs/>
          <w:sz w:val="24"/>
          <w:szCs w:val="24"/>
        </w:rPr>
        <w:t xml:space="preserve">transparencia </w:t>
      </w:r>
      <w:r w:rsidRPr="000C48A4">
        <w:rPr>
          <w:rFonts w:asciiTheme="majorHAnsi" w:hAnsiTheme="majorHAnsi" w:cstheme="majorHAnsi"/>
          <w:iCs/>
          <w:sz w:val="24"/>
          <w:szCs w:val="24"/>
        </w:rPr>
        <w:t xml:space="preserve">y la </w:t>
      </w:r>
      <w:r w:rsidRPr="000C48A4">
        <w:rPr>
          <w:rFonts w:asciiTheme="majorHAnsi" w:hAnsiTheme="majorHAnsi" w:cstheme="majorHAnsi"/>
          <w:bCs/>
          <w:iCs/>
          <w:sz w:val="24"/>
          <w:szCs w:val="24"/>
        </w:rPr>
        <w:t xml:space="preserve">participación ciudadana </w:t>
      </w:r>
      <w:r w:rsidRPr="000C48A4">
        <w:rPr>
          <w:rFonts w:asciiTheme="majorHAnsi" w:hAnsiTheme="majorHAnsi" w:cstheme="majorHAnsi"/>
          <w:iCs/>
          <w:sz w:val="24"/>
          <w:szCs w:val="24"/>
        </w:rPr>
        <w:t xml:space="preserve">como criterios básicos, buscando propiciar un ambiente de </w:t>
      </w:r>
      <w:r w:rsidRPr="000C48A4">
        <w:rPr>
          <w:rFonts w:asciiTheme="majorHAnsi" w:hAnsiTheme="majorHAnsi" w:cstheme="majorHAnsi"/>
          <w:bCs/>
          <w:iCs/>
          <w:sz w:val="24"/>
          <w:szCs w:val="24"/>
        </w:rPr>
        <w:t xml:space="preserve">rendición de cuentas </w:t>
      </w:r>
      <w:r w:rsidRPr="000C48A4">
        <w:rPr>
          <w:rFonts w:asciiTheme="majorHAnsi" w:hAnsiTheme="majorHAnsi" w:cstheme="majorHAnsi"/>
          <w:iCs/>
          <w:sz w:val="24"/>
          <w:szCs w:val="24"/>
        </w:rPr>
        <w:t xml:space="preserve">e </w:t>
      </w:r>
      <w:r w:rsidRPr="000C48A4">
        <w:rPr>
          <w:rFonts w:asciiTheme="majorHAnsi" w:hAnsiTheme="majorHAnsi" w:cstheme="majorHAnsi"/>
          <w:bCs/>
          <w:iCs/>
          <w:sz w:val="24"/>
          <w:szCs w:val="24"/>
        </w:rPr>
        <w:t>innovación social</w:t>
      </w:r>
      <w:r w:rsidRPr="000C48A4">
        <w:rPr>
          <w:rFonts w:asciiTheme="majorHAnsi" w:hAnsiTheme="majorHAnsi" w:cstheme="majorHAnsi"/>
          <w:bCs/>
          <w:sz w:val="24"/>
          <w:szCs w:val="24"/>
        </w:rPr>
        <w:t>. (CONAIP/SNT/ACUERDO/EXT18/03/2016-05).</w:t>
      </w:r>
      <w:r w:rsidRPr="000C48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A9FE83" w14:textId="3D04625A" w:rsidR="00266283" w:rsidRPr="000C48A4" w:rsidRDefault="00266283" w:rsidP="00E4037B">
      <w:pPr>
        <w:pStyle w:val="Prrafode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0C48A4">
        <w:rPr>
          <w:rFonts w:asciiTheme="majorHAnsi" w:hAnsiTheme="majorHAnsi" w:cstheme="majorHAnsi"/>
          <w:sz w:val="24"/>
          <w:szCs w:val="24"/>
        </w:rPr>
        <w:t xml:space="preserve">En fecha 23 de abril de 2021, quedó formalmente instalado el Secretariado Técnico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Pr="000C48A4">
        <w:rPr>
          <w:rFonts w:asciiTheme="majorHAnsi" w:hAnsiTheme="majorHAnsi" w:cstheme="majorHAnsi"/>
          <w:sz w:val="24"/>
          <w:szCs w:val="24"/>
        </w:rPr>
        <w:t xml:space="preserve"> de Gobierno Abierto, con una vigencia determinada, que inició desde la instalación, el propio 23 de abril y</w:t>
      </w:r>
      <w:r w:rsidR="009F176A">
        <w:rPr>
          <w:rFonts w:asciiTheme="majorHAnsi" w:hAnsiTheme="majorHAnsi" w:cstheme="majorHAnsi"/>
          <w:sz w:val="24"/>
          <w:szCs w:val="24"/>
        </w:rPr>
        <w:t xml:space="preserve"> que</w:t>
      </w:r>
      <w:r w:rsidRPr="000C48A4">
        <w:rPr>
          <w:rFonts w:asciiTheme="majorHAnsi" w:hAnsiTheme="majorHAnsi" w:cstheme="majorHAnsi"/>
          <w:sz w:val="24"/>
          <w:szCs w:val="24"/>
        </w:rPr>
        <w:t xml:space="preserve"> finaliz</w:t>
      </w:r>
      <w:r w:rsidR="00CE223E">
        <w:rPr>
          <w:rFonts w:asciiTheme="majorHAnsi" w:hAnsiTheme="majorHAnsi" w:cstheme="majorHAnsi"/>
          <w:sz w:val="24"/>
          <w:szCs w:val="24"/>
        </w:rPr>
        <w:t>ará</w:t>
      </w:r>
      <w:r w:rsidRPr="000C48A4">
        <w:rPr>
          <w:rFonts w:asciiTheme="majorHAnsi" w:hAnsiTheme="majorHAnsi" w:cstheme="majorHAnsi"/>
          <w:sz w:val="24"/>
          <w:szCs w:val="24"/>
        </w:rPr>
        <w:t xml:space="preserve"> el </w:t>
      </w:r>
      <w:r w:rsidR="00CE223E">
        <w:rPr>
          <w:rFonts w:asciiTheme="majorHAnsi" w:hAnsiTheme="majorHAnsi" w:cstheme="majorHAnsi"/>
          <w:sz w:val="24"/>
          <w:szCs w:val="24"/>
        </w:rPr>
        <w:t>23 de abril de 2022</w:t>
      </w:r>
      <w:r w:rsidRPr="000C48A4">
        <w:rPr>
          <w:rFonts w:asciiTheme="majorHAnsi" w:hAnsiTheme="majorHAnsi" w:cstheme="majorHAnsi"/>
          <w:sz w:val="24"/>
          <w:szCs w:val="24"/>
        </w:rPr>
        <w:t>.</w:t>
      </w:r>
    </w:p>
    <w:p w14:paraId="01A36D5E" w14:textId="196E7FF9" w:rsidR="000C48A4" w:rsidRPr="000C48A4" w:rsidRDefault="00CE223E" w:rsidP="00E4037B">
      <w:pPr>
        <w:pStyle w:val="Prrafode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 fecha </w:t>
      </w:r>
      <w:r w:rsidR="008C4AC6">
        <w:rPr>
          <w:rFonts w:asciiTheme="majorHAnsi" w:hAnsiTheme="majorHAnsi" w:cstheme="majorHAnsi"/>
          <w:sz w:val="24"/>
          <w:szCs w:val="24"/>
        </w:rPr>
        <w:t>29 de marzo de 2022</w:t>
      </w:r>
      <w:r w:rsidR="0082404F">
        <w:rPr>
          <w:rFonts w:asciiTheme="majorHAnsi" w:hAnsiTheme="majorHAnsi" w:cstheme="majorHAnsi"/>
          <w:sz w:val="24"/>
          <w:szCs w:val="24"/>
        </w:rPr>
        <w:t xml:space="preserve">, la </w:t>
      </w:r>
      <w:r w:rsidR="0082404F" w:rsidRPr="0082404F">
        <w:rPr>
          <w:rFonts w:asciiTheme="majorHAnsi" w:hAnsiTheme="majorHAnsi" w:cstheme="majorHAnsi"/>
          <w:sz w:val="24"/>
          <w:szCs w:val="24"/>
        </w:rPr>
        <w:t xml:space="preserve">sociedad civil participante en los ejercicios de gobierno abierto en Yucatán </w:t>
      </w:r>
      <w:r w:rsidR="008C4AC6">
        <w:rPr>
          <w:rFonts w:asciiTheme="majorHAnsi" w:hAnsiTheme="majorHAnsi" w:cstheme="majorHAnsi"/>
          <w:sz w:val="24"/>
          <w:szCs w:val="24"/>
        </w:rPr>
        <w:t>prorrogó la participación del representante</w:t>
      </w:r>
      <w:r w:rsidR="0082404F" w:rsidRPr="0082404F">
        <w:rPr>
          <w:rFonts w:asciiTheme="majorHAnsi" w:hAnsiTheme="majorHAnsi" w:cstheme="majorHAnsi"/>
          <w:sz w:val="24"/>
          <w:szCs w:val="24"/>
        </w:rPr>
        <w:t xml:space="preserve"> </w:t>
      </w:r>
      <w:r w:rsidR="00F36BA9">
        <w:rPr>
          <w:rFonts w:asciiTheme="majorHAnsi" w:hAnsiTheme="majorHAnsi" w:cstheme="majorHAnsi"/>
          <w:sz w:val="24"/>
          <w:szCs w:val="24"/>
        </w:rPr>
        <w:t xml:space="preserve">de la sociedad civil </w:t>
      </w:r>
      <w:r w:rsidR="0082404F" w:rsidRPr="0082404F">
        <w:rPr>
          <w:rFonts w:asciiTheme="majorHAnsi" w:hAnsiTheme="majorHAnsi" w:cstheme="majorHAnsi"/>
          <w:sz w:val="24"/>
          <w:szCs w:val="24"/>
        </w:rPr>
        <w:t>Ángel Rodríguez Aquino</w:t>
      </w:r>
      <w:r w:rsidR="008C4AC6">
        <w:rPr>
          <w:rFonts w:asciiTheme="majorHAnsi" w:hAnsiTheme="majorHAnsi" w:cstheme="majorHAnsi"/>
          <w:sz w:val="24"/>
          <w:szCs w:val="24"/>
        </w:rPr>
        <w:t xml:space="preserve"> y del facilitador Maestro Joaquín </w:t>
      </w:r>
      <w:r w:rsidR="00F36BA9">
        <w:rPr>
          <w:rFonts w:asciiTheme="majorHAnsi" w:hAnsiTheme="majorHAnsi" w:cstheme="majorHAnsi"/>
          <w:sz w:val="24"/>
          <w:szCs w:val="24"/>
        </w:rPr>
        <w:t>Torres Aburto</w:t>
      </w:r>
      <w:r w:rsidR="0082404F" w:rsidRPr="0082404F">
        <w:rPr>
          <w:rFonts w:asciiTheme="majorHAnsi" w:hAnsiTheme="majorHAnsi" w:cstheme="majorHAnsi"/>
          <w:sz w:val="24"/>
          <w:szCs w:val="24"/>
        </w:rPr>
        <w:t xml:space="preserve">, como </w:t>
      </w:r>
      <w:r w:rsidR="00F36BA9">
        <w:rPr>
          <w:rFonts w:asciiTheme="majorHAnsi" w:hAnsiTheme="majorHAnsi" w:cstheme="majorHAnsi"/>
          <w:sz w:val="24"/>
          <w:szCs w:val="24"/>
        </w:rPr>
        <w:t>integrantes</w:t>
      </w:r>
      <w:r w:rsidR="0082404F" w:rsidRPr="0082404F">
        <w:rPr>
          <w:rFonts w:asciiTheme="majorHAnsi" w:hAnsiTheme="majorHAnsi" w:cstheme="majorHAnsi"/>
          <w:sz w:val="24"/>
          <w:szCs w:val="24"/>
        </w:rPr>
        <w:t xml:space="preserve"> </w:t>
      </w:r>
      <w:r w:rsidR="009F176A">
        <w:rPr>
          <w:rFonts w:asciiTheme="majorHAnsi" w:hAnsiTheme="majorHAnsi" w:cstheme="majorHAnsi"/>
          <w:sz w:val="24"/>
          <w:szCs w:val="24"/>
        </w:rPr>
        <w:t>d</w:t>
      </w:r>
      <w:r w:rsidR="0082404F" w:rsidRPr="0082404F">
        <w:rPr>
          <w:rFonts w:asciiTheme="majorHAnsi" w:hAnsiTheme="majorHAnsi" w:cstheme="majorHAnsi"/>
          <w:sz w:val="24"/>
          <w:szCs w:val="24"/>
        </w:rPr>
        <w:t>el Secretariado Técnico Estatal.</w:t>
      </w:r>
    </w:p>
    <w:p w14:paraId="49B263ED" w14:textId="3281DA38" w:rsidR="000C48A4" w:rsidRPr="000C48A4" w:rsidRDefault="000C48A4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9D6C4A" w14:textId="234D10F8" w:rsidR="000C48A4" w:rsidRPr="000C48A4" w:rsidRDefault="000C48A4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0C48A4">
        <w:rPr>
          <w:rFonts w:asciiTheme="majorHAnsi" w:hAnsiTheme="majorHAnsi" w:cstheme="majorHAnsi"/>
          <w:b/>
          <w:bCs/>
          <w:sz w:val="24"/>
          <w:szCs w:val="24"/>
          <w:lang w:val="es-ES"/>
        </w:rPr>
        <w:t>CONSIDERANDOS</w:t>
      </w:r>
    </w:p>
    <w:p w14:paraId="5E90BEE0" w14:textId="08463C8F" w:rsidR="000C48A4" w:rsidRPr="000C48A4" w:rsidRDefault="000C48A4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41092B40" w14:textId="50F9E7C8" w:rsidR="000C48A4" w:rsidRDefault="000C48A4" w:rsidP="00E4037B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0F70D6">
        <w:rPr>
          <w:rFonts w:asciiTheme="majorHAnsi" w:hAnsiTheme="majorHAnsi" w:cstheme="majorHAnsi"/>
          <w:sz w:val="24"/>
          <w:szCs w:val="24"/>
        </w:rPr>
        <w:t xml:space="preserve">El </w:t>
      </w:r>
      <w:r w:rsidR="000F70D6" w:rsidRPr="000F70D6">
        <w:rPr>
          <w:rFonts w:asciiTheme="majorHAnsi" w:hAnsiTheme="majorHAnsi" w:cstheme="majorHAnsi"/>
          <w:sz w:val="24"/>
          <w:szCs w:val="24"/>
        </w:rPr>
        <w:t xml:space="preserve">Secretariado Técnico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="000F70D6" w:rsidRPr="000F70D6">
        <w:rPr>
          <w:rFonts w:asciiTheme="majorHAnsi" w:hAnsiTheme="majorHAnsi" w:cstheme="majorHAnsi"/>
          <w:sz w:val="24"/>
          <w:szCs w:val="24"/>
        </w:rPr>
        <w:t xml:space="preserve"> de Gobierno Abierto un espacio permanente de participación en el que las autoridades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="000F70D6" w:rsidRPr="000F70D6">
        <w:rPr>
          <w:rFonts w:asciiTheme="majorHAnsi" w:hAnsiTheme="majorHAnsi" w:cstheme="majorHAnsi"/>
          <w:sz w:val="24"/>
          <w:szCs w:val="24"/>
        </w:rPr>
        <w:t xml:space="preserve">es, personas dentro del servicio público, representantes de la sociedad civil y ciudadanía en general, dialogan y deliberan con respecto al diseño, implementación y seguimiento de acciones y compromisos de Gobierno Abierto en el ámbito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="000F70D6" w:rsidRPr="000F70D6">
        <w:rPr>
          <w:rFonts w:asciiTheme="majorHAnsi" w:hAnsiTheme="majorHAnsi" w:cstheme="majorHAnsi"/>
          <w:sz w:val="24"/>
          <w:szCs w:val="24"/>
        </w:rPr>
        <w:t xml:space="preserve">, que tiene como objetivo coordinar, incorporar y dar cauce a los intereses de todos los actores que participarán en este ejercicio de Gobierno Abierto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="000F70D6" w:rsidRPr="000F70D6">
        <w:rPr>
          <w:rFonts w:asciiTheme="majorHAnsi" w:hAnsiTheme="majorHAnsi" w:cstheme="majorHAnsi"/>
          <w:sz w:val="24"/>
          <w:szCs w:val="24"/>
        </w:rPr>
        <w:t>, así como el establecimiento de una ruta de acción para la conformación y despliegue del correspondiente Plan de Acción Local de Gobierno Abierto (PAL)</w:t>
      </w:r>
      <w:r w:rsidR="009C7E80">
        <w:rPr>
          <w:rFonts w:asciiTheme="majorHAnsi" w:hAnsiTheme="majorHAnsi" w:cstheme="majorHAnsi"/>
          <w:sz w:val="24"/>
          <w:szCs w:val="24"/>
        </w:rPr>
        <w:t>.</w:t>
      </w:r>
    </w:p>
    <w:p w14:paraId="79305923" w14:textId="283F9A8A" w:rsidR="009C7E80" w:rsidRDefault="009C7E80" w:rsidP="00E4037B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El gobierno abierto es un modelo de gestión que incorpora </w:t>
      </w:r>
      <w:r w:rsidRPr="009C7E80">
        <w:rPr>
          <w:rFonts w:asciiTheme="majorHAnsi" w:hAnsiTheme="majorHAnsi" w:cstheme="majorHAnsi"/>
          <w:sz w:val="24"/>
          <w:szCs w:val="24"/>
        </w:rPr>
        <w:t>principios, políticas o acciones de transparencia, acceso a la información, rendición de cuentas y participación ciudadana, orientadas a lograr niveles de apertura y colaboración que permitan generar beneficios colectivos.</w:t>
      </w:r>
    </w:p>
    <w:p w14:paraId="2B186CB6" w14:textId="3F3042F5" w:rsidR="009C7E80" w:rsidRDefault="00EE52A9" w:rsidP="00E4037B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Con motivo de lo anterior y en razón que la primera de las fases de construcción e implementación de los ejercicios de gobierno abierto, es la consulta a la población de las problemáticas más urgentes y apremiantes </w:t>
      </w:r>
      <w:r w:rsidR="00E4037B">
        <w:rPr>
          <w:rFonts w:asciiTheme="majorHAnsi" w:hAnsiTheme="majorHAnsi" w:cstheme="majorHAnsi"/>
          <w:sz w:val="24"/>
          <w:szCs w:val="24"/>
        </w:rPr>
        <w:t>que se deben de</w:t>
      </w:r>
      <w:r>
        <w:rPr>
          <w:rFonts w:asciiTheme="majorHAnsi" w:hAnsiTheme="majorHAnsi" w:cstheme="majorHAnsi"/>
          <w:sz w:val="24"/>
          <w:szCs w:val="24"/>
        </w:rPr>
        <w:t xml:space="preserve"> atender en el primer plan de acción local</w:t>
      </w:r>
      <w:r w:rsidR="00E4037B">
        <w:rPr>
          <w:rFonts w:asciiTheme="majorHAnsi" w:hAnsiTheme="majorHAnsi" w:cstheme="majorHAnsi"/>
          <w:sz w:val="24"/>
          <w:szCs w:val="24"/>
        </w:rPr>
        <w:t>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4037B">
        <w:rPr>
          <w:rFonts w:asciiTheme="majorHAnsi" w:hAnsiTheme="majorHAnsi" w:cstheme="majorHAnsi"/>
          <w:sz w:val="24"/>
          <w:szCs w:val="24"/>
        </w:rPr>
        <w:t xml:space="preserve">y atentos al estado en el que se encuentra el proceso, </w:t>
      </w:r>
      <w:r w:rsidR="00455F79">
        <w:rPr>
          <w:rFonts w:asciiTheme="majorHAnsi" w:hAnsiTheme="majorHAnsi" w:cstheme="majorHAnsi"/>
          <w:sz w:val="24"/>
          <w:szCs w:val="24"/>
        </w:rPr>
        <w:t xml:space="preserve">siendo éste las mesas de diagnóstico desde ciudadanía y sociedad civil; </w:t>
      </w:r>
      <w:r>
        <w:rPr>
          <w:rFonts w:asciiTheme="majorHAnsi" w:hAnsiTheme="majorHAnsi" w:cstheme="majorHAnsi"/>
          <w:sz w:val="24"/>
          <w:szCs w:val="24"/>
        </w:rPr>
        <w:t xml:space="preserve">y con el ánimo de no interrumpir el ejercicio </w:t>
      </w:r>
      <w:r w:rsidR="00CE223E">
        <w:rPr>
          <w:rFonts w:asciiTheme="majorHAnsi" w:hAnsiTheme="majorHAnsi" w:cstheme="majorHAnsi"/>
          <w:sz w:val="24"/>
          <w:szCs w:val="24"/>
        </w:rPr>
        <w:lastRenderedPageBreak/>
        <w:t>estatal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F176A">
        <w:rPr>
          <w:rFonts w:asciiTheme="majorHAnsi" w:hAnsiTheme="majorHAnsi" w:cstheme="majorHAnsi"/>
          <w:sz w:val="24"/>
          <w:szCs w:val="24"/>
        </w:rPr>
        <w:t>d</w:t>
      </w:r>
      <w:r>
        <w:rPr>
          <w:rFonts w:asciiTheme="majorHAnsi" w:hAnsiTheme="majorHAnsi" w:cstheme="majorHAnsi"/>
          <w:sz w:val="24"/>
          <w:szCs w:val="24"/>
        </w:rPr>
        <w:t>e gobierno abierto, resulta oportuno ampliar la vigencia de</w:t>
      </w:r>
      <w:r w:rsidR="00455F79">
        <w:rPr>
          <w:rFonts w:asciiTheme="majorHAnsi" w:hAnsiTheme="majorHAnsi" w:cstheme="majorHAnsi"/>
          <w:sz w:val="24"/>
          <w:szCs w:val="24"/>
        </w:rPr>
        <w:t>l</w:t>
      </w:r>
      <w:r>
        <w:rPr>
          <w:rFonts w:asciiTheme="majorHAnsi" w:hAnsiTheme="majorHAnsi" w:cstheme="majorHAnsi"/>
          <w:sz w:val="24"/>
          <w:szCs w:val="24"/>
        </w:rPr>
        <w:t xml:space="preserve"> ejercicio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>
        <w:rPr>
          <w:rFonts w:asciiTheme="majorHAnsi" w:hAnsiTheme="majorHAnsi" w:cstheme="majorHAnsi"/>
          <w:sz w:val="24"/>
          <w:szCs w:val="24"/>
        </w:rPr>
        <w:t xml:space="preserve"> de gobierno abierto,</w:t>
      </w:r>
      <w:r w:rsidR="00455F79">
        <w:rPr>
          <w:rFonts w:asciiTheme="majorHAnsi" w:hAnsiTheme="majorHAnsi" w:cstheme="majorHAnsi"/>
          <w:sz w:val="24"/>
          <w:szCs w:val="24"/>
        </w:rPr>
        <w:t xml:space="preserve"> prorrogando la vigencia del secretariado técnico estatal,</w:t>
      </w:r>
      <w:r>
        <w:rPr>
          <w:rFonts w:asciiTheme="majorHAnsi" w:hAnsiTheme="majorHAnsi" w:cstheme="majorHAnsi"/>
          <w:sz w:val="24"/>
          <w:szCs w:val="24"/>
        </w:rPr>
        <w:t xml:space="preserve"> de conformidad con lo siguiente:</w:t>
      </w:r>
    </w:p>
    <w:p w14:paraId="2311E024" w14:textId="36F9F017" w:rsidR="00EE52A9" w:rsidRDefault="00EE52A9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7C863D" w14:textId="0E2158C8" w:rsidR="00EE52A9" w:rsidRPr="00EE52A9" w:rsidRDefault="00EE52A9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52A9">
        <w:rPr>
          <w:rFonts w:asciiTheme="majorHAnsi" w:hAnsiTheme="majorHAnsi" w:cstheme="majorHAnsi"/>
          <w:b/>
          <w:bCs/>
          <w:sz w:val="24"/>
          <w:szCs w:val="24"/>
        </w:rPr>
        <w:t>ACUERDO</w:t>
      </w:r>
    </w:p>
    <w:p w14:paraId="3057B0CC" w14:textId="2F26482B" w:rsidR="00EE52A9" w:rsidRDefault="00EE52A9" w:rsidP="00E4037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AAB6D17" w14:textId="4431B1F9" w:rsidR="00EE52A9" w:rsidRPr="00EE52A9" w:rsidRDefault="00E4037B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0CCB">
        <w:rPr>
          <w:rFonts w:asciiTheme="majorHAnsi" w:hAnsiTheme="majorHAnsi" w:cstheme="majorHAnsi"/>
          <w:b/>
          <w:bCs/>
          <w:sz w:val="24"/>
          <w:szCs w:val="24"/>
        </w:rPr>
        <w:t>ÚNICO.</w:t>
      </w:r>
      <w:r w:rsidR="00EE52A9">
        <w:rPr>
          <w:rFonts w:asciiTheme="majorHAnsi" w:hAnsiTheme="majorHAnsi" w:cstheme="majorHAnsi"/>
          <w:sz w:val="24"/>
          <w:szCs w:val="24"/>
        </w:rPr>
        <w:t xml:space="preserve"> Se amplía </w:t>
      </w:r>
      <w:r w:rsidR="00CB6260">
        <w:rPr>
          <w:rFonts w:asciiTheme="majorHAnsi" w:hAnsiTheme="majorHAnsi" w:cstheme="majorHAnsi"/>
          <w:sz w:val="24"/>
          <w:szCs w:val="24"/>
        </w:rPr>
        <w:t>la vigencia d</w:t>
      </w:r>
      <w:r w:rsidR="00EE52A9">
        <w:rPr>
          <w:rFonts w:asciiTheme="majorHAnsi" w:hAnsiTheme="majorHAnsi" w:cstheme="majorHAnsi"/>
          <w:sz w:val="24"/>
          <w:szCs w:val="24"/>
        </w:rPr>
        <w:t xml:space="preserve">el ejercicio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="00EE52A9">
        <w:rPr>
          <w:rFonts w:asciiTheme="majorHAnsi" w:hAnsiTheme="majorHAnsi" w:cstheme="majorHAnsi"/>
          <w:sz w:val="24"/>
          <w:szCs w:val="24"/>
        </w:rPr>
        <w:t xml:space="preserve"> de gobierno abierto</w:t>
      </w:r>
      <w:r w:rsidR="000608CD">
        <w:rPr>
          <w:rFonts w:asciiTheme="majorHAnsi" w:hAnsiTheme="majorHAnsi" w:cstheme="majorHAnsi"/>
          <w:sz w:val="24"/>
          <w:szCs w:val="24"/>
        </w:rPr>
        <w:t xml:space="preserve">, </w:t>
      </w:r>
      <w:r w:rsidR="00081974">
        <w:rPr>
          <w:rFonts w:asciiTheme="majorHAnsi" w:hAnsiTheme="majorHAnsi" w:cstheme="majorHAnsi"/>
          <w:sz w:val="24"/>
          <w:szCs w:val="24"/>
        </w:rPr>
        <w:t>y</w:t>
      </w:r>
      <w:r w:rsidR="000608CD">
        <w:rPr>
          <w:rFonts w:asciiTheme="majorHAnsi" w:hAnsiTheme="majorHAnsi" w:cstheme="majorHAnsi"/>
          <w:sz w:val="24"/>
          <w:szCs w:val="24"/>
        </w:rPr>
        <w:t xml:space="preserve"> se prorroga la vigencia del secretariado técnico estatal de gobierno abierto</w:t>
      </w:r>
      <w:r w:rsidR="00EE52A9">
        <w:rPr>
          <w:rFonts w:asciiTheme="majorHAnsi" w:hAnsiTheme="majorHAnsi" w:cstheme="majorHAnsi"/>
          <w:sz w:val="24"/>
          <w:szCs w:val="24"/>
        </w:rPr>
        <w:t xml:space="preserve"> hasta el 30 de abril del año 2023</w:t>
      </w:r>
      <w:r w:rsidR="000608CD">
        <w:rPr>
          <w:rFonts w:asciiTheme="majorHAnsi" w:hAnsiTheme="majorHAnsi" w:cstheme="majorHAnsi"/>
          <w:sz w:val="24"/>
          <w:szCs w:val="24"/>
        </w:rPr>
        <w:t xml:space="preserve">, con el objetivo de no interrumpir el desarrollo de estos ejercicios, sus fases de consulta y de </w:t>
      </w:r>
      <w:proofErr w:type="spellStart"/>
      <w:r w:rsidR="000608CD">
        <w:rPr>
          <w:rFonts w:asciiTheme="majorHAnsi" w:hAnsiTheme="majorHAnsi" w:cstheme="majorHAnsi"/>
          <w:sz w:val="24"/>
          <w:szCs w:val="24"/>
        </w:rPr>
        <w:t>co</w:t>
      </w:r>
      <w:proofErr w:type="spellEnd"/>
      <w:r w:rsidR="000608CD">
        <w:rPr>
          <w:rFonts w:asciiTheme="majorHAnsi" w:hAnsiTheme="majorHAnsi" w:cstheme="majorHAnsi"/>
          <w:sz w:val="24"/>
          <w:szCs w:val="24"/>
        </w:rPr>
        <w:t xml:space="preserve"> creación</w:t>
      </w:r>
      <w:r w:rsidR="00081974">
        <w:rPr>
          <w:rFonts w:asciiTheme="majorHAnsi" w:hAnsiTheme="majorHAnsi" w:cstheme="majorHAnsi"/>
          <w:sz w:val="24"/>
          <w:szCs w:val="24"/>
        </w:rPr>
        <w:t>.</w:t>
      </w:r>
    </w:p>
    <w:sectPr w:rsidR="00EE52A9" w:rsidRPr="00EE52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5D089" w14:textId="77777777" w:rsidR="000C48A4" w:rsidRDefault="000C48A4" w:rsidP="000C48A4">
      <w:pPr>
        <w:spacing w:after="0" w:line="240" w:lineRule="auto"/>
      </w:pPr>
      <w:r>
        <w:separator/>
      </w:r>
    </w:p>
  </w:endnote>
  <w:endnote w:type="continuationSeparator" w:id="0">
    <w:p w14:paraId="3932A23A" w14:textId="77777777" w:rsidR="000C48A4" w:rsidRDefault="000C48A4" w:rsidP="000C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028D5" w14:textId="77777777" w:rsidR="000C48A4" w:rsidRDefault="000C48A4" w:rsidP="000C48A4">
      <w:pPr>
        <w:spacing w:after="0" w:line="240" w:lineRule="auto"/>
      </w:pPr>
      <w:r>
        <w:separator/>
      </w:r>
    </w:p>
  </w:footnote>
  <w:footnote w:type="continuationSeparator" w:id="0">
    <w:p w14:paraId="491AB730" w14:textId="77777777" w:rsidR="000C48A4" w:rsidRDefault="000C48A4" w:rsidP="000C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AE970" w14:textId="09984592" w:rsidR="000C48A4" w:rsidRDefault="000C48A4" w:rsidP="000C48A4">
    <w:pPr>
      <w:pStyle w:val="Encabezado"/>
      <w:jc w:val="right"/>
      <w:rPr>
        <w:rFonts w:ascii="Calibri Light" w:hAnsi="Calibri Light" w:cs="Calibri Light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CDE6C5" wp14:editId="7826F52A">
          <wp:simplePos x="0" y="0"/>
          <wp:positionH relativeFrom="column">
            <wp:posOffset>-66675</wp:posOffset>
          </wp:positionH>
          <wp:positionV relativeFrom="paragraph">
            <wp:posOffset>-127000</wp:posOffset>
          </wp:positionV>
          <wp:extent cx="2138045" cy="122428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1224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42CF53" w14:textId="7A652755" w:rsidR="000C48A4" w:rsidRDefault="000C48A4" w:rsidP="000C48A4">
    <w:pPr>
      <w:pStyle w:val="Encabezado"/>
      <w:jc w:val="right"/>
      <w:rPr>
        <w:rFonts w:ascii="Calibri Light" w:hAnsi="Calibri Light" w:cs="Calibri Light"/>
        <w:b/>
        <w:i/>
        <w:sz w:val="24"/>
        <w:szCs w:val="24"/>
      </w:rPr>
    </w:pPr>
    <w:r>
      <w:rPr>
        <w:rFonts w:ascii="Calibri Light" w:hAnsi="Calibri Light" w:cs="Calibri Light"/>
        <w:b/>
        <w:i/>
        <w:sz w:val="24"/>
        <w:szCs w:val="24"/>
      </w:rPr>
      <w:t xml:space="preserve">SECRETARIADO TÉCNICO </w:t>
    </w:r>
    <w:r w:rsidR="00CE223E">
      <w:rPr>
        <w:rFonts w:ascii="Calibri Light" w:hAnsi="Calibri Light" w:cs="Calibri Light"/>
        <w:b/>
        <w:i/>
        <w:sz w:val="24"/>
        <w:szCs w:val="24"/>
      </w:rPr>
      <w:t>ESTATAL</w:t>
    </w:r>
    <w:r>
      <w:rPr>
        <w:rFonts w:ascii="Calibri Light" w:hAnsi="Calibri Light" w:cs="Calibri Light"/>
        <w:b/>
        <w:i/>
        <w:sz w:val="24"/>
        <w:szCs w:val="24"/>
      </w:rPr>
      <w:t xml:space="preserve"> </w:t>
    </w:r>
  </w:p>
  <w:p w14:paraId="0B1883E3" w14:textId="77777777" w:rsidR="000C48A4" w:rsidRDefault="000C48A4" w:rsidP="000C48A4">
    <w:pPr>
      <w:pStyle w:val="Encabezado"/>
      <w:jc w:val="right"/>
      <w:rPr>
        <w:i/>
      </w:rPr>
    </w:pPr>
    <w:r>
      <w:rPr>
        <w:rFonts w:ascii="Calibri Light" w:hAnsi="Calibri Light" w:cs="Calibri Light"/>
        <w:b/>
        <w:i/>
        <w:sz w:val="24"/>
        <w:szCs w:val="24"/>
      </w:rPr>
      <w:t>DE GOBIERNO ABIERTO</w:t>
    </w:r>
  </w:p>
  <w:p w14:paraId="4688620C" w14:textId="77777777" w:rsidR="000C48A4" w:rsidRDefault="000C48A4" w:rsidP="000C48A4">
    <w:pPr>
      <w:pStyle w:val="Encabezado"/>
      <w:rPr>
        <w:i/>
      </w:rPr>
    </w:pPr>
  </w:p>
  <w:p w14:paraId="3EB668BE" w14:textId="079A8575" w:rsidR="000C48A4" w:rsidRDefault="000C48A4">
    <w:pPr>
      <w:pStyle w:val="Encabezado"/>
    </w:pPr>
  </w:p>
  <w:p w14:paraId="4DFE8124" w14:textId="77777777" w:rsidR="000C48A4" w:rsidRDefault="000C48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1D6"/>
    <w:multiLevelType w:val="multilevel"/>
    <w:tmpl w:val="E488F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0E66AE"/>
    <w:multiLevelType w:val="multilevel"/>
    <w:tmpl w:val="E5A0AC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8"/>
    <w:rsid w:val="000608CD"/>
    <w:rsid w:val="00081974"/>
    <w:rsid w:val="000C48A4"/>
    <w:rsid w:val="000E5648"/>
    <w:rsid w:val="000E74AC"/>
    <w:rsid w:val="000F70D6"/>
    <w:rsid w:val="00164367"/>
    <w:rsid w:val="00266283"/>
    <w:rsid w:val="003B3B07"/>
    <w:rsid w:val="00455F79"/>
    <w:rsid w:val="004B0EC1"/>
    <w:rsid w:val="00563E78"/>
    <w:rsid w:val="0071541E"/>
    <w:rsid w:val="0082404F"/>
    <w:rsid w:val="008C4AC6"/>
    <w:rsid w:val="00901FE0"/>
    <w:rsid w:val="009C6BE2"/>
    <w:rsid w:val="009C7E80"/>
    <w:rsid w:val="009D0CCB"/>
    <w:rsid w:val="009F176A"/>
    <w:rsid w:val="00A06ACC"/>
    <w:rsid w:val="00A43E0C"/>
    <w:rsid w:val="00B45A00"/>
    <w:rsid w:val="00B82359"/>
    <w:rsid w:val="00CB6260"/>
    <w:rsid w:val="00CE223E"/>
    <w:rsid w:val="00CE4CEC"/>
    <w:rsid w:val="00D97B56"/>
    <w:rsid w:val="00E4037B"/>
    <w:rsid w:val="00EB5287"/>
    <w:rsid w:val="00EE52A9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1B3F02"/>
  <w15:chartTrackingRefBased/>
  <w15:docId w15:val="{C503ACEF-EF54-43CA-9494-ADC49FC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C6BE2"/>
    <w:pPr>
      <w:keepNext/>
      <w:keepLines/>
      <w:suppressAutoHyphens/>
      <w:spacing w:before="240" w:after="0" w:line="240" w:lineRule="auto"/>
      <w:jc w:val="both"/>
      <w:outlineLvl w:val="0"/>
    </w:pPr>
    <w:rPr>
      <w:rFonts w:asciiTheme="majorHAnsi" w:eastAsia="MS Gothic" w:hAnsiTheme="majorHAnsi" w:cs="Times New Roman"/>
      <w:b/>
      <w:color w:val="002060"/>
      <w:spacing w:val="-20"/>
      <w:sz w:val="40"/>
      <w:szCs w:val="32"/>
      <w:lang w:eastAsia="ar-SA"/>
    </w:rPr>
  </w:style>
  <w:style w:type="paragraph" w:styleId="Prrafodelista">
    <w:name w:val="List Paragraph"/>
    <w:basedOn w:val="Normal"/>
    <w:uiPriority w:val="34"/>
    <w:qFormat/>
    <w:rsid w:val="00266283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8A4"/>
  </w:style>
  <w:style w:type="paragraph" w:styleId="Piedepgina">
    <w:name w:val="footer"/>
    <w:basedOn w:val="Normal"/>
    <w:link w:val="PiedepginaCar"/>
    <w:uiPriority w:val="99"/>
    <w:unhideWhenUsed/>
    <w:rsid w:val="000C4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Arsenio Vermont Gamboa</dc:creator>
  <cp:keywords/>
  <dc:description/>
  <cp:lastModifiedBy>Planeación</cp:lastModifiedBy>
  <cp:revision>2</cp:revision>
  <cp:lastPrinted>2021-10-20T19:02:00Z</cp:lastPrinted>
  <dcterms:created xsi:type="dcterms:W3CDTF">2022-04-19T21:10:00Z</dcterms:created>
  <dcterms:modified xsi:type="dcterms:W3CDTF">2022-04-19T21:10:00Z</dcterms:modified>
</cp:coreProperties>
</file>