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2F40" w14:textId="762FF887" w:rsidR="00B27AF4" w:rsidRPr="000C2F61" w:rsidRDefault="00B27AF4" w:rsidP="00B27AF4">
      <w:pPr>
        <w:autoSpaceDE w:val="0"/>
        <w:autoSpaceDN w:val="0"/>
        <w:adjustRightInd w:val="0"/>
        <w:spacing w:after="0" w:line="240" w:lineRule="auto"/>
        <w:jc w:val="center"/>
        <w:rPr>
          <w:rFonts w:ascii="Calibri-Light" w:hAnsi="Calibri-Light" w:cs="Calibri-Light"/>
          <w:kern w:val="0"/>
          <w:sz w:val="56"/>
          <w:szCs w:val="56"/>
        </w:rPr>
      </w:pPr>
      <w:r w:rsidRPr="000C2F61">
        <w:rPr>
          <w:rFonts w:ascii="Calibri-Light" w:hAnsi="Calibri-Light" w:cs="Calibri-Light"/>
          <w:kern w:val="0"/>
          <w:sz w:val="56"/>
          <w:szCs w:val="56"/>
        </w:rPr>
        <w:t>Facilitador</w:t>
      </w:r>
      <w:r w:rsidR="00B34975" w:rsidRPr="000C2F61">
        <w:rPr>
          <w:rFonts w:ascii="Calibri-Light" w:hAnsi="Calibri-Light" w:cs="Calibri-Light"/>
          <w:kern w:val="0"/>
          <w:sz w:val="56"/>
          <w:szCs w:val="56"/>
        </w:rPr>
        <w:t>a</w:t>
      </w:r>
      <w:r w:rsidRPr="000C2F61">
        <w:rPr>
          <w:rFonts w:ascii="Calibri-Light" w:hAnsi="Calibri-Light" w:cs="Calibri-Light"/>
          <w:kern w:val="0"/>
          <w:sz w:val="56"/>
          <w:szCs w:val="56"/>
        </w:rPr>
        <w:t xml:space="preserve"> </w:t>
      </w:r>
      <w:r w:rsidR="00B34975" w:rsidRPr="000C2F61">
        <w:rPr>
          <w:rFonts w:ascii="Calibri-Light" w:hAnsi="Calibri-Light" w:cs="Calibri-Light"/>
          <w:kern w:val="0"/>
          <w:sz w:val="56"/>
          <w:szCs w:val="56"/>
        </w:rPr>
        <w:t>del</w:t>
      </w:r>
      <w:r w:rsidRPr="000C2F61">
        <w:rPr>
          <w:rFonts w:ascii="Calibri-Light" w:hAnsi="Calibri-Light" w:cs="Calibri-Light"/>
          <w:kern w:val="0"/>
          <w:sz w:val="56"/>
          <w:szCs w:val="56"/>
        </w:rPr>
        <w:t xml:space="preserve"> secretariado</w:t>
      </w:r>
    </w:p>
    <w:p w14:paraId="5A13EAE4" w14:textId="1FF7B077" w:rsidR="00B27AF4" w:rsidRPr="000C2F61" w:rsidRDefault="00B27AF4" w:rsidP="000C2F61">
      <w:pPr>
        <w:autoSpaceDE w:val="0"/>
        <w:autoSpaceDN w:val="0"/>
        <w:adjustRightInd w:val="0"/>
        <w:spacing w:after="0" w:line="240" w:lineRule="auto"/>
        <w:jc w:val="center"/>
        <w:rPr>
          <w:rFonts w:ascii="Calibri-Light" w:hAnsi="Calibri-Light" w:cs="Calibri-Light"/>
          <w:kern w:val="0"/>
          <w:sz w:val="56"/>
          <w:szCs w:val="56"/>
        </w:rPr>
      </w:pPr>
      <w:r w:rsidRPr="000C2F61">
        <w:rPr>
          <w:rFonts w:ascii="Calibri-Light" w:hAnsi="Calibri-Light" w:cs="Calibri-Light"/>
          <w:kern w:val="0"/>
          <w:sz w:val="56"/>
          <w:szCs w:val="56"/>
        </w:rPr>
        <w:t>técnico estatal</w:t>
      </w:r>
    </w:p>
    <w:p w14:paraId="477BDF86" w14:textId="77777777" w:rsidR="000C2F61" w:rsidRPr="000C2F61" w:rsidRDefault="000C2F61" w:rsidP="000C2F61">
      <w:pPr>
        <w:autoSpaceDE w:val="0"/>
        <w:autoSpaceDN w:val="0"/>
        <w:adjustRightInd w:val="0"/>
        <w:spacing w:after="0" w:line="240" w:lineRule="auto"/>
        <w:jc w:val="center"/>
        <w:rPr>
          <w:rFonts w:ascii="Calibri-Light" w:hAnsi="Calibri-Light" w:cs="Calibri-Light"/>
          <w:kern w:val="0"/>
          <w:sz w:val="72"/>
          <w:szCs w:val="72"/>
        </w:rPr>
      </w:pPr>
    </w:p>
    <w:p w14:paraId="6D69EE66" w14:textId="797B520B" w:rsidR="00B27AF4" w:rsidRPr="00AE0C75" w:rsidRDefault="00B27AF4" w:rsidP="00B27AF4">
      <w:pPr>
        <w:autoSpaceDE w:val="0"/>
        <w:autoSpaceDN w:val="0"/>
        <w:adjustRightInd w:val="0"/>
        <w:spacing w:after="0" w:line="240" w:lineRule="auto"/>
        <w:rPr>
          <w:rFonts w:ascii="Calibri-Light" w:hAnsi="Calibri-Light" w:cs="Calibri-Light"/>
          <w:kern w:val="0"/>
          <w:sz w:val="32"/>
          <w:szCs w:val="32"/>
        </w:rPr>
      </w:pPr>
      <w:r w:rsidRPr="00AE0C75">
        <w:rPr>
          <w:rFonts w:ascii="Calibri-Light" w:hAnsi="Calibri-Light" w:cs="Calibri-Light"/>
          <w:kern w:val="0"/>
          <w:sz w:val="32"/>
          <w:szCs w:val="32"/>
        </w:rPr>
        <w:t>Mérida, Yucatán, México, a los 11 días del mes de mayo de 2023.</w:t>
      </w:r>
    </w:p>
    <w:p w14:paraId="01E2558C" w14:textId="77777777" w:rsidR="00B27AF4" w:rsidRPr="00B27AF4" w:rsidRDefault="00B27AF4" w:rsidP="00B27AF4">
      <w:pPr>
        <w:autoSpaceDE w:val="0"/>
        <w:autoSpaceDN w:val="0"/>
        <w:adjustRightInd w:val="0"/>
        <w:spacing w:after="0" w:line="240" w:lineRule="auto"/>
        <w:rPr>
          <w:rFonts w:ascii="Calibri-Light" w:hAnsi="Calibri-Light" w:cs="Calibri-Light"/>
          <w:kern w:val="0"/>
          <w:sz w:val="32"/>
          <w:szCs w:val="32"/>
        </w:rPr>
      </w:pPr>
    </w:p>
    <w:p w14:paraId="03272736" w14:textId="56718A17" w:rsidR="00B27AF4" w:rsidRPr="000C2F61" w:rsidRDefault="00B27AF4" w:rsidP="000C2F61">
      <w:pPr>
        <w:autoSpaceDE w:val="0"/>
        <w:autoSpaceDN w:val="0"/>
        <w:adjustRightInd w:val="0"/>
        <w:spacing w:after="0" w:line="240" w:lineRule="auto"/>
        <w:jc w:val="both"/>
        <w:rPr>
          <w:rFonts w:ascii="Calibri-Light" w:hAnsi="Calibri-Light" w:cs="Calibri-Light"/>
          <w:kern w:val="0"/>
          <w:sz w:val="44"/>
          <w:szCs w:val="44"/>
        </w:rPr>
      </w:pPr>
      <w:r w:rsidRPr="000C2F61">
        <w:rPr>
          <w:rFonts w:ascii="Calibri-Light" w:hAnsi="Calibri-Light" w:cs="Calibri-Light"/>
          <w:kern w:val="0"/>
          <w:sz w:val="44"/>
          <w:szCs w:val="44"/>
        </w:rPr>
        <w:t xml:space="preserve">Atentos al estado que guarda el proceso de construcción de gobierno abierto en el Estado de Yucatán, los representantes ante el secretariado técnico estatal, en términos de lo establecido en el artículo 9 fracción XV de los Lineamientos generales de trabajo de los secretariados técnicos estatal y municipal de gobierno abierto; por parte del Inaip Yucatán, Doctor en Derecho Carlos Fernando Pavón Durán, por parte del Gobierno Estatal, </w:t>
      </w:r>
      <w:r w:rsidR="00B34975" w:rsidRPr="000C2F61">
        <w:rPr>
          <w:rFonts w:ascii="Calibri-Light" w:hAnsi="Calibri-Light" w:cs="Calibri-Light"/>
          <w:kern w:val="0"/>
          <w:sz w:val="44"/>
          <w:szCs w:val="44"/>
        </w:rPr>
        <w:t>Maestro</w:t>
      </w:r>
      <w:r w:rsidRPr="000C2F61">
        <w:rPr>
          <w:rFonts w:ascii="Calibri-Light" w:hAnsi="Calibri-Light" w:cs="Calibri-Light"/>
          <w:kern w:val="0"/>
          <w:sz w:val="44"/>
          <w:szCs w:val="44"/>
        </w:rPr>
        <w:t xml:space="preserve"> Raúl Alberto Medina Cardeña, y por parte de la sociedad civil </w:t>
      </w:r>
      <w:r w:rsidR="00E06CD0" w:rsidRPr="000C2F61">
        <w:rPr>
          <w:rFonts w:ascii="Calibri-Light" w:hAnsi="Calibri-Light" w:cs="Calibri-Light"/>
          <w:kern w:val="0"/>
          <w:sz w:val="44"/>
          <w:szCs w:val="44"/>
        </w:rPr>
        <w:t>Maestro</w:t>
      </w:r>
      <w:r w:rsidRPr="000C2F61">
        <w:rPr>
          <w:rFonts w:ascii="Calibri-Light" w:hAnsi="Calibri-Light" w:cs="Calibri-Light"/>
          <w:kern w:val="0"/>
          <w:sz w:val="44"/>
          <w:szCs w:val="44"/>
        </w:rPr>
        <w:t xml:space="preserve"> Joaquín Manuel Torres Aburto, </w:t>
      </w:r>
      <w:r w:rsidR="00B34975" w:rsidRPr="000C2F61">
        <w:rPr>
          <w:rFonts w:ascii="Calibri-Light" w:hAnsi="Calibri-Light" w:cs="Calibri-Light"/>
          <w:kern w:val="0"/>
          <w:sz w:val="44"/>
          <w:szCs w:val="44"/>
        </w:rPr>
        <w:t xml:space="preserve">el día de hoy 11 de mayo de 2023, ratificaron a la Doctora Graciela Cortés </w:t>
      </w:r>
      <w:r w:rsidR="00E06CD0" w:rsidRPr="000C2F61">
        <w:rPr>
          <w:rFonts w:ascii="Calibri-Light" w:hAnsi="Calibri-Light" w:cs="Calibri-Light"/>
          <w:kern w:val="0"/>
          <w:sz w:val="44"/>
          <w:szCs w:val="44"/>
        </w:rPr>
        <w:t>C</w:t>
      </w:r>
      <w:r w:rsidR="00B34975" w:rsidRPr="000C2F61">
        <w:rPr>
          <w:rFonts w:ascii="Calibri-Light" w:hAnsi="Calibri-Light" w:cs="Calibri-Light"/>
          <w:kern w:val="0"/>
          <w:sz w:val="44"/>
          <w:szCs w:val="44"/>
        </w:rPr>
        <w:t>a</w:t>
      </w:r>
      <w:r w:rsidR="00E06CD0" w:rsidRPr="000C2F61">
        <w:rPr>
          <w:rFonts w:ascii="Calibri-Light" w:hAnsi="Calibri-Light" w:cs="Calibri-Light"/>
          <w:kern w:val="0"/>
          <w:sz w:val="44"/>
          <w:szCs w:val="44"/>
        </w:rPr>
        <w:t>marillo</w:t>
      </w:r>
      <w:r w:rsidR="00B34975" w:rsidRPr="000C2F61">
        <w:rPr>
          <w:rFonts w:ascii="Calibri-Light" w:hAnsi="Calibri-Light" w:cs="Calibri-Light"/>
          <w:kern w:val="0"/>
          <w:sz w:val="44"/>
          <w:szCs w:val="44"/>
        </w:rPr>
        <w:t xml:space="preserve"> </w:t>
      </w:r>
      <w:r w:rsidRPr="000C2F61">
        <w:rPr>
          <w:rFonts w:ascii="Calibri-Light" w:hAnsi="Calibri-Light" w:cs="Calibri-Light"/>
          <w:kern w:val="0"/>
          <w:sz w:val="44"/>
          <w:szCs w:val="44"/>
        </w:rPr>
        <w:t>como facilitador</w:t>
      </w:r>
      <w:r w:rsidR="00B34975" w:rsidRPr="000C2F61">
        <w:rPr>
          <w:rFonts w:ascii="Calibri-Light" w:hAnsi="Calibri-Light" w:cs="Calibri-Light"/>
          <w:kern w:val="0"/>
          <w:sz w:val="44"/>
          <w:szCs w:val="44"/>
        </w:rPr>
        <w:t>a</w:t>
      </w:r>
      <w:r w:rsidRPr="000C2F61">
        <w:rPr>
          <w:rFonts w:ascii="Calibri-Light" w:hAnsi="Calibri-Light" w:cs="Calibri-Light"/>
          <w:kern w:val="0"/>
          <w:sz w:val="44"/>
          <w:szCs w:val="44"/>
        </w:rPr>
        <w:t xml:space="preserve"> del Secretariado Técnico Estatal.</w:t>
      </w:r>
    </w:p>
    <w:p w14:paraId="185683F7" w14:textId="33B3EBC5" w:rsidR="009C3182" w:rsidRPr="00B27AF4" w:rsidRDefault="009C3182" w:rsidP="00B27AF4">
      <w:pPr>
        <w:rPr>
          <w:sz w:val="44"/>
          <w:szCs w:val="44"/>
        </w:rPr>
      </w:pPr>
    </w:p>
    <w:sectPr w:rsidR="009C3182" w:rsidRPr="00B27AF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89B5" w14:textId="77777777" w:rsidR="00044E1B" w:rsidRDefault="00044E1B" w:rsidP="000C2F61">
      <w:pPr>
        <w:spacing w:after="0" w:line="240" w:lineRule="auto"/>
      </w:pPr>
      <w:r>
        <w:separator/>
      </w:r>
    </w:p>
  </w:endnote>
  <w:endnote w:type="continuationSeparator" w:id="0">
    <w:p w14:paraId="763FFA0C" w14:textId="77777777" w:rsidR="00044E1B" w:rsidRDefault="00044E1B" w:rsidP="000C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C243" w14:textId="77777777" w:rsidR="00044E1B" w:rsidRDefault="00044E1B" w:rsidP="000C2F61">
      <w:pPr>
        <w:spacing w:after="0" w:line="240" w:lineRule="auto"/>
      </w:pPr>
      <w:r>
        <w:separator/>
      </w:r>
    </w:p>
  </w:footnote>
  <w:footnote w:type="continuationSeparator" w:id="0">
    <w:p w14:paraId="5B65EACF" w14:textId="77777777" w:rsidR="00044E1B" w:rsidRDefault="00044E1B" w:rsidP="000C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CBC5" w14:textId="43407BB9" w:rsidR="000C2F61" w:rsidRDefault="000C2F61" w:rsidP="000C2F61">
    <w:pPr>
      <w:pStyle w:val="Encabezado"/>
      <w:jc w:val="right"/>
    </w:pPr>
    <w:r>
      <w:rPr>
        <w:noProof/>
      </w:rPr>
      <w:drawing>
        <wp:anchor distT="0" distB="0" distL="114300" distR="114300" simplePos="0" relativeHeight="251659264" behindDoc="0" locked="0" layoutInCell="1" allowOverlap="1" wp14:anchorId="35D7EFD7" wp14:editId="1F3805BA">
          <wp:simplePos x="0" y="0"/>
          <wp:positionH relativeFrom="column">
            <wp:posOffset>-49530</wp:posOffset>
          </wp:positionH>
          <wp:positionV relativeFrom="paragraph">
            <wp:posOffset>-246380</wp:posOffset>
          </wp:positionV>
          <wp:extent cx="2138045" cy="1224280"/>
          <wp:effectExtent l="0" t="0" r="0" b="0"/>
          <wp:wrapNone/>
          <wp:docPr id="7185868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1224280"/>
                  </a:xfrm>
                  <a:prstGeom prst="rect">
                    <a:avLst/>
                  </a:prstGeom>
                  <a:noFill/>
                </pic:spPr>
              </pic:pic>
            </a:graphicData>
          </a:graphic>
          <wp14:sizeRelH relativeFrom="margin">
            <wp14:pctWidth>0</wp14:pctWidth>
          </wp14:sizeRelH>
          <wp14:sizeRelV relativeFrom="margin">
            <wp14:pctHeight>0</wp14:pctHeight>
          </wp14:sizeRelV>
        </wp:anchor>
      </w:drawing>
    </w:r>
  </w:p>
  <w:p w14:paraId="2A4E150B" w14:textId="77777777" w:rsidR="000C2F61" w:rsidRDefault="000C2F61" w:rsidP="000C2F61">
    <w:pPr>
      <w:pStyle w:val="Encabezado"/>
      <w:jc w:val="right"/>
      <w:rPr>
        <w:b/>
        <w:i/>
        <w:sz w:val="24"/>
        <w:szCs w:val="24"/>
      </w:rPr>
    </w:pPr>
    <w:r>
      <w:rPr>
        <w:b/>
        <w:i/>
        <w:sz w:val="24"/>
        <w:szCs w:val="24"/>
      </w:rPr>
      <w:t>SECRETARIADO TÉCNICO ESTATAL</w:t>
    </w:r>
  </w:p>
  <w:p w14:paraId="1089FD9F" w14:textId="77777777" w:rsidR="000C2F61" w:rsidRDefault="000C2F61" w:rsidP="000C2F61">
    <w:pPr>
      <w:pStyle w:val="Encabezado"/>
      <w:jc w:val="right"/>
      <w:rPr>
        <w:b/>
        <w:i/>
        <w:sz w:val="24"/>
        <w:szCs w:val="24"/>
      </w:rPr>
    </w:pPr>
    <w:r>
      <w:rPr>
        <w:b/>
        <w:i/>
        <w:sz w:val="24"/>
        <w:szCs w:val="24"/>
      </w:rPr>
      <w:t>DE GOBIERNO ABIERTO</w:t>
    </w:r>
  </w:p>
  <w:p w14:paraId="18D38033" w14:textId="77777777" w:rsidR="000C2F61" w:rsidRDefault="000C2F61" w:rsidP="000C2F61">
    <w:pPr>
      <w:pStyle w:val="Encabezado"/>
      <w:jc w:val="right"/>
    </w:pPr>
  </w:p>
  <w:p w14:paraId="04E9EA4A" w14:textId="77777777" w:rsidR="000C2F61" w:rsidRDefault="000C2F61" w:rsidP="000C2F61">
    <w:pPr>
      <w:pStyle w:val="Encabezado"/>
      <w:jc w:val="right"/>
    </w:pPr>
  </w:p>
  <w:p w14:paraId="1CCDD07B" w14:textId="77777777" w:rsidR="000C2F61" w:rsidRDefault="000C2F61" w:rsidP="000C2F61">
    <w:pPr>
      <w:pStyle w:val="Encabezado"/>
      <w:jc w:val="right"/>
    </w:pPr>
  </w:p>
  <w:p w14:paraId="71211920" w14:textId="77777777" w:rsidR="000C2F61" w:rsidRDefault="000C2F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F4"/>
    <w:rsid w:val="00044E1B"/>
    <w:rsid w:val="000C2F61"/>
    <w:rsid w:val="005F56C4"/>
    <w:rsid w:val="00663E13"/>
    <w:rsid w:val="007D72A2"/>
    <w:rsid w:val="009C3182"/>
    <w:rsid w:val="00AE0C75"/>
    <w:rsid w:val="00B27AF4"/>
    <w:rsid w:val="00B34975"/>
    <w:rsid w:val="00E06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134FA"/>
  <w15:chartTrackingRefBased/>
  <w15:docId w15:val="{B9B7C547-834A-403A-9877-86A1D7CB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2F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2F61"/>
  </w:style>
  <w:style w:type="paragraph" w:styleId="Piedepgina">
    <w:name w:val="footer"/>
    <w:basedOn w:val="Normal"/>
    <w:link w:val="PiedepginaCar"/>
    <w:uiPriority w:val="99"/>
    <w:unhideWhenUsed/>
    <w:rsid w:val="000C2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122</Words>
  <Characters>673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CEDAI - INAIP Yucatan 2023</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Asuntos Jurídicos  y Plenarios</dc:creator>
  <cp:keywords/>
  <dc:description/>
  <cp:lastModifiedBy>Dirección de Asuntos Jurídicos  y Plenarios</cp:lastModifiedBy>
  <cp:revision>2</cp:revision>
  <cp:lastPrinted>2023-05-12T21:23:00Z</cp:lastPrinted>
  <dcterms:created xsi:type="dcterms:W3CDTF">2023-05-12T20:55:00Z</dcterms:created>
  <dcterms:modified xsi:type="dcterms:W3CDTF">2023-05-12T21:46:00Z</dcterms:modified>
</cp:coreProperties>
</file>