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D9" w:rsidRDefault="004356D9" w:rsidP="004356D9">
      <w:pPr>
        <w:jc w:val="center"/>
        <w:rPr>
          <w:rFonts w:ascii="Calibri Light" w:hAnsi="Calibri Light" w:cs="Calibri Light"/>
          <w:b/>
        </w:rPr>
      </w:pPr>
    </w:p>
    <w:p w:rsidR="004356D9" w:rsidRPr="004356D9" w:rsidRDefault="004356D9" w:rsidP="004356D9">
      <w:pPr>
        <w:jc w:val="center"/>
        <w:rPr>
          <w:rFonts w:ascii="Calibri Light" w:hAnsi="Calibri Light" w:cs="Calibri Light"/>
          <w:b/>
          <w:sz w:val="36"/>
          <w:szCs w:val="36"/>
        </w:rPr>
      </w:pPr>
      <w:r w:rsidRPr="004356D9">
        <w:rPr>
          <w:rFonts w:ascii="Calibri Light" w:hAnsi="Calibri Light" w:cs="Calibri Light"/>
          <w:b/>
          <w:sz w:val="36"/>
          <w:szCs w:val="36"/>
        </w:rPr>
        <w:t>Minuta de la primera reunión de trabajo de los secretariados técnicos estatal y municipal</w:t>
      </w:r>
    </w:p>
    <w:p w:rsidR="004356D9" w:rsidRPr="004356D9" w:rsidRDefault="004356D9" w:rsidP="004356D9">
      <w:pPr>
        <w:spacing w:after="0" w:line="240" w:lineRule="auto"/>
        <w:rPr>
          <w:rFonts w:ascii="Calibri Light" w:hAnsi="Calibri Light" w:cs="Calibri Light"/>
          <w:b/>
          <w:color w:val="000000" w:themeColor="text1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4864"/>
      </w:tblGrid>
      <w:tr w:rsidR="004356D9" w:rsidRPr="00E46DF9" w:rsidTr="004356D9">
        <w:tc>
          <w:tcPr>
            <w:tcW w:w="8828" w:type="dxa"/>
            <w:gridSpan w:val="2"/>
            <w:shd w:val="clear" w:color="auto" w:fill="C2D69B" w:themeFill="accent3" w:themeFillTint="99"/>
          </w:tcPr>
          <w:p w:rsidR="004356D9" w:rsidRPr="00E46DF9" w:rsidRDefault="004356D9" w:rsidP="004E62F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</w:pPr>
            <w:r w:rsidRPr="00E46DF9"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  <w:t>INFORMACIÓN GENERAL</w:t>
            </w:r>
          </w:p>
        </w:tc>
      </w:tr>
      <w:tr w:rsidR="004356D9" w:rsidRPr="00E46DF9" w:rsidTr="004356D9">
        <w:tc>
          <w:tcPr>
            <w:tcW w:w="3964" w:type="dxa"/>
          </w:tcPr>
          <w:p w:rsidR="004356D9" w:rsidRPr="00E46DF9" w:rsidRDefault="004356D9" w:rsidP="004E62FF">
            <w:pPr>
              <w:spacing w:after="0" w:line="240" w:lineRule="auto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 w:rsidRPr="00E46DF9"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 xml:space="preserve">Fecha: </w:t>
            </w: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29 de abril de 2021.</w:t>
            </w:r>
          </w:p>
        </w:tc>
        <w:tc>
          <w:tcPr>
            <w:tcW w:w="4864" w:type="dxa"/>
          </w:tcPr>
          <w:p w:rsidR="004356D9" w:rsidRPr="00E46DF9" w:rsidRDefault="004356D9" w:rsidP="004356D9">
            <w:pPr>
              <w:spacing w:after="0" w:line="240" w:lineRule="auto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 w:rsidRPr="00E46DF9"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 xml:space="preserve">Hora: </w:t>
            </w: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11:00 h</w:t>
            </w:r>
            <w:r w:rsidRPr="00E46DF9"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oras.</w:t>
            </w:r>
          </w:p>
        </w:tc>
      </w:tr>
      <w:tr w:rsidR="004356D9" w:rsidRPr="00E46DF9" w:rsidTr="004356D9">
        <w:trPr>
          <w:trHeight w:val="130"/>
        </w:trPr>
        <w:tc>
          <w:tcPr>
            <w:tcW w:w="8828" w:type="dxa"/>
            <w:gridSpan w:val="2"/>
          </w:tcPr>
          <w:p w:rsidR="004356D9" w:rsidRPr="00E46DF9" w:rsidRDefault="004356D9" w:rsidP="004E62FF">
            <w:pPr>
              <w:spacing w:after="0" w:line="240" w:lineRule="auto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Reunión de trabajo virtual a través de la Plataforma de Videoconferencia TELMEX.</w:t>
            </w:r>
          </w:p>
        </w:tc>
      </w:tr>
    </w:tbl>
    <w:p w:rsidR="004356D9" w:rsidRPr="00E46DF9" w:rsidRDefault="004356D9" w:rsidP="004356D9">
      <w:pPr>
        <w:spacing w:after="0" w:line="240" w:lineRule="auto"/>
        <w:rPr>
          <w:rFonts w:ascii="Calibri Light" w:hAnsi="Calibri Light" w:cs="Calibri Light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3664"/>
        <w:gridCol w:w="2216"/>
      </w:tblGrid>
      <w:tr w:rsidR="004356D9" w:rsidRPr="00E46DF9" w:rsidTr="004356D9">
        <w:tc>
          <w:tcPr>
            <w:tcW w:w="8828" w:type="dxa"/>
            <w:gridSpan w:val="3"/>
            <w:shd w:val="clear" w:color="auto" w:fill="C2D69B" w:themeFill="accent3" w:themeFillTint="99"/>
          </w:tcPr>
          <w:p w:rsidR="004356D9" w:rsidRPr="00E46DF9" w:rsidRDefault="004356D9" w:rsidP="004E62F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</w:pPr>
            <w:r w:rsidRPr="00E46DF9"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  <w:t>PARTICIPANTES</w:t>
            </w:r>
          </w:p>
        </w:tc>
      </w:tr>
      <w:tr w:rsidR="004356D9" w:rsidRPr="00E46DF9" w:rsidTr="004356D9">
        <w:tc>
          <w:tcPr>
            <w:tcW w:w="2948" w:type="dxa"/>
            <w:shd w:val="clear" w:color="auto" w:fill="C2D69B" w:themeFill="accent3" w:themeFillTint="99"/>
          </w:tcPr>
          <w:p w:rsidR="004356D9" w:rsidRPr="00E46DF9" w:rsidRDefault="004356D9" w:rsidP="004E62F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  <w:t>Nombre</w:t>
            </w:r>
          </w:p>
        </w:tc>
        <w:tc>
          <w:tcPr>
            <w:tcW w:w="3664" w:type="dxa"/>
            <w:shd w:val="clear" w:color="auto" w:fill="C2D69B" w:themeFill="accent3" w:themeFillTint="99"/>
          </w:tcPr>
          <w:p w:rsidR="004356D9" w:rsidRPr="00E46DF9" w:rsidRDefault="004356D9" w:rsidP="004E62F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</w:pPr>
            <w:r w:rsidRPr="00E46DF9"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  <w:t>Cargo</w:t>
            </w:r>
          </w:p>
        </w:tc>
        <w:tc>
          <w:tcPr>
            <w:tcW w:w="2216" w:type="dxa"/>
            <w:shd w:val="clear" w:color="auto" w:fill="C2D69B" w:themeFill="accent3" w:themeFillTint="99"/>
          </w:tcPr>
          <w:p w:rsidR="004356D9" w:rsidRPr="00E46DF9" w:rsidRDefault="004356D9" w:rsidP="004E62F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</w:pPr>
            <w:r w:rsidRPr="00E46DF9"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  <w:t>Firma</w:t>
            </w:r>
          </w:p>
        </w:tc>
      </w:tr>
      <w:tr w:rsidR="004356D9" w:rsidRPr="00E46DF9" w:rsidTr="004E62FF">
        <w:trPr>
          <w:trHeight w:val="615"/>
        </w:trPr>
        <w:tc>
          <w:tcPr>
            <w:tcW w:w="2948" w:type="dxa"/>
          </w:tcPr>
          <w:p w:rsidR="004356D9" w:rsidRPr="00E46DF9" w:rsidRDefault="004356D9" w:rsidP="004E62FF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Ángel Rodríguez Aquino</w:t>
            </w:r>
          </w:p>
        </w:tc>
        <w:tc>
          <w:tcPr>
            <w:tcW w:w="3664" w:type="dxa"/>
          </w:tcPr>
          <w:p w:rsidR="004356D9" w:rsidRPr="00E46DF9" w:rsidRDefault="004356D9" w:rsidP="004E62FF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Representante de la sociedad civil ante el secretariado técnico estatal.</w:t>
            </w:r>
          </w:p>
        </w:tc>
        <w:tc>
          <w:tcPr>
            <w:tcW w:w="2216" w:type="dxa"/>
          </w:tcPr>
          <w:p w:rsidR="004356D9" w:rsidRPr="00E46DF9" w:rsidRDefault="008D6B4E" w:rsidP="004E62FF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Rúbrica.</w:t>
            </w:r>
          </w:p>
        </w:tc>
      </w:tr>
      <w:tr w:rsidR="004356D9" w:rsidRPr="00E46DF9" w:rsidTr="004E62FF">
        <w:trPr>
          <w:trHeight w:val="615"/>
        </w:trPr>
        <w:tc>
          <w:tcPr>
            <w:tcW w:w="2948" w:type="dxa"/>
          </w:tcPr>
          <w:p w:rsidR="004356D9" w:rsidRPr="00E46DF9" w:rsidRDefault="004356D9" w:rsidP="004E62FF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Jorge Ernesto Fabila Flores</w:t>
            </w:r>
          </w:p>
        </w:tc>
        <w:tc>
          <w:tcPr>
            <w:tcW w:w="3664" w:type="dxa"/>
          </w:tcPr>
          <w:p w:rsidR="004356D9" w:rsidRPr="00E46DF9" w:rsidRDefault="004356D9" w:rsidP="004E62FF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Representante de la sociedad civil ante el secretariado técnico municipal.</w:t>
            </w:r>
          </w:p>
        </w:tc>
        <w:tc>
          <w:tcPr>
            <w:tcW w:w="2216" w:type="dxa"/>
          </w:tcPr>
          <w:p w:rsidR="004356D9" w:rsidRPr="00E46DF9" w:rsidRDefault="008D6B4E" w:rsidP="004E62FF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Rúbrica.</w:t>
            </w:r>
          </w:p>
        </w:tc>
      </w:tr>
      <w:tr w:rsidR="004356D9" w:rsidRPr="00E46DF9" w:rsidTr="004E62FF">
        <w:trPr>
          <w:trHeight w:val="615"/>
        </w:trPr>
        <w:tc>
          <w:tcPr>
            <w:tcW w:w="2948" w:type="dxa"/>
          </w:tcPr>
          <w:p w:rsidR="004356D9" w:rsidRPr="00E46DF9" w:rsidRDefault="004356D9" w:rsidP="004E62FF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Dr. Carlos Fernando Pavón Durán.</w:t>
            </w:r>
          </w:p>
        </w:tc>
        <w:tc>
          <w:tcPr>
            <w:tcW w:w="3664" w:type="dxa"/>
          </w:tcPr>
          <w:p w:rsidR="004356D9" w:rsidRPr="00E46DF9" w:rsidRDefault="004356D9" w:rsidP="004E62FF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Representante del Inaip Yucatán.</w:t>
            </w:r>
          </w:p>
        </w:tc>
        <w:tc>
          <w:tcPr>
            <w:tcW w:w="2216" w:type="dxa"/>
          </w:tcPr>
          <w:p w:rsidR="004356D9" w:rsidRPr="00E46DF9" w:rsidRDefault="008D6B4E" w:rsidP="004E62FF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Rúbrica.</w:t>
            </w:r>
          </w:p>
        </w:tc>
      </w:tr>
      <w:tr w:rsidR="004356D9" w:rsidRPr="00E46DF9" w:rsidTr="004E62FF">
        <w:trPr>
          <w:trHeight w:val="615"/>
        </w:trPr>
        <w:tc>
          <w:tcPr>
            <w:tcW w:w="2948" w:type="dxa"/>
          </w:tcPr>
          <w:p w:rsidR="004356D9" w:rsidRPr="00E46DF9" w:rsidRDefault="004356D9" w:rsidP="004E62FF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Lic. Sergio Arsenio Vermont Gamboa</w:t>
            </w:r>
          </w:p>
        </w:tc>
        <w:tc>
          <w:tcPr>
            <w:tcW w:w="3664" w:type="dxa"/>
          </w:tcPr>
          <w:p w:rsidR="004356D9" w:rsidRPr="00E46DF9" w:rsidRDefault="004356D9" w:rsidP="004E62FF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Suplente por parte del Inaip Yucatán.</w:t>
            </w:r>
          </w:p>
        </w:tc>
        <w:tc>
          <w:tcPr>
            <w:tcW w:w="2216" w:type="dxa"/>
          </w:tcPr>
          <w:p w:rsidR="004356D9" w:rsidRPr="00E46DF9" w:rsidRDefault="008D6B4E" w:rsidP="004E62FF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Rúbrica.</w:t>
            </w:r>
          </w:p>
        </w:tc>
      </w:tr>
      <w:tr w:rsidR="004356D9" w:rsidRPr="00E46DF9" w:rsidTr="004E62FF">
        <w:trPr>
          <w:trHeight w:val="615"/>
        </w:trPr>
        <w:tc>
          <w:tcPr>
            <w:tcW w:w="2948" w:type="dxa"/>
          </w:tcPr>
          <w:p w:rsidR="004356D9" w:rsidRPr="00E46DF9" w:rsidRDefault="004356D9" w:rsidP="004E62FF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Abg. Raúl Alberto Medina Cardeña.</w:t>
            </w:r>
          </w:p>
        </w:tc>
        <w:tc>
          <w:tcPr>
            <w:tcW w:w="3664" w:type="dxa"/>
          </w:tcPr>
          <w:p w:rsidR="004356D9" w:rsidRPr="00E46DF9" w:rsidRDefault="004356D9" w:rsidP="004E62FF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Representante del gobierno estatal.</w:t>
            </w:r>
          </w:p>
        </w:tc>
        <w:tc>
          <w:tcPr>
            <w:tcW w:w="2216" w:type="dxa"/>
          </w:tcPr>
          <w:p w:rsidR="004356D9" w:rsidRPr="00E46DF9" w:rsidRDefault="008D6B4E" w:rsidP="004E62FF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Rúbrica.</w:t>
            </w:r>
          </w:p>
        </w:tc>
      </w:tr>
      <w:tr w:rsidR="004356D9" w:rsidRPr="00E46DF9" w:rsidTr="004E62FF">
        <w:trPr>
          <w:trHeight w:val="615"/>
        </w:trPr>
        <w:tc>
          <w:tcPr>
            <w:tcW w:w="2948" w:type="dxa"/>
          </w:tcPr>
          <w:p w:rsidR="004356D9" w:rsidRPr="00E46DF9" w:rsidRDefault="004356D9" w:rsidP="004E62FF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Mtro. Pablo Loría Vázquez.</w:t>
            </w:r>
          </w:p>
        </w:tc>
        <w:tc>
          <w:tcPr>
            <w:tcW w:w="3664" w:type="dxa"/>
          </w:tcPr>
          <w:p w:rsidR="004356D9" w:rsidRPr="00E46DF9" w:rsidRDefault="004356D9" w:rsidP="004E62FF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Representante del Ayuntamiento de Mérida.</w:t>
            </w:r>
          </w:p>
        </w:tc>
        <w:tc>
          <w:tcPr>
            <w:tcW w:w="2216" w:type="dxa"/>
          </w:tcPr>
          <w:p w:rsidR="004356D9" w:rsidRPr="00E46DF9" w:rsidRDefault="008D6B4E" w:rsidP="004E62FF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Rúbrica.</w:t>
            </w:r>
          </w:p>
        </w:tc>
      </w:tr>
    </w:tbl>
    <w:p w:rsidR="004356D9" w:rsidRDefault="004356D9" w:rsidP="004356D9">
      <w:pPr>
        <w:spacing w:after="0" w:line="240" w:lineRule="auto"/>
        <w:rPr>
          <w:rFonts w:ascii="Calibri Light" w:hAnsi="Calibri Light" w:cs="Calibri Light"/>
          <w:color w:val="000000" w:themeColor="text1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56D9" w:rsidRPr="004356D9" w:rsidTr="004356D9">
        <w:tc>
          <w:tcPr>
            <w:tcW w:w="8828" w:type="dxa"/>
            <w:shd w:val="clear" w:color="auto" w:fill="C2D69B" w:themeFill="accent3" w:themeFillTint="99"/>
          </w:tcPr>
          <w:p w:rsidR="004356D9" w:rsidRPr="004356D9" w:rsidRDefault="004356D9" w:rsidP="006D4E58">
            <w:pPr>
              <w:jc w:val="both"/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</w:pPr>
            <w:r w:rsidRPr="004356D9"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  <w:t>Asuntos a tratar en la reunión de trabajo:</w:t>
            </w:r>
          </w:p>
        </w:tc>
      </w:tr>
      <w:tr w:rsidR="004356D9" w:rsidTr="004356D9">
        <w:tc>
          <w:tcPr>
            <w:tcW w:w="8828" w:type="dxa"/>
          </w:tcPr>
          <w:p w:rsidR="001037C9" w:rsidRPr="001037C9" w:rsidRDefault="001037C9" w:rsidP="006D4E58">
            <w:pPr>
              <w:numPr>
                <w:ilvl w:val="0"/>
                <w:numId w:val="25"/>
              </w:numPr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 w:rsidRPr="001037C9"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Mecanismo de gobernanza que regirá la actuación de los secretariados técnicos;</w:t>
            </w:r>
          </w:p>
          <w:p w:rsidR="001037C9" w:rsidRPr="001037C9" w:rsidRDefault="001037C9" w:rsidP="006D4E58">
            <w:pPr>
              <w:numPr>
                <w:ilvl w:val="0"/>
                <w:numId w:val="25"/>
              </w:numPr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 w:rsidRPr="001037C9"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Agenda anual de trabajo de los secretariados;</w:t>
            </w:r>
          </w:p>
          <w:p w:rsidR="001037C9" w:rsidRPr="001037C9" w:rsidRDefault="001037C9" w:rsidP="006D4E58">
            <w:pPr>
              <w:numPr>
                <w:ilvl w:val="0"/>
                <w:numId w:val="25"/>
              </w:numPr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 w:rsidRPr="001037C9"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Designación de las personas facilitadoras; y</w:t>
            </w:r>
          </w:p>
          <w:p w:rsidR="004356D9" w:rsidRPr="001037C9" w:rsidRDefault="001037C9" w:rsidP="006D4E58">
            <w:pPr>
              <w:numPr>
                <w:ilvl w:val="0"/>
                <w:numId w:val="25"/>
              </w:numPr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 w:rsidRPr="001037C9"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Propuesta de un curso de capacitación para integrantes de los secretariados técnicos, por parte del INAI.</w:t>
            </w:r>
          </w:p>
        </w:tc>
      </w:tr>
    </w:tbl>
    <w:p w:rsidR="004356D9" w:rsidRDefault="004356D9" w:rsidP="004356D9">
      <w:pPr>
        <w:spacing w:after="0" w:line="240" w:lineRule="auto"/>
        <w:rPr>
          <w:rFonts w:ascii="Calibri Light" w:hAnsi="Calibri Light" w:cs="Calibri Light"/>
          <w:color w:val="000000" w:themeColor="text1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56D9" w:rsidRPr="004356D9" w:rsidTr="006D4E58">
        <w:trPr>
          <w:tblHeader/>
        </w:trPr>
        <w:tc>
          <w:tcPr>
            <w:tcW w:w="8828" w:type="dxa"/>
            <w:shd w:val="clear" w:color="auto" w:fill="C2D69B" w:themeFill="accent3" w:themeFillTint="99"/>
          </w:tcPr>
          <w:p w:rsidR="004356D9" w:rsidRPr="004356D9" w:rsidRDefault="004356D9" w:rsidP="006D4E58">
            <w:pPr>
              <w:jc w:val="both"/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</w:pPr>
            <w:r w:rsidRPr="004356D9"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  <w:t>Acuerdos tomados:</w:t>
            </w:r>
          </w:p>
        </w:tc>
      </w:tr>
      <w:tr w:rsidR="004356D9" w:rsidTr="004E62FF">
        <w:tc>
          <w:tcPr>
            <w:tcW w:w="8828" w:type="dxa"/>
          </w:tcPr>
          <w:p w:rsidR="004356D9" w:rsidRDefault="006D4E58" w:rsidP="006D4E58">
            <w:pPr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 xml:space="preserve">1. </w:t>
            </w:r>
            <w:r w:rsidR="001037C9"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 xml:space="preserve">Respecto al primer asunto en cartera, </w:t>
            </w: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 xml:space="preserve">el lunes 03 de mayo se recibirán las propuestas por parte de los representantes, del </w:t>
            </w:r>
            <w:r w:rsidRPr="006D4E58"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 xml:space="preserve">mecanismo de gobernanza que regirá </w:t>
            </w: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la actuación de los secretariados técnicos.</w:t>
            </w:r>
          </w:p>
        </w:tc>
      </w:tr>
      <w:tr w:rsidR="004356D9" w:rsidTr="004E62FF">
        <w:tc>
          <w:tcPr>
            <w:tcW w:w="8828" w:type="dxa"/>
          </w:tcPr>
          <w:p w:rsidR="004356D9" w:rsidRDefault="006D4E58" w:rsidP="006D4E58">
            <w:pPr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lastRenderedPageBreak/>
              <w:t>2. En lo tocante al segundo punto, el miércoles 05 de mayo el Inaip Yucatán remitirá la propuesta de agenda anual de trabajo para los secretariados técnicos estatal y municipal.</w:t>
            </w:r>
          </w:p>
        </w:tc>
      </w:tr>
      <w:tr w:rsidR="004356D9" w:rsidTr="004E62FF">
        <w:tc>
          <w:tcPr>
            <w:tcW w:w="8828" w:type="dxa"/>
          </w:tcPr>
          <w:p w:rsidR="004356D9" w:rsidRDefault="006D4E58" w:rsidP="006D4E58">
            <w:pPr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3. El viernes 07 de mayo</w:t>
            </w:r>
            <w:r w:rsidR="008D6B4E"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 xml:space="preserve"> en punto de las 10:00 AM</w:t>
            </w: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 xml:space="preserve">, se impartirá el </w:t>
            </w:r>
            <w:r w:rsidRPr="006D4E58"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 xml:space="preserve">curso de capacitación </w:t>
            </w: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a los</w:t>
            </w:r>
            <w:r w:rsidRPr="006D4E58"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 xml:space="preserve"> integrantes de los secretariados técnicos, por parte del INAI.</w:t>
            </w:r>
          </w:p>
        </w:tc>
      </w:tr>
      <w:tr w:rsidR="001037C9" w:rsidTr="004E62FF">
        <w:tc>
          <w:tcPr>
            <w:tcW w:w="8828" w:type="dxa"/>
          </w:tcPr>
          <w:p w:rsidR="001037C9" w:rsidRPr="006D4E58" w:rsidRDefault="006D4E58" w:rsidP="008D6B4E">
            <w:pPr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4.</w:t>
            </w:r>
            <w:r w:rsidRPr="006D4E58"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 xml:space="preserve"> </w:t>
            </w:r>
            <w:r w:rsidR="008D6B4E"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 xml:space="preserve">A partir del jueves 13 de mayo, todas las reuniones de los secretariados técnicos estatal y municipal, </w:t>
            </w:r>
            <w:r w:rsidR="00BC0B3E"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serán los jueves a las 11:00 AM, hasta en</w:t>
            </w:r>
            <w:r w:rsidR="007C1584"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 xml:space="preserve"> tanto se designe a los facilitadores, bajo el entendido, que una vez que estén completos los mecanismos, entonces las reuniones podrían correr en diferentes ámbitos.</w:t>
            </w:r>
          </w:p>
        </w:tc>
      </w:tr>
      <w:tr w:rsidR="005D259E" w:rsidTr="004E62FF">
        <w:tc>
          <w:tcPr>
            <w:tcW w:w="8828" w:type="dxa"/>
          </w:tcPr>
          <w:p w:rsidR="005D259E" w:rsidRPr="005D259E" w:rsidRDefault="005D259E" w:rsidP="005D259E">
            <w:pPr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5. En cuanto al asunto número 3, se acordó primero definir el mecanismo de gobernanza de los secretariados técnicos y posteriormente se entrará a</w:t>
            </w:r>
            <w:bookmarkStart w:id="0" w:name="_GoBack"/>
            <w:bookmarkEnd w:id="0"/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  <w:t>l estudio de cómo se designará a las personas facilitadoras.</w:t>
            </w:r>
          </w:p>
        </w:tc>
      </w:tr>
    </w:tbl>
    <w:p w:rsidR="004356D9" w:rsidRDefault="004356D9" w:rsidP="004356D9">
      <w:pPr>
        <w:spacing w:after="0" w:line="240" w:lineRule="auto"/>
        <w:rPr>
          <w:rFonts w:ascii="Calibri Light" w:hAnsi="Calibri Light" w:cs="Calibri Light"/>
          <w:color w:val="000000" w:themeColor="text1"/>
          <w:sz w:val="26"/>
          <w:szCs w:val="26"/>
        </w:rPr>
      </w:pPr>
    </w:p>
    <w:sectPr w:rsidR="004356D9" w:rsidSect="00ED49C8">
      <w:headerReference w:type="default" r:id="rId7"/>
      <w:footerReference w:type="default" r:id="rId8"/>
      <w:pgSz w:w="12240" w:h="15840" w:code="1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E4" w:rsidRDefault="00334CE4" w:rsidP="00E64893">
      <w:pPr>
        <w:spacing w:after="0" w:line="240" w:lineRule="auto"/>
      </w:pPr>
      <w:r>
        <w:separator/>
      </w:r>
    </w:p>
  </w:endnote>
  <w:endnote w:type="continuationSeparator" w:id="0">
    <w:p w:rsidR="00334CE4" w:rsidRDefault="00334CE4" w:rsidP="00E6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17966"/>
      <w:docPartObj>
        <w:docPartGallery w:val="Page Numbers (Bottom of Page)"/>
        <w:docPartUnique/>
      </w:docPartObj>
    </w:sdtPr>
    <w:sdtEndPr/>
    <w:sdtContent>
      <w:p w:rsidR="00CF7CB5" w:rsidRDefault="00CF7CB5" w:rsidP="00CF7C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584" w:rsidRPr="007C1584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E4" w:rsidRDefault="00334CE4" w:rsidP="00E64893">
      <w:pPr>
        <w:spacing w:after="0" w:line="240" w:lineRule="auto"/>
      </w:pPr>
      <w:r>
        <w:separator/>
      </w:r>
    </w:p>
  </w:footnote>
  <w:footnote w:type="continuationSeparator" w:id="0">
    <w:p w:rsidR="00334CE4" w:rsidRDefault="00334CE4" w:rsidP="00E6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9A" w:rsidRDefault="00FC24B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4358640</wp:posOffset>
          </wp:positionH>
          <wp:positionV relativeFrom="paragraph">
            <wp:posOffset>-350520</wp:posOffset>
          </wp:positionV>
          <wp:extent cx="1197677" cy="93600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77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-445770</wp:posOffset>
          </wp:positionV>
          <wp:extent cx="2138311" cy="1224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abierto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311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739A" w:rsidRDefault="00CE739A">
    <w:pPr>
      <w:pStyle w:val="Encabezado"/>
    </w:pPr>
  </w:p>
  <w:p w:rsidR="00CE739A" w:rsidRDefault="00CE739A">
    <w:pPr>
      <w:pStyle w:val="Encabezado"/>
    </w:pPr>
  </w:p>
  <w:p w:rsidR="00CE739A" w:rsidRDefault="00CE73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278"/>
    <w:multiLevelType w:val="hybridMultilevel"/>
    <w:tmpl w:val="552CDADA"/>
    <w:lvl w:ilvl="0" w:tplc="AF0AC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13F3"/>
    <w:multiLevelType w:val="hybridMultilevel"/>
    <w:tmpl w:val="BB0688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4B3E"/>
    <w:multiLevelType w:val="hybridMultilevel"/>
    <w:tmpl w:val="A4F494F6"/>
    <w:lvl w:ilvl="0" w:tplc="080A0013">
      <w:start w:val="1"/>
      <w:numFmt w:val="upperRoman"/>
      <w:lvlText w:val="%1."/>
      <w:lvlJc w:val="righ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7D449BA"/>
    <w:multiLevelType w:val="hybridMultilevel"/>
    <w:tmpl w:val="40C2AD4A"/>
    <w:lvl w:ilvl="0" w:tplc="080A0017">
      <w:start w:val="1"/>
      <w:numFmt w:val="lowerLetter"/>
      <w:lvlText w:val="%1)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7D73D9B"/>
    <w:multiLevelType w:val="hybridMultilevel"/>
    <w:tmpl w:val="BB0688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9257A"/>
    <w:multiLevelType w:val="hybridMultilevel"/>
    <w:tmpl w:val="5DEC8D24"/>
    <w:lvl w:ilvl="0" w:tplc="6AF23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0183F"/>
    <w:multiLevelType w:val="hybridMultilevel"/>
    <w:tmpl w:val="D6343D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959E3"/>
    <w:multiLevelType w:val="hybridMultilevel"/>
    <w:tmpl w:val="9E34988C"/>
    <w:lvl w:ilvl="0" w:tplc="2D6AB8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45F2E"/>
    <w:multiLevelType w:val="hybridMultilevel"/>
    <w:tmpl w:val="37AC3E8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7C7A7A"/>
    <w:multiLevelType w:val="hybridMultilevel"/>
    <w:tmpl w:val="1F985698"/>
    <w:lvl w:ilvl="0" w:tplc="60AC1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86306"/>
    <w:multiLevelType w:val="hybridMultilevel"/>
    <w:tmpl w:val="442824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83E6B"/>
    <w:multiLevelType w:val="hybridMultilevel"/>
    <w:tmpl w:val="5C8273BE"/>
    <w:lvl w:ilvl="0" w:tplc="A5F2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BE7A70"/>
    <w:multiLevelType w:val="hybridMultilevel"/>
    <w:tmpl w:val="D8CC8D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D09E0"/>
    <w:multiLevelType w:val="hybridMultilevel"/>
    <w:tmpl w:val="026058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56B57"/>
    <w:multiLevelType w:val="hybridMultilevel"/>
    <w:tmpl w:val="686206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76DFC"/>
    <w:multiLevelType w:val="hybridMultilevel"/>
    <w:tmpl w:val="6EFE64C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9462D"/>
    <w:multiLevelType w:val="hybridMultilevel"/>
    <w:tmpl w:val="33A0F21C"/>
    <w:lvl w:ilvl="0" w:tplc="0CB00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7DBC"/>
    <w:multiLevelType w:val="hybridMultilevel"/>
    <w:tmpl w:val="3F504426"/>
    <w:lvl w:ilvl="0" w:tplc="10223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E4B0B"/>
    <w:multiLevelType w:val="hybridMultilevel"/>
    <w:tmpl w:val="8BAE1664"/>
    <w:lvl w:ilvl="0" w:tplc="D174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F2FD4"/>
    <w:multiLevelType w:val="hybridMultilevel"/>
    <w:tmpl w:val="17C40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6613C"/>
    <w:multiLevelType w:val="hybridMultilevel"/>
    <w:tmpl w:val="236C70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66AE"/>
    <w:multiLevelType w:val="multilevel"/>
    <w:tmpl w:val="57C21DC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B6E25BC"/>
    <w:multiLevelType w:val="hybridMultilevel"/>
    <w:tmpl w:val="BC3CED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61E34"/>
    <w:multiLevelType w:val="hybridMultilevel"/>
    <w:tmpl w:val="E0281DDA"/>
    <w:lvl w:ilvl="0" w:tplc="AB185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54160E"/>
    <w:multiLevelType w:val="hybridMultilevel"/>
    <w:tmpl w:val="77E6180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9E141D"/>
    <w:multiLevelType w:val="hybridMultilevel"/>
    <w:tmpl w:val="9D7E7D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2"/>
  </w:num>
  <w:num w:numId="4">
    <w:abstractNumId w:val="3"/>
  </w:num>
  <w:num w:numId="5">
    <w:abstractNumId w:val="14"/>
  </w:num>
  <w:num w:numId="6">
    <w:abstractNumId w:val="15"/>
  </w:num>
  <w:num w:numId="7">
    <w:abstractNumId w:val="24"/>
  </w:num>
  <w:num w:numId="8">
    <w:abstractNumId w:val="7"/>
  </w:num>
  <w:num w:numId="9">
    <w:abstractNumId w:val="5"/>
  </w:num>
  <w:num w:numId="10">
    <w:abstractNumId w:val="9"/>
  </w:num>
  <w:num w:numId="11">
    <w:abstractNumId w:val="18"/>
  </w:num>
  <w:num w:numId="12">
    <w:abstractNumId w:val="23"/>
  </w:num>
  <w:num w:numId="13">
    <w:abstractNumId w:val="17"/>
  </w:num>
  <w:num w:numId="14">
    <w:abstractNumId w:val="11"/>
  </w:num>
  <w:num w:numId="15">
    <w:abstractNumId w:val="0"/>
  </w:num>
  <w:num w:numId="16">
    <w:abstractNumId w:val="13"/>
  </w:num>
  <w:num w:numId="17">
    <w:abstractNumId w:val="16"/>
  </w:num>
  <w:num w:numId="18">
    <w:abstractNumId w:val="12"/>
  </w:num>
  <w:num w:numId="19">
    <w:abstractNumId w:val="22"/>
  </w:num>
  <w:num w:numId="20">
    <w:abstractNumId w:val="10"/>
  </w:num>
  <w:num w:numId="21">
    <w:abstractNumId w:val="21"/>
  </w:num>
  <w:num w:numId="22">
    <w:abstractNumId w:val="20"/>
  </w:num>
  <w:num w:numId="23">
    <w:abstractNumId w:val="19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69"/>
    <w:rsid w:val="00002582"/>
    <w:rsid w:val="00015BD2"/>
    <w:rsid w:val="00016750"/>
    <w:rsid w:val="0002660F"/>
    <w:rsid w:val="00052A4C"/>
    <w:rsid w:val="0008436D"/>
    <w:rsid w:val="000A3B68"/>
    <w:rsid w:val="000B243E"/>
    <w:rsid w:val="000D35F7"/>
    <w:rsid w:val="000E5D3C"/>
    <w:rsid w:val="001037C9"/>
    <w:rsid w:val="00117C95"/>
    <w:rsid w:val="00132DAD"/>
    <w:rsid w:val="00165794"/>
    <w:rsid w:val="001A173E"/>
    <w:rsid w:val="001A4C4D"/>
    <w:rsid w:val="00250677"/>
    <w:rsid w:val="0025235E"/>
    <w:rsid w:val="002619A3"/>
    <w:rsid w:val="00261CE8"/>
    <w:rsid w:val="00285DC6"/>
    <w:rsid w:val="00286173"/>
    <w:rsid w:val="00287401"/>
    <w:rsid w:val="002B772E"/>
    <w:rsid w:val="002E0087"/>
    <w:rsid w:val="00303B0E"/>
    <w:rsid w:val="00305422"/>
    <w:rsid w:val="0031056E"/>
    <w:rsid w:val="00320A62"/>
    <w:rsid w:val="00334CE4"/>
    <w:rsid w:val="00346E69"/>
    <w:rsid w:val="00353E46"/>
    <w:rsid w:val="003A4648"/>
    <w:rsid w:val="003C11D7"/>
    <w:rsid w:val="003D5259"/>
    <w:rsid w:val="003E62E2"/>
    <w:rsid w:val="0041759C"/>
    <w:rsid w:val="004356D9"/>
    <w:rsid w:val="00490F34"/>
    <w:rsid w:val="004F61FA"/>
    <w:rsid w:val="004F6ABD"/>
    <w:rsid w:val="005010B2"/>
    <w:rsid w:val="00573282"/>
    <w:rsid w:val="005D259E"/>
    <w:rsid w:val="005D413C"/>
    <w:rsid w:val="005F4314"/>
    <w:rsid w:val="00624E94"/>
    <w:rsid w:val="00627D57"/>
    <w:rsid w:val="00670715"/>
    <w:rsid w:val="006C05C6"/>
    <w:rsid w:val="006C4BD2"/>
    <w:rsid w:val="006D4E58"/>
    <w:rsid w:val="006E72FB"/>
    <w:rsid w:val="00702F3D"/>
    <w:rsid w:val="00730353"/>
    <w:rsid w:val="00750C3E"/>
    <w:rsid w:val="007577AC"/>
    <w:rsid w:val="007A7B25"/>
    <w:rsid w:val="007C1584"/>
    <w:rsid w:val="007D4054"/>
    <w:rsid w:val="008320D2"/>
    <w:rsid w:val="008D6B4E"/>
    <w:rsid w:val="00905ACB"/>
    <w:rsid w:val="00936A91"/>
    <w:rsid w:val="009523DB"/>
    <w:rsid w:val="009729ED"/>
    <w:rsid w:val="009D7E27"/>
    <w:rsid w:val="009D7F61"/>
    <w:rsid w:val="009E2269"/>
    <w:rsid w:val="00A141AA"/>
    <w:rsid w:val="00A25419"/>
    <w:rsid w:val="00A355B1"/>
    <w:rsid w:val="00A40111"/>
    <w:rsid w:val="00A45565"/>
    <w:rsid w:val="00A536FC"/>
    <w:rsid w:val="00A53EEC"/>
    <w:rsid w:val="00AA07AF"/>
    <w:rsid w:val="00AC2909"/>
    <w:rsid w:val="00B02454"/>
    <w:rsid w:val="00B0305B"/>
    <w:rsid w:val="00B12318"/>
    <w:rsid w:val="00B23F30"/>
    <w:rsid w:val="00B2447C"/>
    <w:rsid w:val="00B403D8"/>
    <w:rsid w:val="00B46958"/>
    <w:rsid w:val="00B77761"/>
    <w:rsid w:val="00BC0B3E"/>
    <w:rsid w:val="00BC1F7C"/>
    <w:rsid w:val="00C33689"/>
    <w:rsid w:val="00C40C22"/>
    <w:rsid w:val="00C41276"/>
    <w:rsid w:val="00C70F41"/>
    <w:rsid w:val="00C84FEB"/>
    <w:rsid w:val="00CB04B2"/>
    <w:rsid w:val="00CB134F"/>
    <w:rsid w:val="00CB5E59"/>
    <w:rsid w:val="00CE739A"/>
    <w:rsid w:val="00CF7CB5"/>
    <w:rsid w:val="00D07AD4"/>
    <w:rsid w:val="00D17667"/>
    <w:rsid w:val="00D17675"/>
    <w:rsid w:val="00D248D3"/>
    <w:rsid w:val="00D2575C"/>
    <w:rsid w:val="00D34748"/>
    <w:rsid w:val="00D4582E"/>
    <w:rsid w:val="00DA784F"/>
    <w:rsid w:val="00DA7F0F"/>
    <w:rsid w:val="00DB2D35"/>
    <w:rsid w:val="00E05B28"/>
    <w:rsid w:val="00E12334"/>
    <w:rsid w:val="00E3648A"/>
    <w:rsid w:val="00E64893"/>
    <w:rsid w:val="00E9123D"/>
    <w:rsid w:val="00EB00F9"/>
    <w:rsid w:val="00EB269B"/>
    <w:rsid w:val="00ED49C8"/>
    <w:rsid w:val="00EE69D3"/>
    <w:rsid w:val="00F119E2"/>
    <w:rsid w:val="00F142A1"/>
    <w:rsid w:val="00F46A95"/>
    <w:rsid w:val="00F607DD"/>
    <w:rsid w:val="00F66347"/>
    <w:rsid w:val="00F8517A"/>
    <w:rsid w:val="00FA14AD"/>
    <w:rsid w:val="00F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8D627"/>
  <w15:docId w15:val="{42AC0D37-EEBB-4F84-8980-1FCA48FF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9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893"/>
  </w:style>
  <w:style w:type="paragraph" w:styleId="Piedepgina">
    <w:name w:val="footer"/>
    <w:basedOn w:val="Normal"/>
    <w:link w:val="Piedepgina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893"/>
  </w:style>
  <w:style w:type="paragraph" w:styleId="Textodeglobo">
    <w:name w:val="Balloon Text"/>
    <w:basedOn w:val="Normal"/>
    <w:link w:val="TextodegloboCar"/>
    <w:uiPriority w:val="99"/>
    <w:semiHidden/>
    <w:unhideWhenUsed/>
    <w:rsid w:val="00CE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39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C29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31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Planeacion</cp:lastModifiedBy>
  <cp:revision>5</cp:revision>
  <cp:lastPrinted>2021-04-21T13:55:00Z</cp:lastPrinted>
  <dcterms:created xsi:type="dcterms:W3CDTF">2021-04-29T22:40:00Z</dcterms:created>
  <dcterms:modified xsi:type="dcterms:W3CDTF">2021-05-03T15:55:00Z</dcterms:modified>
</cp:coreProperties>
</file>