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2E" w:rsidRDefault="0086272E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Pr="00B13174" w:rsidRDefault="00B13174" w:rsidP="00B13174">
      <w:pPr>
        <w:jc w:val="center"/>
        <w:rPr>
          <w:rFonts w:ascii="Arial" w:hAnsi="Arial" w:cs="Arial"/>
          <w:b/>
          <w:sz w:val="48"/>
          <w:szCs w:val="48"/>
        </w:rPr>
      </w:pPr>
      <w:r w:rsidRPr="00B13174">
        <w:rPr>
          <w:rFonts w:ascii="Arial" w:hAnsi="Arial" w:cs="Arial"/>
          <w:b/>
          <w:sz w:val="48"/>
          <w:szCs w:val="48"/>
        </w:rPr>
        <w:t>Diagnóstico de archivos</w:t>
      </w:r>
    </w:p>
    <w:p w:rsidR="00B13174" w:rsidRPr="00B13174" w:rsidRDefault="00B13174" w:rsidP="00B13174">
      <w:pPr>
        <w:jc w:val="center"/>
        <w:rPr>
          <w:rFonts w:ascii="Arial" w:hAnsi="Arial" w:cs="Arial"/>
          <w:b/>
          <w:sz w:val="48"/>
          <w:szCs w:val="48"/>
        </w:rPr>
      </w:pPr>
      <w:r w:rsidRPr="00B13174">
        <w:rPr>
          <w:rFonts w:ascii="Arial" w:hAnsi="Arial" w:cs="Arial"/>
          <w:b/>
          <w:sz w:val="48"/>
          <w:szCs w:val="48"/>
        </w:rPr>
        <w:t>Coordinación de archivos del INAIP</w:t>
      </w: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B1317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Mérida, Yucatán a 29 de junio de 2018</w:t>
      </w: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C16984" w:rsidRDefault="00C16984" w:rsidP="00C16984">
      <w:pPr>
        <w:jc w:val="center"/>
        <w:rPr>
          <w:rFonts w:ascii="Arial" w:hAnsi="Arial" w:cs="Arial"/>
          <w:b/>
          <w:sz w:val="40"/>
          <w:szCs w:val="40"/>
        </w:rPr>
      </w:pPr>
    </w:p>
    <w:p w:rsidR="00B13174" w:rsidRPr="00C16984" w:rsidRDefault="00C16984" w:rsidP="00C16984">
      <w:pPr>
        <w:jc w:val="center"/>
        <w:rPr>
          <w:rFonts w:ascii="Arial" w:hAnsi="Arial" w:cs="Arial"/>
          <w:b/>
          <w:sz w:val="40"/>
          <w:szCs w:val="40"/>
        </w:rPr>
      </w:pPr>
      <w:r w:rsidRPr="00C16984">
        <w:rPr>
          <w:rFonts w:ascii="Arial" w:hAnsi="Arial" w:cs="Arial"/>
          <w:b/>
          <w:sz w:val="40"/>
          <w:szCs w:val="40"/>
        </w:rPr>
        <w:t>INDICE</w:t>
      </w:r>
    </w:p>
    <w:p w:rsidR="00C16984" w:rsidRDefault="00C16984" w:rsidP="00D27E53">
      <w:pPr>
        <w:jc w:val="both"/>
        <w:rPr>
          <w:rFonts w:ascii="Arial" w:hAnsi="Arial" w:cs="Arial"/>
          <w:sz w:val="28"/>
          <w:szCs w:val="28"/>
        </w:rPr>
      </w:pPr>
    </w:p>
    <w:p w:rsidR="00C16984" w:rsidRDefault="00C1698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B13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C16984">
        <w:rPr>
          <w:rFonts w:ascii="Arial" w:hAnsi="Arial" w:cs="Arial"/>
          <w:b/>
          <w:sz w:val="28"/>
          <w:szCs w:val="28"/>
        </w:rPr>
        <w:t>Introducción</w:t>
      </w:r>
    </w:p>
    <w:p w:rsidR="00C16984" w:rsidRDefault="00C16984" w:rsidP="00C16984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C16984" w:rsidRPr="00C16984" w:rsidRDefault="00C16984" w:rsidP="00C16984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C16984" w:rsidRDefault="00C16984" w:rsidP="00B13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C16984">
        <w:rPr>
          <w:rFonts w:ascii="Arial" w:hAnsi="Arial" w:cs="Arial"/>
          <w:b/>
          <w:sz w:val="28"/>
          <w:szCs w:val="28"/>
        </w:rPr>
        <w:t xml:space="preserve">Marco jurídico de actuación </w:t>
      </w:r>
    </w:p>
    <w:p w:rsidR="00C16984" w:rsidRDefault="00C16984" w:rsidP="00C16984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C16984" w:rsidRPr="00C16984" w:rsidRDefault="00C16984" w:rsidP="00C16984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C16984" w:rsidRDefault="00C16984" w:rsidP="00C1698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C16984">
        <w:rPr>
          <w:rFonts w:ascii="Arial" w:hAnsi="Arial" w:cs="Arial"/>
          <w:b/>
          <w:sz w:val="28"/>
          <w:szCs w:val="28"/>
        </w:rPr>
        <w:t>Antecedentes</w:t>
      </w:r>
    </w:p>
    <w:p w:rsidR="00C16984" w:rsidRDefault="00C16984" w:rsidP="00C16984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C16984" w:rsidRPr="00C16984" w:rsidRDefault="00C16984" w:rsidP="00C16984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B13174" w:rsidRDefault="00B13174" w:rsidP="00B13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C16984">
        <w:rPr>
          <w:rFonts w:ascii="Arial" w:hAnsi="Arial" w:cs="Arial"/>
          <w:b/>
          <w:sz w:val="28"/>
          <w:szCs w:val="28"/>
        </w:rPr>
        <w:t>Hallazgos</w:t>
      </w:r>
    </w:p>
    <w:p w:rsidR="00C16984" w:rsidRDefault="00C16984" w:rsidP="00C16984">
      <w:pPr>
        <w:pStyle w:val="Prrafodelista"/>
        <w:ind w:left="1080" w:firstLine="708"/>
        <w:jc w:val="both"/>
        <w:rPr>
          <w:rFonts w:ascii="Arial" w:hAnsi="Arial" w:cs="Arial"/>
          <w:b/>
          <w:sz w:val="28"/>
          <w:szCs w:val="28"/>
        </w:rPr>
      </w:pPr>
    </w:p>
    <w:p w:rsidR="00C16984" w:rsidRPr="00C16984" w:rsidRDefault="00C16984" w:rsidP="00C16984">
      <w:pPr>
        <w:pStyle w:val="Prrafodelista"/>
        <w:ind w:left="1080" w:firstLine="708"/>
        <w:jc w:val="both"/>
        <w:rPr>
          <w:rFonts w:ascii="Arial" w:hAnsi="Arial" w:cs="Arial"/>
          <w:b/>
          <w:sz w:val="28"/>
          <w:szCs w:val="28"/>
        </w:rPr>
      </w:pPr>
    </w:p>
    <w:p w:rsidR="00B13174" w:rsidRDefault="00B13174" w:rsidP="00B13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C16984">
        <w:rPr>
          <w:rFonts w:ascii="Arial" w:hAnsi="Arial" w:cs="Arial"/>
          <w:b/>
          <w:sz w:val="28"/>
          <w:szCs w:val="28"/>
        </w:rPr>
        <w:t>Evidencia fotográfica</w:t>
      </w:r>
    </w:p>
    <w:p w:rsidR="00C16984" w:rsidRDefault="00C16984" w:rsidP="00C16984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C16984" w:rsidRPr="00C16984" w:rsidRDefault="00C16984" w:rsidP="00C16984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B13174" w:rsidRDefault="00B13174" w:rsidP="00B13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C16984">
        <w:rPr>
          <w:rFonts w:ascii="Arial" w:hAnsi="Arial" w:cs="Arial"/>
          <w:b/>
          <w:sz w:val="28"/>
          <w:szCs w:val="28"/>
        </w:rPr>
        <w:t>Conclusiones</w:t>
      </w:r>
    </w:p>
    <w:p w:rsidR="00C16984" w:rsidRDefault="00C16984" w:rsidP="00C16984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C16984" w:rsidRPr="00C16984" w:rsidRDefault="00C16984" w:rsidP="00C16984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B13174" w:rsidRPr="00C16984" w:rsidRDefault="00B13174" w:rsidP="00B1317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C16984">
        <w:rPr>
          <w:rFonts w:ascii="Arial" w:hAnsi="Arial" w:cs="Arial"/>
          <w:b/>
          <w:sz w:val="28"/>
          <w:szCs w:val="28"/>
        </w:rPr>
        <w:t>Recomendaciones</w:t>
      </w:r>
    </w:p>
    <w:p w:rsidR="00B13174" w:rsidRPr="00B13174" w:rsidRDefault="00B13174" w:rsidP="00B13174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Default="00B13174" w:rsidP="00D27E53">
      <w:pPr>
        <w:jc w:val="both"/>
        <w:rPr>
          <w:rFonts w:ascii="Arial" w:hAnsi="Arial" w:cs="Arial"/>
          <w:sz w:val="28"/>
          <w:szCs w:val="28"/>
        </w:rPr>
      </w:pPr>
    </w:p>
    <w:p w:rsidR="00C16984" w:rsidRDefault="00C16984" w:rsidP="00D27E53">
      <w:pPr>
        <w:jc w:val="both"/>
        <w:rPr>
          <w:rFonts w:ascii="Arial" w:hAnsi="Arial" w:cs="Arial"/>
          <w:sz w:val="28"/>
          <w:szCs w:val="28"/>
        </w:rPr>
      </w:pPr>
    </w:p>
    <w:p w:rsidR="00C16984" w:rsidRDefault="00C16984" w:rsidP="00D27E53">
      <w:pPr>
        <w:jc w:val="both"/>
        <w:rPr>
          <w:rFonts w:ascii="Arial" w:hAnsi="Arial" w:cs="Arial"/>
          <w:sz w:val="28"/>
          <w:szCs w:val="28"/>
        </w:rPr>
      </w:pPr>
    </w:p>
    <w:p w:rsidR="00C16984" w:rsidRDefault="00C16984" w:rsidP="00D27E53">
      <w:pPr>
        <w:jc w:val="both"/>
        <w:rPr>
          <w:rFonts w:ascii="Arial" w:hAnsi="Arial" w:cs="Arial"/>
          <w:sz w:val="28"/>
          <w:szCs w:val="28"/>
        </w:rPr>
      </w:pPr>
    </w:p>
    <w:p w:rsidR="00B13174" w:rsidRPr="00B13174" w:rsidRDefault="00B13174" w:rsidP="00D27E53">
      <w:pPr>
        <w:jc w:val="both"/>
        <w:rPr>
          <w:rFonts w:ascii="Arial" w:hAnsi="Arial" w:cs="Arial"/>
          <w:b/>
          <w:sz w:val="28"/>
          <w:szCs w:val="28"/>
        </w:rPr>
      </w:pPr>
    </w:p>
    <w:p w:rsidR="0086272E" w:rsidRPr="00B13174" w:rsidRDefault="0086272E" w:rsidP="00D27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B13174">
        <w:rPr>
          <w:rFonts w:ascii="Arial" w:hAnsi="Arial" w:cs="Arial"/>
          <w:b/>
          <w:sz w:val="28"/>
          <w:szCs w:val="28"/>
        </w:rPr>
        <w:t xml:space="preserve">Introducción </w:t>
      </w:r>
    </w:p>
    <w:p w:rsidR="00D27E53" w:rsidRDefault="00D27E53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27E53" w:rsidRDefault="0086272E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Instituto Estatal de </w:t>
      </w:r>
      <w:r w:rsidR="00665E51">
        <w:rPr>
          <w:rFonts w:ascii="Arial" w:hAnsi="Arial" w:cs="Arial"/>
          <w:sz w:val="28"/>
          <w:szCs w:val="28"/>
        </w:rPr>
        <w:t>Transparencia, Acceso a la I</w:t>
      </w:r>
      <w:r>
        <w:rPr>
          <w:rFonts w:ascii="Arial" w:hAnsi="Arial" w:cs="Arial"/>
          <w:sz w:val="28"/>
          <w:szCs w:val="28"/>
        </w:rPr>
        <w:t xml:space="preserve">nformación </w:t>
      </w:r>
      <w:r w:rsidR="00665E51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ública </w:t>
      </w:r>
      <w:r w:rsidR="00665E51">
        <w:rPr>
          <w:rFonts w:ascii="Arial" w:hAnsi="Arial" w:cs="Arial"/>
          <w:sz w:val="28"/>
          <w:szCs w:val="28"/>
        </w:rPr>
        <w:t xml:space="preserve">y Protección de Datos Personales, </w:t>
      </w:r>
      <w:r>
        <w:rPr>
          <w:rFonts w:ascii="Arial" w:hAnsi="Arial" w:cs="Arial"/>
          <w:sz w:val="28"/>
          <w:szCs w:val="28"/>
        </w:rPr>
        <w:t>cuenta con un acerv</w:t>
      </w:r>
      <w:r w:rsidR="00DB0D28">
        <w:rPr>
          <w:rFonts w:ascii="Arial" w:hAnsi="Arial" w:cs="Arial"/>
          <w:sz w:val="28"/>
          <w:szCs w:val="28"/>
        </w:rPr>
        <w:t>o documental de aproximadamente</w:t>
      </w:r>
      <w:r w:rsidR="00B13174">
        <w:rPr>
          <w:rFonts w:ascii="Arial" w:hAnsi="Arial" w:cs="Arial"/>
          <w:sz w:val="28"/>
          <w:szCs w:val="28"/>
        </w:rPr>
        <w:t xml:space="preserve"> 5</w:t>
      </w:r>
      <w:r w:rsidR="00665E51">
        <w:rPr>
          <w:rFonts w:ascii="Arial" w:hAnsi="Arial" w:cs="Arial"/>
          <w:sz w:val="28"/>
          <w:szCs w:val="28"/>
        </w:rPr>
        <w:t>,</w:t>
      </w:r>
      <w:r w:rsidR="00D27E53">
        <w:rPr>
          <w:rFonts w:ascii="Arial" w:hAnsi="Arial" w:cs="Arial"/>
          <w:sz w:val="28"/>
          <w:szCs w:val="28"/>
        </w:rPr>
        <w:t xml:space="preserve">000 expedientes </w:t>
      </w:r>
      <w:r w:rsidR="00665E51">
        <w:rPr>
          <w:rFonts w:ascii="Arial" w:hAnsi="Arial" w:cs="Arial"/>
          <w:sz w:val="28"/>
          <w:szCs w:val="28"/>
        </w:rPr>
        <w:t>que constituy</w:t>
      </w:r>
      <w:r w:rsidR="003A3231">
        <w:rPr>
          <w:rFonts w:ascii="Arial" w:hAnsi="Arial" w:cs="Arial"/>
          <w:sz w:val="28"/>
          <w:szCs w:val="28"/>
        </w:rPr>
        <w:t>en el archivo de concentración.</w:t>
      </w:r>
    </w:p>
    <w:p w:rsidR="00D27E53" w:rsidRDefault="00D27E53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665E51" w:rsidRDefault="008F1CDF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Como órgano garante en materia de acceso a la información</w:t>
      </w:r>
      <w:r w:rsidR="00665E51">
        <w:rPr>
          <w:rFonts w:ascii="Arial" w:hAnsi="Arial" w:cs="Arial"/>
          <w:sz w:val="28"/>
          <w:szCs w:val="28"/>
        </w:rPr>
        <w:t xml:space="preserve">, una de las prioridades institucionales es llevar a cabo las gestiones necesarias que permitan dar </w:t>
      </w:r>
      <w:r w:rsidR="00D27E53">
        <w:rPr>
          <w:rFonts w:ascii="Arial" w:hAnsi="Arial" w:cs="Arial"/>
          <w:sz w:val="28"/>
          <w:szCs w:val="28"/>
        </w:rPr>
        <w:t>cumplimiento a las disposiciones vigente</w:t>
      </w:r>
      <w:r w:rsidR="003A3231">
        <w:rPr>
          <w:rFonts w:ascii="Arial" w:hAnsi="Arial" w:cs="Arial"/>
          <w:sz w:val="28"/>
          <w:szCs w:val="28"/>
        </w:rPr>
        <w:t>s en materia de archivos, cuyos resultados deberán favorecer el acceso a la información</w:t>
      </w:r>
      <w:r w:rsidR="005B62A9">
        <w:rPr>
          <w:rFonts w:ascii="Arial" w:hAnsi="Arial" w:cs="Arial"/>
          <w:sz w:val="28"/>
          <w:szCs w:val="28"/>
        </w:rPr>
        <w:t>.</w:t>
      </w:r>
    </w:p>
    <w:p w:rsidR="00665E51" w:rsidRDefault="00665E51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665E51" w:rsidRPr="003E56A3" w:rsidRDefault="003A3231" w:rsidP="003E56A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este sentido y con el propósito de contar con un </w:t>
      </w:r>
      <w:r w:rsidR="005B62A9">
        <w:rPr>
          <w:rFonts w:ascii="Arial" w:hAnsi="Arial" w:cs="Arial"/>
          <w:sz w:val="28"/>
          <w:szCs w:val="28"/>
        </w:rPr>
        <w:t>archivo que atienda las disposiciones emitidas en la Ley General de Archivos y que refleje de</w:t>
      </w:r>
      <w:r w:rsidR="003E56A3">
        <w:rPr>
          <w:rFonts w:ascii="Arial" w:hAnsi="Arial" w:cs="Arial"/>
          <w:sz w:val="28"/>
          <w:szCs w:val="28"/>
        </w:rPr>
        <w:t xml:space="preserve"> manera clara las actuaciones del ejercicio de facultades y atribuciones, se </w:t>
      </w:r>
      <w:r w:rsidR="00921D7F">
        <w:rPr>
          <w:rFonts w:ascii="Arial" w:hAnsi="Arial" w:cs="Arial"/>
          <w:sz w:val="28"/>
          <w:szCs w:val="28"/>
        </w:rPr>
        <w:t>ela</w:t>
      </w:r>
      <w:r w:rsidR="00351CDA">
        <w:rPr>
          <w:rFonts w:ascii="Arial" w:hAnsi="Arial" w:cs="Arial"/>
          <w:sz w:val="28"/>
          <w:szCs w:val="28"/>
        </w:rPr>
        <w:t>boró un</w:t>
      </w:r>
      <w:r w:rsidR="00DB0D28">
        <w:rPr>
          <w:rFonts w:ascii="Arial" w:hAnsi="Arial" w:cs="Arial"/>
          <w:sz w:val="28"/>
          <w:szCs w:val="28"/>
        </w:rPr>
        <w:t xml:space="preserve"> Diagnó</w:t>
      </w:r>
      <w:r w:rsidR="00144F06">
        <w:rPr>
          <w:rFonts w:ascii="Arial" w:hAnsi="Arial" w:cs="Arial"/>
          <w:sz w:val="28"/>
          <w:szCs w:val="28"/>
        </w:rPr>
        <w:t xml:space="preserve">stico </w:t>
      </w:r>
      <w:r w:rsidR="00B13174">
        <w:rPr>
          <w:rFonts w:ascii="Arial" w:hAnsi="Arial" w:cs="Arial"/>
          <w:sz w:val="28"/>
          <w:szCs w:val="28"/>
        </w:rPr>
        <w:t xml:space="preserve">de archivos </w:t>
      </w:r>
      <w:r w:rsidR="00144F06">
        <w:rPr>
          <w:rFonts w:ascii="Arial" w:hAnsi="Arial" w:cs="Arial"/>
          <w:sz w:val="28"/>
          <w:szCs w:val="28"/>
        </w:rPr>
        <w:t>en el que se</w:t>
      </w:r>
      <w:r w:rsidR="0072220F">
        <w:rPr>
          <w:rFonts w:ascii="Arial" w:hAnsi="Arial" w:cs="Arial"/>
          <w:sz w:val="28"/>
          <w:szCs w:val="28"/>
        </w:rPr>
        <w:t xml:space="preserve"> señalan </w:t>
      </w:r>
      <w:r w:rsidR="004273F1">
        <w:rPr>
          <w:rFonts w:ascii="Arial" w:hAnsi="Arial" w:cs="Arial"/>
          <w:sz w:val="28"/>
          <w:szCs w:val="28"/>
        </w:rPr>
        <w:t>antecedentes,</w:t>
      </w:r>
      <w:r w:rsidR="0072220F">
        <w:rPr>
          <w:rFonts w:ascii="Arial" w:hAnsi="Arial" w:cs="Arial"/>
          <w:sz w:val="28"/>
          <w:szCs w:val="28"/>
        </w:rPr>
        <w:t xml:space="preserve"> hallazgos</w:t>
      </w:r>
      <w:r w:rsidR="004273F1">
        <w:rPr>
          <w:rFonts w:ascii="Arial" w:hAnsi="Arial" w:cs="Arial"/>
          <w:sz w:val="28"/>
          <w:szCs w:val="28"/>
        </w:rPr>
        <w:t>, conclusiones y recomendaciones.</w:t>
      </w:r>
    </w:p>
    <w:p w:rsidR="00665E51" w:rsidRDefault="003E56A3" w:rsidP="003E56A3">
      <w:pPr>
        <w:pStyle w:val="Prrafodelista"/>
        <w:tabs>
          <w:tab w:val="left" w:pos="7588"/>
        </w:tabs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6272E" w:rsidRDefault="00D27E53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6272E" w:rsidRPr="008D4009" w:rsidRDefault="0086272E" w:rsidP="00D27E53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160248" w:rsidRPr="008D4009" w:rsidRDefault="00A271A4" w:rsidP="00D27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8D4009">
        <w:rPr>
          <w:rFonts w:ascii="Arial" w:hAnsi="Arial" w:cs="Arial"/>
          <w:b/>
          <w:sz w:val="28"/>
          <w:szCs w:val="28"/>
        </w:rPr>
        <w:t xml:space="preserve">Marco jurídico de </w:t>
      </w:r>
      <w:r w:rsidR="009902D6" w:rsidRPr="008D4009">
        <w:rPr>
          <w:rFonts w:ascii="Arial" w:hAnsi="Arial" w:cs="Arial"/>
          <w:b/>
          <w:sz w:val="28"/>
          <w:szCs w:val="28"/>
        </w:rPr>
        <w:t>actuación</w:t>
      </w:r>
      <w:r w:rsidR="004273F1" w:rsidRPr="008D4009">
        <w:rPr>
          <w:rFonts w:ascii="Arial" w:hAnsi="Arial" w:cs="Arial"/>
          <w:b/>
          <w:sz w:val="28"/>
          <w:szCs w:val="28"/>
        </w:rPr>
        <w:t>.</w:t>
      </w:r>
    </w:p>
    <w:p w:rsidR="009902D6" w:rsidRDefault="009902D6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843C4D" w:rsidRDefault="00DE0F77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 w:rsidRPr="009902D6">
        <w:rPr>
          <w:rFonts w:ascii="Arial" w:hAnsi="Arial" w:cs="Arial"/>
          <w:sz w:val="28"/>
          <w:szCs w:val="28"/>
        </w:rPr>
        <w:t>C</w:t>
      </w:r>
      <w:r w:rsidR="00843C4D">
        <w:rPr>
          <w:rFonts w:ascii="Arial" w:hAnsi="Arial" w:cs="Arial"/>
          <w:sz w:val="28"/>
          <w:szCs w:val="28"/>
        </w:rPr>
        <w:t xml:space="preserve">onstitución </w:t>
      </w:r>
      <w:r w:rsidR="00843C4D" w:rsidRPr="009902D6">
        <w:rPr>
          <w:rFonts w:ascii="Arial" w:hAnsi="Arial" w:cs="Arial"/>
          <w:sz w:val="28"/>
          <w:szCs w:val="28"/>
        </w:rPr>
        <w:t>P</w:t>
      </w:r>
      <w:r w:rsidR="00843C4D">
        <w:rPr>
          <w:rFonts w:ascii="Arial" w:hAnsi="Arial" w:cs="Arial"/>
          <w:sz w:val="28"/>
          <w:szCs w:val="28"/>
        </w:rPr>
        <w:t xml:space="preserve">olítica de los </w:t>
      </w:r>
      <w:r w:rsidRPr="009902D6">
        <w:rPr>
          <w:rFonts w:ascii="Arial" w:hAnsi="Arial" w:cs="Arial"/>
          <w:sz w:val="28"/>
          <w:szCs w:val="28"/>
        </w:rPr>
        <w:t>E</w:t>
      </w:r>
      <w:r w:rsidR="00843C4D">
        <w:rPr>
          <w:rFonts w:ascii="Arial" w:hAnsi="Arial" w:cs="Arial"/>
          <w:sz w:val="28"/>
          <w:szCs w:val="28"/>
        </w:rPr>
        <w:t xml:space="preserve">stados </w:t>
      </w:r>
      <w:r w:rsidRPr="009902D6">
        <w:rPr>
          <w:rFonts w:ascii="Arial" w:hAnsi="Arial" w:cs="Arial"/>
          <w:sz w:val="28"/>
          <w:szCs w:val="28"/>
        </w:rPr>
        <w:t>U</w:t>
      </w:r>
      <w:r w:rsidR="00843C4D">
        <w:rPr>
          <w:rFonts w:ascii="Arial" w:hAnsi="Arial" w:cs="Arial"/>
          <w:sz w:val="28"/>
          <w:szCs w:val="28"/>
        </w:rPr>
        <w:t xml:space="preserve">nidos </w:t>
      </w:r>
      <w:r w:rsidRPr="009902D6">
        <w:rPr>
          <w:rFonts w:ascii="Arial" w:hAnsi="Arial" w:cs="Arial"/>
          <w:sz w:val="28"/>
          <w:szCs w:val="28"/>
        </w:rPr>
        <w:t>M</w:t>
      </w:r>
      <w:r w:rsidR="00843C4D">
        <w:rPr>
          <w:rFonts w:ascii="Arial" w:hAnsi="Arial" w:cs="Arial"/>
          <w:sz w:val="28"/>
          <w:szCs w:val="28"/>
        </w:rPr>
        <w:t>exicanos</w:t>
      </w:r>
    </w:p>
    <w:p w:rsidR="00843C4D" w:rsidRDefault="00843C4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E0F77" w:rsidRPr="009902D6" w:rsidRDefault="00DE0F77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 w:rsidRPr="009902D6">
        <w:rPr>
          <w:rFonts w:ascii="Arial" w:hAnsi="Arial" w:cs="Arial"/>
          <w:sz w:val="28"/>
          <w:szCs w:val="28"/>
        </w:rPr>
        <w:t>L</w:t>
      </w:r>
      <w:r w:rsidR="00843C4D">
        <w:rPr>
          <w:rFonts w:ascii="Arial" w:hAnsi="Arial" w:cs="Arial"/>
          <w:sz w:val="28"/>
          <w:szCs w:val="28"/>
        </w:rPr>
        <w:t xml:space="preserve">ey </w:t>
      </w:r>
      <w:r w:rsidRPr="009902D6">
        <w:rPr>
          <w:rFonts w:ascii="Arial" w:hAnsi="Arial" w:cs="Arial"/>
          <w:sz w:val="28"/>
          <w:szCs w:val="28"/>
        </w:rPr>
        <w:t>G</w:t>
      </w:r>
      <w:r w:rsidR="00843C4D">
        <w:rPr>
          <w:rFonts w:ascii="Arial" w:hAnsi="Arial" w:cs="Arial"/>
          <w:sz w:val="28"/>
          <w:szCs w:val="28"/>
        </w:rPr>
        <w:t xml:space="preserve">eneral de </w:t>
      </w:r>
      <w:r w:rsidR="008E65FA">
        <w:rPr>
          <w:rFonts w:ascii="Arial" w:hAnsi="Arial" w:cs="Arial"/>
          <w:sz w:val="28"/>
          <w:szCs w:val="28"/>
        </w:rPr>
        <w:t xml:space="preserve">Transparencia y Acceso a la Información </w:t>
      </w:r>
      <w:r w:rsidR="004273F1">
        <w:rPr>
          <w:rFonts w:ascii="Arial" w:hAnsi="Arial" w:cs="Arial"/>
          <w:sz w:val="28"/>
          <w:szCs w:val="28"/>
        </w:rPr>
        <w:t>Pública</w:t>
      </w:r>
      <w:r w:rsidR="008E65FA">
        <w:rPr>
          <w:rFonts w:ascii="Arial" w:hAnsi="Arial" w:cs="Arial"/>
          <w:sz w:val="28"/>
          <w:szCs w:val="28"/>
        </w:rPr>
        <w:t xml:space="preserve"> </w:t>
      </w:r>
    </w:p>
    <w:p w:rsidR="004273F1" w:rsidRDefault="004273F1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E0F77" w:rsidRDefault="00DE0F77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 w:rsidRPr="009902D6">
        <w:rPr>
          <w:rFonts w:ascii="Arial" w:hAnsi="Arial" w:cs="Arial"/>
          <w:sz w:val="28"/>
          <w:szCs w:val="28"/>
        </w:rPr>
        <w:t>L</w:t>
      </w:r>
      <w:r w:rsidR="008E65FA">
        <w:rPr>
          <w:rFonts w:ascii="Arial" w:hAnsi="Arial" w:cs="Arial"/>
          <w:sz w:val="28"/>
          <w:szCs w:val="28"/>
        </w:rPr>
        <w:t xml:space="preserve">ey </w:t>
      </w:r>
      <w:r w:rsidRPr="009902D6">
        <w:rPr>
          <w:rFonts w:ascii="Arial" w:hAnsi="Arial" w:cs="Arial"/>
          <w:sz w:val="28"/>
          <w:szCs w:val="28"/>
        </w:rPr>
        <w:t>G</w:t>
      </w:r>
      <w:r w:rsidR="008E65FA">
        <w:rPr>
          <w:rFonts w:ascii="Arial" w:hAnsi="Arial" w:cs="Arial"/>
          <w:sz w:val="28"/>
          <w:szCs w:val="28"/>
        </w:rPr>
        <w:t xml:space="preserve">eneral de </w:t>
      </w:r>
      <w:r w:rsidRPr="009902D6">
        <w:rPr>
          <w:rFonts w:ascii="Arial" w:hAnsi="Arial" w:cs="Arial"/>
          <w:sz w:val="28"/>
          <w:szCs w:val="28"/>
        </w:rPr>
        <w:t>A</w:t>
      </w:r>
      <w:r w:rsidR="008E65FA">
        <w:rPr>
          <w:rFonts w:ascii="Arial" w:hAnsi="Arial" w:cs="Arial"/>
          <w:sz w:val="28"/>
          <w:szCs w:val="28"/>
        </w:rPr>
        <w:t>rchivos</w:t>
      </w:r>
    </w:p>
    <w:p w:rsidR="008E65FA" w:rsidRDefault="008E65FA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8E65FA" w:rsidRDefault="008E65FA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Ley de Transparencia y Acceso a la Información </w:t>
      </w:r>
      <w:r w:rsidR="004273F1">
        <w:rPr>
          <w:rFonts w:ascii="Arial" w:hAnsi="Arial" w:cs="Arial"/>
          <w:sz w:val="28"/>
          <w:szCs w:val="28"/>
        </w:rPr>
        <w:t>Pública</w:t>
      </w:r>
      <w:r>
        <w:rPr>
          <w:rFonts w:ascii="Arial" w:hAnsi="Arial" w:cs="Arial"/>
          <w:sz w:val="28"/>
          <w:szCs w:val="28"/>
        </w:rPr>
        <w:t xml:space="preserve"> del Estado de </w:t>
      </w:r>
      <w:r w:rsidR="004273F1">
        <w:rPr>
          <w:rFonts w:ascii="Arial" w:hAnsi="Arial" w:cs="Arial"/>
          <w:sz w:val="28"/>
          <w:szCs w:val="28"/>
        </w:rPr>
        <w:t>Yucatán</w:t>
      </w:r>
    </w:p>
    <w:p w:rsidR="008E65FA" w:rsidRDefault="008E65FA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9902D6" w:rsidRPr="009902D6" w:rsidRDefault="009902D6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9902D6" w:rsidRPr="008D4009" w:rsidRDefault="009902D6" w:rsidP="00D27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8D4009">
        <w:rPr>
          <w:rFonts w:ascii="Arial" w:hAnsi="Arial" w:cs="Arial"/>
          <w:b/>
          <w:sz w:val="28"/>
          <w:szCs w:val="28"/>
        </w:rPr>
        <w:t>Antecedentes</w:t>
      </w:r>
    </w:p>
    <w:p w:rsidR="009902D6" w:rsidRDefault="009902D6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3A3BBB" w:rsidRDefault="00CB375A" w:rsidP="003A3BBB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Instituto cuenta con los instrumentos de control y consulta archivística referidos en la Ley General de Archivos debidam</w:t>
      </w:r>
      <w:r w:rsidR="003A3BBB">
        <w:rPr>
          <w:rFonts w:ascii="Arial" w:hAnsi="Arial" w:cs="Arial"/>
          <w:sz w:val="28"/>
          <w:szCs w:val="28"/>
        </w:rPr>
        <w:t xml:space="preserve">ente actualizados, </w:t>
      </w:r>
      <w:r w:rsidR="008D4009">
        <w:rPr>
          <w:rFonts w:ascii="Arial" w:hAnsi="Arial" w:cs="Arial"/>
          <w:sz w:val="28"/>
          <w:szCs w:val="28"/>
        </w:rPr>
        <w:t xml:space="preserve">la </w:t>
      </w:r>
      <w:r w:rsidR="003A3BBB">
        <w:rPr>
          <w:rFonts w:ascii="Arial" w:hAnsi="Arial" w:cs="Arial"/>
          <w:sz w:val="28"/>
          <w:szCs w:val="28"/>
        </w:rPr>
        <w:t>elaboración</w:t>
      </w:r>
      <w:r w:rsidR="008D4009">
        <w:rPr>
          <w:rFonts w:ascii="Arial" w:hAnsi="Arial" w:cs="Arial"/>
          <w:sz w:val="28"/>
          <w:szCs w:val="28"/>
        </w:rPr>
        <w:t xml:space="preserve"> de dichos documentos </w:t>
      </w:r>
      <w:r w:rsidR="003A3BBB">
        <w:rPr>
          <w:rFonts w:ascii="Arial" w:hAnsi="Arial" w:cs="Arial"/>
          <w:sz w:val="28"/>
          <w:szCs w:val="28"/>
        </w:rPr>
        <w:t xml:space="preserve">ha permitido dar cabal cumplimiento a las disposiciones normativas y aplicables en materia de archivos. </w:t>
      </w:r>
    </w:p>
    <w:p w:rsidR="003A3BBB" w:rsidRDefault="003A3BBB" w:rsidP="003A3BBB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CB375A" w:rsidRDefault="003A3BBB" w:rsidP="003A3BBB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</w:t>
      </w:r>
      <w:r w:rsidR="00CB375A" w:rsidRPr="003A3BBB">
        <w:rPr>
          <w:rFonts w:ascii="Arial" w:hAnsi="Arial" w:cs="Arial"/>
          <w:sz w:val="28"/>
          <w:szCs w:val="28"/>
        </w:rPr>
        <w:t xml:space="preserve">ha constituido el Grupo interdisciplinario al que se refiere el </w:t>
      </w:r>
      <w:r w:rsidRPr="003A3BBB">
        <w:rPr>
          <w:rFonts w:ascii="Arial" w:hAnsi="Arial" w:cs="Arial"/>
          <w:sz w:val="28"/>
          <w:szCs w:val="28"/>
        </w:rPr>
        <w:t>artículo</w:t>
      </w:r>
      <w:r w:rsidR="00CB375A" w:rsidRPr="003A3BBB">
        <w:rPr>
          <w:rFonts w:ascii="Arial" w:hAnsi="Arial" w:cs="Arial"/>
          <w:sz w:val="28"/>
          <w:szCs w:val="28"/>
        </w:rPr>
        <w:t xml:space="preserve"> </w:t>
      </w:r>
      <w:r w:rsidRPr="003A3BBB">
        <w:rPr>
          <w:rFonts w:ascii="Arial" w:hAnsi="Arial" w:cs="Arial"/>
          <w:sz w:val="28"/>
          <w:szCs w:val="28"/>
        </w:rPr>
        <w:t>11</w:t>
      </w:r>
      <w:r w:rsidR="008D4009">
        <w:rPr>
          <w:rFonts w:ascii="Arial" w:hAnsi="Arial" w:cs="Arial"/>
          <w:sz w:val="28"/>
          <w:szCs w:val="28"/>
        </w:rPr>
        <w:t>,</w:t>
      </w:r>
      <w:r w:rsidRPr="003A3BBB">
        <w:rPr>
          <w:rFonts w:ascii="Arial" w:hAnsi="Arial" w:cs="Arial"/>
          <w:sz w:val="28"/>
          <w:szCs w:val="28"/>
        </w:rPr>
        <w:t xml:space="preserve"> fracción V de </w:t>
      </w:r>
      <w:r w:rsidR="00CB375A" w:rsidRPr="003A3BBB">
        <w:rPr>
          <w:rFonts w:ascii="Arial" w:hAnsi="Arial" w:cs="Arial"/>
          <w:sz w:val="28"/>
          <w:szCs w:val="28"/>
        </w:rPr>
        <w:t>la Ley General del Archivos</w:t>
      </w:r>
      <w:r>
        <w:rPr>
          <w:rFonts w:ascii="Arial" w:hAnsi="Arial" w:cs="Arial"/>
          <w:sz w:val="28"/>
          <w:szCs w:val="28"/>
        </w:rPr>
        <w:t>.</w:t>
      </w:r>
    </w:p>
    <w:p w:rsidR="008D4009" w:rsidRDefault="008D4009" w:rsidP="003A3BBB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8D4009" w:rsidRDefault="008D4009" w:rsidP="003A3BBB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Instituto cuenta con cursos de capacitación en base a competencias laborales en materia de archivos, lo que garantiza el cumplimento citado en el artículo 99 de la Ley General de Archivos y propicia la capacitación de los responsables de los archivos de los sujetos obligados de la Ley General de Transparencia y de archivos, así como del personal institucional. </w:t>
      </w:r>
    </w:p>
    <w:p w:rsidR="00CB375A" w:rsidRDefault="00CB375A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9902D6" w:rsidRDefault="009902D6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17 de enero de 2018, se convocó a una reunión de trabajo con el grupo interdisciplinario del INAIP para la presentación y aprobación del Programa Anual de Desarrollo archivístico, cuyo objetivo es el de programar las actividades a desarrollar, </w:t>
      </w:r>
      <w:r w:rsidR="00CB375A">
        <w:rPr>
          <w:rFonts w:ascii="Arial" w:hAnsi="Arial" w:cs="Arial"/>
          <w:sz w:val="28"/>
          <w:szCs w:val="28"/>
        </w:rPr>
        <w:t>así</w:t>
      </w:r>
      <w:r>
        <w:rPr>
          <w:rFonts w:ascii="Arial" w:hAnsi="Arial" w:cs="Arial"/>
          <w:sz w:val="28"/>
          <w:szCs w:val="28"/>
        </w:rPr>
        <w:t xml:space="preserve"> como los tiempos para finalizar las fases de implementación del Sistema Institucional de Archivos.</w:t>
      </w:r>
    </w:p>
    <w:p w:rsidR="009902D6" w:rsidRDefault="009902D6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9902D6" w:rsidRDefault="009902D6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2 de febrero de 2018, se convocó a una reunión con el grup</w:t>
      </w:r>
      <w:r w:rsidR="00CB375A">
        <w:rPr>
          <w:rFonts w:ascii="Arial" w:hAnsi="Arial" w:cs="Arial"/>
          <w:sz w:val="28"/>
          <w:szCs w:val="28"/>
        </w:rPr>
        <w:t>o interdisciplinario del INAIP con el fin de llevar a cabo la validación y actualización del Cuadro General de Clasificación archivística y el Catalogo de Disposición documental.</w:t>
      </w:r>
    </w:p>
    <w:p w:rsidR="00CB375A" w:rsidRDefault="00CB375A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CB375A" w:rsidRDefault="00CB375A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13 de abril de 2018, se llevó a cabo la validación de la Guía de Archivo.</w:t>
      </w:r>
    </w:p>
    <w:p w:rsidR="00795026" w:rsidRPr="00DB0D28" w:rsidRDefault="00795026" w:rsidP="00D27E53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9902D6" w:rsidRPr="00DB0D28" w:rsidRDefault="009902D6" w:rsidP="00D27E53">
      <w:pPr>
        <w:pStyle w:val="Prrafodelista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160248" w:rsidRPr="00DB0D28" w:rsidRDefault="00160248" w:rsidP="00D27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DB0D28">
        <w:rPr>
          <w:rFonts w:ascii="Arial" w:hAnsi="Arial" w:cs="Arial"/>
          <w:b/>
          <w:sz w:val="28"/>
          <w:szCs w:val="28"/>
        </w:rPr>
        <w:t>Hallazgos</w:t>
      </w:r>
    </w:p>
    <w:p w:rsidR="000E6520" w:rsidRDefault="000E6520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527BE7" w:rsidRDefault="003429A0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existen inventarios en los archivos de trámite;</w:t>
      </w: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3429A0" w:rsidRDefault="003429A0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existen inventarios en los archivos de concentración;</w:t>
      </w: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3429A0" w:rsidRDefault="003429A0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Existen archivos de trámite</w:t>
      </w:r>
      <w:r w:rsidR="00291DB1">
        <w:rPr>
          <w:rFonts w:ascii="Arial" w:hAnsi="Arial" w:cs="Arial"/>
          <w:sz w:val="28"/>
          <w:szCs w:val="28"/>
        </w:rPr>
        <w:t xml:space="preserve"> dispersos por lo menos en</w:t>
      </w:r>
      <w:r>
        <w:rPr>
          <w:rFonts w:ascii="Arial" w:hAnsi="Arial" w:cs="Arial"/>
          <w:sz w:val="28"/>
          <w:szCs w:val="28"/>
        </w:rPr>
        <w:t xml:space="preserve"> tres áreas distintas al archivo de concentración</w:t>
      </w:r>
      <w:r w:rsidR="00DC089D">
        <w:rPr>
          <w:rFonts w:ascii="Arial" w:hAnsi="Arial" w:cs="Arial"/>
          <w:sz w:val="28"/>
          <w:szCs w:val="28"/>
        </w:rPr>
        <w:t xml:space="preserve"> (identificadas)</w:t>
      </w:r>
      <w:r>
        <w:rPr>
          <w:rFonts w:ascii="Arial" w:hAnsi="Arial" w:cs="Arial"/>
          <w:sz w:val="28"/>
          <w:szCs w:val="28"/>
        </w:rPr>
        <w:t>;</w:t>
      </w: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3429A0" w:rsidRDefault="003429A0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condiciones del archivo de trámite no son adecuadas para el resguardo de la documentación;</w:t>
      </w:r>
    </w:p>
    <w:p w:rsidR="00435083" w:rsidRDefault="00435083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435083" w:rsidRDefault="00435083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Una parte de la documentación resguardada esta siniestrada, es ilegible y no es posible manipularla; </w:t>
      </w: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visualizan materiales y bienes distintos al archivo, en las áreas destinadas al resguardo de documentos;</w:t>
      </w:r>
    </w:p>
    <w:p w:rsidR="00DC089D" w:rsidRPr="009902D6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0E6520" w:rsidRDefault="003429A0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identifican algunas áreas </w:t>
      </w:r>
      <w:r w:rsidR="00292813">
        <w:rPr>
          <w:rFonts w:ascii="Arial" w:hAnsi="Arial" w:cs="Arial"/>
          <w:sz w:val="28"/>
          <w:szCs w:val="28"/>
        </w:rPr>
        <w:t>específicas</w:t>
      </w:r>
      <w:r>
        <w:rPr>
          <w:rFonts w:ascii="Arial" w:hAnsi="Arial" w:cs="Arial"/>
          <w:sz w:val="28"/>
          <w:szCs w:val="28"/>
        </w:rPr>
        <w:t xml:space="preserve"> que si cuentan con inventarios de la documentación que resguardan en sus oficinas (capacitación y la UT)</w:t>
      </w:r>
      <w:r w:rsidR="00DC089D">
        <w:rPr>
          <w:rFonts w:ascii="Arial" w:hAnsi="Arial" w:cs="Arial"/>
          <w:sz w:val="28"/>
          <w:szCs w:val="28"/>
        </w:rPr>
        <w:t>;</w:t>
      </w: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expedientes del archivo de trámite y de concentración no se encuentran debidamente identificados;</w:t>
      </w: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expedientes resguardados no han sido depurados;</w:t>
      </w: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se han realizado bajas documentales de los expedientes resguardados en el archivo de concentración;</w:t>
      </w: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3429A0" w:rsidRDefault="003429A0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hay un control adecuado de la documentación que ingresa al archivo</w:t>
      </w:r>
      <w:r w:rsidR="00DC089D">
        <w:rPr>
          <w:rFonts w:ascii="Arial" w:hAnsi="Arial" w:cs="Arial"/>
          <w:sz w:val="28"/>
          <w:szCs w:val="28"/>
        </w:rPr>
        <w:t>;</w:t>
      </w:r>
    </w:p>
    <w:p w:rsidR="00E24887" w:rsidRDefault="003429A0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No hay un control adecuado de la documentación que se consulta o sale del archivo, después de su </w:t>
      </w:r>
      <w:r w:rsidR="00D563FB">
        <w:rPr>
          <w:rFonts w:ascii="Arial" w:hAnsi="Arial" w:cs="Arial"/>
          <w:sz w:val="28"/>
          <w:szCs w:val="28"/>
        </w:rPr>
        <w:t>envío;</w:t>
      </w: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E24887" w:rsidRDefault="00E24887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existen procedimientos de consulta y préstamo de expedientes</w:t>
      </w:r>
      <w:r w:rsidR="00D563FB">
        <w:rPr>
          <w:rFonts w:ascii="Arial" w:hAnsi="Arial" w:cs="Arial"/>
          <w:sz w:val="28"/>
          <w:szCs w:val="28"/>
        </w:rPr>
        <w:t>;</w:t>
      </w: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E24887" w:rsidRDefault="00E24887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</w:t>
      </w:r>
      <w:r w:rsidR="00DC089D">
        <w:rPr>
          <w:rFonts w:ascii="Arial" w:hAnsi="Arial" w:cs="Arial"/>
          <w:sz w:val="28"/>
          <w:szCs w:val="28"/>
        </w:rPr>
        <w:t>existen</w:t>
      </w:r>
      <w:r>
        <w:rPr>
          <w:rFonts w:ascii="Arial" w:hAnsi="Arial" w:cs="Arial"/>
          <w:sz w:val="28"/>
          <w:szCs w:val="28"/>
        </w:rPr>
        <w:t xml:space="preserve"> procedimientos de préstamo de expedientes</w:t>
      </w:r>
      <w:r w:rsidR="00D563FB">
        <w:rPr>
          <w:rFonts w:ascii="Arial" w:hAnsi="Arial" w:cs="Arial"/>
          <w:sz w:val="28"/>
          <w:szCs w:val="28"/>
        </w:rPr>
        <w:t>;</w:t>
      </w: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C089D" w:rsidRDefault="00E24887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</w:t>
      </w:r>
      <w:r w:rsidR="00DC089D">
        <w:rPr>
          <w:rFonts w:ascii="Arial" w:hAnsi="Arial" w:cs="Arial"/>
          <w:sz w:val="28"/>
          <w:szCs w:val="28"/>
        </w:rPr>
        <w:t>existen procedimientos para transferencias documentales</w:t>
      </w:r>
      <w:r w:rsidR="00D563FB">
        <w:rPr>
          <w:rFonts w:ascii="Arial" w:hAnsi="Arial" w:cs="Arial"/>
          <w:sz w:val="28"/>
          <w:szCs w:val="28"/>
        </w:rPr>
        <w:t>;</w:t>
      </w: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cuentan con calendarios para transferencias de archivo</w:t>
      </w:r>
      <w:r w:rsidR="00D563FB">
        <w:rPr>
          <w:rFonts w:ascii="Arial" w:hAnsi="Arial" w:cs="Arial"/>
          <w:sz w:val="28"/>
          <w:szCs w:val="28"/>
        </w:rPr>
        <w:t>;</w:t>
      </w: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C089D" w:rsidRDefault="00DC089D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cuentan con criterios específicos para la organización de archivos</w:t>
      </w:r>
      <w:r w:rsidR="00D563FB">
        <w:rPr>
          <w:rFonts w:ascii="Arial" w:hAnsi="Arial" w:cs="Arial"/>
          <w:sz w:val="28"/>
          <w:szCs w:val="28"/>
        </w:rPr>
        <w:t>;</w:t>
      </w: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se cuenta con evidencia documental de las asesorías que se han impartido por parte de la </w:t>
      </w:r>
      <w:r w:rsidR="00D47FD9">
        <w:rPr>
          <w:rFonts w:ascii="Arial" w:hAnsi="Arial" w:cs="Arial"/>
          <w:sz w:val="28"/>
          <w:szCs w:val="28"/>
        </w:rPr>
        <w:t>Coordinación</w:t>
      </w:r>
      <w:r>
        <w:rPr>
          <w:rFonts w:ascii="Arial" w:hAnsi="Arial" w:cs="Arial"/>
          <w:sz w:val="28"/>
          <w:szCs w:val="28"/>
        </w:rPr>
        <w:t xml:space="preserve"> de archivos del Instituto;</w:t>
      </w: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563FB" w:rsidRDefault="00D563FB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existen fichas técnicas por cada serie documental creada</w:t>
      </w:r>
      <w:r w:rsidR="00D47FD9">
        <w:rPr>
          <w:rFonts w:ascii="Arial" w:hAnsi="Arial" w:cs="Arial"/>
          <w:sz w:val="28"/>
          <w:szCs w:val="28"/>
        </w:rPr>
        <w:t>;</w:t>
      </w:r>
    </w:p>
    <w:p w:rsidR="00D47FD9" w:rsidRDefault="00D47FD9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47FD9" w:rsidRDefault="00D47FD9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hay un calendario de capacitaciones programadas por parte de la coordinación de archivos;</w:t>
      </w:r>
    </w:p>
    <w:p w:rsidR="00D47FD9" w:rsidRDefault="00D47FD9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47FD9" w:rsidRDefault="00D47FD9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las capacitaciones en materia de archivos que se imparten por parte del Instituto no se prevé la opinión técnica del área coordinadora de archivos</w:t>
      </w:r>
      <w:r w:rsidR="00291DB1">
        <w:rPr>
          <w:rFonts w:ascii="Arial" w:hAnsi="Arial" w:cs="Arial"/>
          <w:sz w:val="28"/>
          <w:szCs w:val="28"/>
        </w:rPr>
        <w:t>;</w:t>
      </w:r>
    </w:p>
    <w:p w:rsidR="00291DB1" w:rsidRDefault="00291DB1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291DB1" w:rsidRDefault="00291DB1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se cuenta con sistemas de gestión documental para el manejo eficiente de la información que se genera en el Instituto;</w:t>
      </w:r>
    </w:p>
    <w:p w:rsidR="00291DB1" w:rsidRDefault="00291DB1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291DB1" w:rsidRDefault="00B13174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se cuenta con un archivo histórico institucional, debidamente constituido.</w:t>
      </w:r>
    </w:p>
    <w:p w:rsidR="00B13174" w:rsidRDefault="00B13174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organización de los archivos institucionales no es homogénea. </w:t>
      </w:r>
    </w:p>
    <w:p w:rsidR="00B13174" w:rsidRPr="00DB0D28" w:rsidRDefault="00B13174" w:rsidP="00D27E53">
      <w:pPr>
        <w:jc w:val="both"/>
        <w:rPr>
          <w:rFonts w:ascii="Arial" w:hAnsi="Arial" w:cs="Arial"/>
          <w:b/>
          <w:sz w:val="28"/>
          <w:szCs w:val="28"/>
        </w:rPr>
      </w:pPr>
    </w:p>
    <w:p w:rsidR="00160248" w:rsidRPr="00DB0D28" w:rsidRDefault="00160248" w:rsidP="00D27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DB0D28">
        <w:rPr>
          <w:rFonts w:ascii="Arial" w:hAnsi="Arial" w:cs="Arial"/>
          <w:b/>
          <w:sz w:val="28"/>
          <w:szCs w:val="28"/>
        </w:rPr>
        <w:t>Evidencia fotográfica</w:t>
      </w:r>
      <w:r w:rsidR="00B13174" w:rsidRPr="00DB0D28">
        <w:rPr>
          <w:rFonts w:ascii="Arial" w:hAnsi="Arial" w:cs="Arial"/>
          <w:b/>
          <w:sz w:val="28"/>
          <w:szCs w:val="28"/>
        </w:rPr>
        <w:t>:</w:t>
      </w:r>
    </w:p>
    <w:p w:rsidR="009169F7" w:rsidRDefault="009169F7" w:rsidP="009169F7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DE0F77" w:rsidRPr="00FF47BB" w:rsidRDefault="00435083" w:rsidP="00FF47BB">
      <w:pPr>
        <w:pStyle w:val="Prrafodelista"/>
        <w:tabs>
          <w:tab w:val="left" w:pos="1515"/>
        </w:tabs>
        <w:ind w:left="108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="00FF47BB" w:rsidRPr="00FF47BB">
        <w:rPr>
          <w:rFonts w:ascii="Arial" w:hAnsi="Arial" w:cs="Arial"/>
          <w:i/>
          <w:sz w:val="24"/>
          <w:szCs w:val="24"/>
        </w:rPr>
        <w:t>Se podrán consultar en el micrositio de archivos</w:t>
      </w:r>
    </w:p>
    <w:p w:rsidR="0084424C" w:rsidRDefault="0084424C" w:rsidP="00D27E53">
      <w:pPr>
        <w:pStyle w:val="Prrafodelista"/>
        <w:ind w:left="1080"/>
        <w:jc w:val="both"/>
        <w:rPr>
          <w:rFonts w:ascii="Arial" w:hAnsi="Arial" w:cs="Arial"/>
          <w:sz w:val="28"/>
          <w:szCs w:val="28"/>
        </w:rPr>
      </w:pPr>
    </w:p>
    <w:p w:rsidR="00160248" w:rsidRPr="0084424C" w:rsidRDefault="00160248" w:rsidP="00D27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84424C">
        <w:rPr>
          <w:rFonts w:ascii="Arial" w:hAnsi="Arial" w:cs="Arial"/>
          <w:b/>
          <w:sz w:val="28"/>
          <w:szCs w:val="28"/>
        </w:rPr>
        <w:t>Conclusiones</w:t>
      </w:r>
    </w:p>
    <w:p w:rsidR="00160248" w:rsidRDefault="00160248" w:rsidP="00D27E53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A530A2" w:rsidRDefault="009C4D99" w:rsidP="00A530A2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información que se encuentra resguardada en los archivos del Instituto </w:t>
      </w:r>
      <w:r w:rsidR="00A530A2">
        <w:rPr>
          <w:rFonts w:ascii="Arial" w:hAnsi="Arial" w:cs="Arial"/>
          <w:sz w:val="28"/>
          <w:szCs w:val="28"/>
        </w:rPr>
        <w:t xml:space="preserve">no ha sido depurada por las áreas </w:t>
      </w:r>
      <w:r w:rsidR="0084424C">
        <w:rPr>
          <w:rFonts w:ascii="Arial" w:hAnsi="Arial" w:cs="Arial"/>
          <w:sz w:val="28"/>
          <w:szCs w:val="28"/>
        </w:rPr>
        <w:t>responsables. E</w:t>
      </w:r>
      <w:r w:rsidR="000B5597">
        <w:rPr>
          <w:rFonts w:ascii="Arial" w:hAnsi="Arial" w:cs="Arial"/>
          <w:sz w:val="28"/>
          <w:szCs w:val="28"/>
        </w:rPr>
        <w:t>n este sentido, se identificó</w:t>
      </w:r>
      <w:r w:rsidR="00A530A2">
        <w:rPr>
          <w:rFonts w:ascii="Arial" w:hAnsi="Arial" w:cs="Arial"/>
          <w:sz w:val="28"/>
          <w:szCs w:val="28"/>
        </w:rPr>
        <w:t xml:space="preserve"> que existen algunas situaciones por las cuales dicha depuración no se ha realizado, entre estas podemos mencionar las siguientes:</w:t>
      </w:r>
    </w:p>
    <w:p w:rsidR="000B5597" w:rsidRDefault="000B5597" w:rsidP="00A530A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A530A2" w:rsidRDefault="00A530A2" w:rsidP="00291D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Falta de tiempo destinado específicamente a esas tareas, </w:t>
      </w:r>
      <w:r w:rsidR="0084424C">
        <w:rPr>
          <w:rFonts w:ascii="Arial" w:hAnsi="Arial" w:cs="Arial"/>
          <w:sz w:val="28"/>
          <w:szCs w:val="28"/>
        </w:rPr>
        <w:t>propiciada por</w:t>
      </w:r>
      <w:r>
        <w:rPr>
          <w:rFonts w:ascii="Arial" w:hAnsi="Arial" w:cs="Arial"/>
          <w:sz w:val="28"/>
          <w:szCs w:val="28"/>
        </w:rPr>
        <w:t xml:space="preserve"> las c</w:t>
      </w:r>
      <w:r w:rsidRPr="00A530A2">
        <w:rPr>
          <w:rFonts w:ascii="Arial" w:hAnsi="Arial" w:cs="Arial"/>
          <w:sz w:val="28"/>
          <w:szCs w:val="28"/>
        </w:rPr>
        <w:t>argas de trabajo en las áreas</w:t>
      </w:r>
      <w:r>
        <w:rPr>
          <w:rFonts w:ascii="Arial" w:hAnsi="Arial" w:cs="Arial"/>
          <w:sz w:val="28"/>
          <w:szCs w:val="28"/>
        </w:rPr>
        <w:t>;</w:t>
      </w:r>
    </w:p>
    <w:p w:rsidR="00A530A2" w:rsidRDefault="00A530A2" w:rsidP="00291D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Falta de interés;</w:t>
      </w:r>
    </w:p>
    <w:p w:rsidR="00A530A2" w:rsidRDefault="00A530A2" w:rsidP="00291D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Capacitación institucional insuficiente;</w:t>
      </w:r>
    </w:p>
    <w:p w:rsidR="00A530A2" w:rsidRDefault="00A530A2" w:rsidP="00291D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Rotación de personal designado a tareas de archivo;</w:t>
      </w:r>
    </w:p>
    <w:p w:rsidR="00A530A2" w:rsidRDefault="00A530A2" w:rsidP="00291D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 e insumos insuficientes;</w:t>
      </w:r>
    </w:p>
    <w:p w:rsidR="00A530A2" w:rsidRDefault="00A530A2" w:rsidP="00291D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Falta de espacio, y</w:t>
      </w:r>
    </w:p>
    <w:p w:rsidR="00A530A2" w:rsidRDefault="00A530A2" w:rsidP="00291DB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Regulación institucional insuficiente.</w:t>
      </w:r>
    </w:p>
    <w:p w:rsidR="00A530A2" w:rsidRDefault="00A530A2" w:rsidP="00A530A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A530A2" w:rsidRDefault="00A530A2" w:rsidP="00A530A2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Aunado a lo anterior, las condiciones de humedad que existen</w:t>
      </w:r>
      <w:r w:rsidR="000B5597">
        <w:rPr>
          <w:rFonts w:ascii="Arial" w:hAnsi="Arial" w:cs="Arial"/>
          <w:sz w:val="28"/>
          <w:szCs w:val="28"/>
        </w:rPr>
        <w:t xml:space="preserve"> en el archivo de concentración</w:t>
      </w:r>
      <w:r>
        <w:rPr>
          <w:rFonts w:ascii="Arial" w:hAnsi="Arial" w:cs="Arial"/>
          <w:sz w:val="28"/>
          <w:szCs w:val="28"/>
        </w:rPr>
        <w:t>, no favorecen la conservación de los documentos</w:t>
      </w:r>
      <w:r w:rsidR="000B5597">
        <w:rPr>
          <w:rFonts w:ascii="Arial" w:hAnsi="Arial" w:cs="Arial"/>
          <w:sz w:val="28"/>
          <w:szCs w:val="28"/>
        </w:rPr>
        <w:t xml:space="preserve"> y constituyen un riesgo permanente para el deterioro de la información</w:t>
      </w:r>
      <w:r>
        <w:rPr>
          <w:rFonts w:ascii="Arial" w:hAnsi="Arial" w:cs="Arial"/>
          <w:sz w:val="28"/>
          <w:szCs w:val="28"/>
        </w:rPr>
        <w:t>.</w:t>
      </w:r>
    </w:p>
    <w:p w:rsidR="00A530A2" w:rsidRDefault="00A530A2" w:rsidP="00A530A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A530A2" w:rsidRDefault="00A530A2" w:rsidP="00A530A2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cuanto a los instrumentos de control y consulta archivística se observó que los mismos cumplen con las disposiciones vigentes y reflejan las atribuc</w:t>
      </w:r>
      <w:r w:rsidR="000B5597">
        <w:rPr>
          <w:rFonts w:ascii="Arial" w:hAnsi="Arial" w:cs="Arial"/>
          <w:sz w:val="28"/>
          <w:szCs w:val="28"/>
        </w:rPr>
        <w:t>iones principales del Instituto, sin embargo la regulación existente es insuficiente para contar con una adecuada organización documental.</w:t>
      </w:r>
    </w:p>
    <w:p w:rsidR="00A530A2" w:rsidRDefault="00A530A2" w:rsidP="00A530A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0B5597" w:rsidRDefault="000B5597" w:rsidP="00D27E53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importante mencionar que aun y cuando los esfuerzos realizados por el área coordinadora de archivos han sido </w:t>
      </w:r>
      <w:r>
        <w:rPr>
          <w:rFonts w:ascii="Arial" w:hAnsi="Arial" w:cs="Arial"/>
          <w:sz w:val="28"/>
          <w:szCs w:val="28"/>
        </w:rPr>
        <w:lastRenderedPageBreak/>
        <w:t>efectivos, se requiere la participación activa de las áreas responsables de la información en todos y cada uno de las actividades programadas en el Plan de anual de desarrollo archivístico.</w:t>
      </w:r>
    </w:p>
    <w:p w:rsidR="0084424C" w:rsidRDefault="0084424C" w:rsidP="00D27E53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0B5597" w:rsidRDefault="000B5597" w:rsidP="00D27E53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considera indispensable que se lleve a cabo la difusión Institucional de los instrumentos de control y consulta archivística, con el propósito de que los servidores públicos del INAIP puedan implementarlos y aplicar los elementos citados al tratamiento adecuado de sus archivos. </w:t>
      </w:r>
    </w:p>
    <w:p w:rsidR="000B5597" w:rsidRDefault="000B5597" w:rsidP="00D27E53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BB0C12" w:rsidRPr="0084424C" w:rsidRDefault="009C4D99" w:rsidP="00D27E53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B0C12" w:rsidRPr="0084424C" w:rsidRDefault="00BB0C12" w:rsidP="00D27E53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</w:p>
    <w:p w:rsidR="00160248" w:rsidRPr="0084424C" w:rsidRDefault="00160248" w:rsidP="00D27E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84424C">
        <w:rPr>
          <w:rFonts w:ascii="Arial" w:hAnsi="Arial" w:cs="Arial"/>
          <w:b/>
          <w:sz w:val="28"/>
          <w:szCs w:val="28"/>
        </w:rPr>
        <w:t>Recomendaciones</w:t>
      </w:r>
    </w:p>
    <w:p w:rsidR="00160248" w:rsidRDefault="00160248" w:rsidP="00D27E53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291DB1" w:rsidRPr="0084424C" w:rsidRDefault="00291DB1" w:rsidP="00D27E53">
      <w:pPr>
        <w:pStyle w:val="Prrafodelista"/>
        <w:jc w:val="both"/>
        <w:rPr>
          <w:rFonts w:ascii="Arial" w:hAnsi="Arial" w:cs="Arial"/>
          <w:sz w:val="28"/>
          <w:szCs w:val="28"/>
          <w:u w:val="single"/>
        </w:rPr>
      </w:pPr>
      <w:r w:rsidRPr="0084424C">
        <w:rPr>
          <w:rFonts w:ascii="Arial" w:hAnsi="Arial" w:cs="Arial"/>
          <w:sz w:val="28"/>
          <w:szCs w:val="28"/>
          <w:u w:val="single"/>
        </w:rPr>
        <w:t>De carácter normativo:</w:t>
      </w:r>
    </w:p>
    <w:p w:rsidR="009C4D99" w:rsidRDefault="000B5597" w:rsidP="000B5597">
      <w:pPr>
        <w:pStyle w:val="Prrafodelista"/>
        <w:numPr>
          <w:ilvl w:val="0"/>
          <w:numId w:val="2"/>
        </w:numPr>
        <w:tabs>
          <w:tab w:val="left" w:pos="124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Actualizar los instrumentos de </w:t>
      </w:r>
      <w:r w:rsidR="00291DB1">
        <w:rPr>
          <w:rFonts w:ascii="Arial" w:hAnsi="Arial" w:cs="Arial"/>
          <w:sz w:val="28"/>
          <w:szCs w:val="28"/>
        </w:rPr>
        <w:t>control y consulta archivísticos, respetando los códigos archivísticos asignados.</w:t>
      </w:r>
    </w:p>
    <w:p w:rsidR="00291DB1" w:rsidRDefault="00291DB1" w:rsidP="000B5597">
      <w:pPr>
        <w:pStyle w:val="Prrafodelista"/>
        <w:numPr>
          <w:ilvl w:val="0"/>
          <w:numId w:val="2"/>
        </w:numPr>
        <w:tabs>
          <w:tab w:val="left" w:pos="124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Elaborar las fichas técnicas por cada serie documental señalada en los instrumentos de control.</w:t>
      </w:r>
    </w:p>
    <w:p w:rsidR="00291DB1" w:rsidRDefault="00291DB1" w:rsidP="000B5597">
      <w:pPr>
        <w:pStyle w:val="Prrafodelista"/>
        <w:numPr>
          <w:ilvl w:val="0"/>
          <w:numId w:val="2"/>
        </w:numPr>
        <w:tabs>
          <w:tab w:val="left" w:pos="124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Brindar capacitación continua en materia de archivos al personal del Instituto.</w:t>
      </w:r>
    </w:p>
    <w:p w:rsidR="00291DB1" w:rsidRDefault="00291DB1" w:rsidP="000B5597">
      <w:pPr>
        <w:pStyle w:val="Prrafodelista"/>
        <w:numPr>
          <w:ilvl w:val="0"/>
          <w:numId w:val="2"/>
        </w:numPr>
        <w:tabs>
          <w:tab w:val="left" w:pos="124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Elaborar procedimientos operativos para el control y administración de los archivos institucionales.</w:t>
      </w:r>
    </w:p>
    <w:p w:rsidR="00291DB1" w:rsidRDefault="00291DB1" w:rsidP="000B5597">
      <w:pPr>
        <w:pStyle w:val="Prrafodelista"/>
        <w:numPr>
          <w:ilvl w:val="0"/>
          <w:numId w:val="2"/>
        </w:numPr>
        <w:tabs>
          <w:tab w:val="left" w:pos="124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Adecuar los espacios destinados a la guarda de documentos</w:t>
      </w:r>
    </w:p>
    <w:p w:rsidR="00291DB1" w:rsidRDefault="00291DB1" w:rsidP="000B5597">
      <w:pPr>
        <w:pStyle w:val="Prrafodelista"/>
        <w:numPr>
          <w:ilvl w:val="0"/>
          <w:numId w:val="2"/>
        </w:numPr>
        <w:tabs>
          <w:tab w:val="left" w:pos="124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Diseñar en coordinación con el área de Tecnologías de la información, un sistema de gestión documental que promueva el uso adecuado y eficiente de la información.</w:t>
      </w:r>
    </w:p>
    <w:p w:rsidR="00291DB1" w:rsidRPr="00E11218" w:rsidRDefault="00291DB1" w:rsidP="00E11218">
      <w:pPr>
        <w:tabs>
          <w:tab w:val="left" w:pos="1247"/>
        </w:tabs>
        <w:ind w:left="1245"/>
        <w:jc w:val="both"/>
        <w:rPr>
          <w:rFonts w:ascii="Arial" w:hAnsi="Arial" w:cs="Arial"/>
          <w:sz w:val="28"/>
          <w:szCs w:val="28"/>
        </w:rPr>
      </w:pPr>
    </w:p>
    <w:p w:rsidR="009C4D99" w:rsidRDefault="00E11218" w:rsidP="00D27E53">
      <w:pPr>
        <w:pStyle w:val="Prrafodelist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carácter operativo:</w:t>
      </w:r>
    </w:p>
    <w:p w:rsidR="00BA567E" w:rsidRDefault="00BA567E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Elaborar el inventario documental del archivo de concentración</w:t>
      </w:r>
    </w:p>
    <w:p w:rsidR="00BA567E" w:rsidRDefault="00BA567E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Identificar la documentación que pudiera constituir parte del archivo histórico.</w:t>
      </w:r>
    </w:p>
    <w:p w:rsidR="00BA567E" w:rsidRDefault="00BA567E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Identificar los expedientes del archivo de concentración, con el formato de caratula correspondiente;</w:t>
      </w:r>
    </w:p>
    <w:p w:rsidR="00BA567E" w:rsidRDefault="00BA567E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Separar la documentación que se encuentra siniestrada, (mojada e ilegible)</w:t>
      </w:r>
    </w:p>
    <w:p w:rsidR="00BA567E" w:rsidRDefault="00BA567E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el reacomodo de las cajas de archivo</w:t>
      </w:r>
    </w:p>
    <w:p w:rsidR="00BA567E" w:rsidRDefault="00BA567E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Identificar las áreas responsables de la documentación</w:t>
      </w:r>
    </w:p>
    <w:p w:rsidR="00BA567E" w:rsidRDefault="00BA567E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Asignar la ubicación topográfica de las cajas del archivo de concentración</w:t>
      </w:r>
    </w:p>
    <w:p w:rsidR="00BA567E" w:rsidRDefault="00BA567E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Identificar la ubicación de las cajas en el inventario documental y en los anaqueles y archiveros del archivo de concentración</w:t>
      </w:r>
    </w:p>
    <w:p w:rsidR="00BA567E" w:rsidRDefault="00BA567E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Validar con los responsables de los archivos de trámite de las áreas, los códigos archivísticos asignados a las caratulas de los expedientes resguardados en el archivo de concentración</w:t>
      </w:r>
    </w:p>
    <w:p w:rsidR="00AC4B81" w:rsidRDefault="00AC4B81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Llevar a cabo las bajas documentales de la información que ya cumplió con los plazos de conservación</w:t>
      </w:r>
    </w:p>
    <w:p w:rsidR="00AC4B81" w:rsidRDefault="00AC4B81" w:rsidP="00BA567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el trámite de baja correspondiente, respecto de la documentación siniestrada (mojada e ilegible)</w:t>
      </w:r>
    </w:p>
    <w:p w:rsidR="00AC4B81" w:rsidRDefault="00AC4B81" w:rsidP="00AC4B81">
      <w:pPr>
        <w:pStyle w:val="Prrafodelista"/>
        <w:ind w:left="1776"/>
        <w:jc w:val="both"/>
        <w:rPr>
          <w:rFonts w:ascii="Arial" w:hAnsi="Arial" w:cs="Arial"/>
          <w:sz w:val="28"/>
          <w:szCs w:val="28"/>
        </w:rPr>
      </w:pPr>
    </w:p>
    <w:p w:rsidR="00AC4B81" w:rsidRDefault="00AC4B81" w:rsidP="00AC4B81">
      <w:pPr>
        <w:pStyle w:val="Prrafodelista"/>
        <w:ind w:left="1776"/>
        <w:jc w:val="both"/>
        <w:rPr>
          <w:rFonts w:ascii="Arial" w:hAnsi="Arial" w:cs="Arial"/>
          <w:sz w:val="28"/>
          <w:szCs w:val="28"/>
        </w:rPr>
      </w:pPr>
    </w:p>
    <w:p w:rsidR="00AC4B81" w:rsidRDefault="00AC4B81" w:rsidP="00AC4B81">
      <w:pPr>
        <w:pStyle w:val="Prrafodelista"/>
        <w:ind w:left="1776"/>
        <w:jc w:val="both"/>
        <w:rPr>
          <w:rFonts w:ascii="Arial" w:hAnsi="Arial" w:cs="Arial"/>
          <w:sz w:val="28"/>
          <w:szCs w:val="28"/>
        </w:rPr>
      </w:pPr>
    </w:p>
    <w:p w:rsidR="00AC4B81" w:rsidRDefault="00AC4B81" w:rsidP="00AC4B81">
      <w:pPr>
        <w:pStyle w:val="Prrafodelista"/>
        <w:ind w:left="1776"/>
        <w:jc w:val="both"/>
        <w:rPr>
          <w:rFonts w:ascii="Arial" w:hAnsi="Arial" w:cs="Arial"/>
          <w:sz w:val="28"/>
          <w:szCs w:val="28"/>
        </w:rPr>
      </w:pPr>
    </w:p>
    <w:p w:rsidR="00AC4B81" w:rsidRDefault="00AC4B81" w:rsidP="00AC4B81">
      <w:pPr>
        <w:pStyle w:val="Prrafodelista"/>
        <w:ind w:left="1776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C4B81" w:rsidRDefault="00AC4B81" w:rsidP="00AC4B81">
      <w:pPr>
        <w:pStyle w:val="Prrafodelista"/>
        <w:ind w:left="1776"/>
        <w:jc w:val="center"/>
        <w:rPr>
          <w:rFonts w:ascii="Arial" w:hAnsi="Arial" w:cs="Arial"/>
          <w:b/>
          <w:sz w:val="28"/>
          <w:szCs w:val="28"/>
        </w:rPr>
      </w:pPr>
    </w:p>
    <w:p w:rsidR="00AC4B81" w:rsidRDefault="00AC4B81" w:rsidP="00AC4B81">
      <w:pPr>
        <w:pStyle w:val="Prrafodelista"/>
        <w:ind w:left="1776"/>
        <w:jc w:val="center"/>
        <w:rPr>
          <w:rFonts w:ascii="Arial" w:hAnsi="Arial" w:cs="Arial"/>
          <w:b/>
          <w:sz w:val="28"/>
          <w:szCs w:val="28"/>
        </w:rPr>
      </w:pPr>
    </w:p>
    <w:p w:rsidR="00AC4B81" w:rsidRDefault="00AC4B81" w:rsidP="00AC4B81">
      <w:pPr>
        <w:pStyle w:val="Prrafodelista"/>
        <w:ind w:left="1776"/>
        <w:jc w:val="center"/>
        <w:rPr>
          <w:rFonts w:ascii="Arial" w:hAnsi="Arial" w:cs="Arial"/>
          <w:b/>
          <w:sz w:val="28"/>
          <w:szCs w:val="28"/>
        </w:rPr>
      </w:pPr>
    </w:p>
    <w:p w:rsidR="00AC4B81" w:rsidRPr="00AC4B81" w:rsidRDefault="00AC4B81" w:rsidP="00AC4B81">
      <w:pPr>
        <w:pStyle w:val="Prrafodelista"/>
        <w:ind w:left="1776"/>
        <w:jc w:val="center"/>
        <w:rPr>
          <w:rFonts w:ascii="Arial" w:hAnsi="Arial" w:cs="Arial"/>
          <w:b/>
          <w:sz w:val="28"/>
          <w:szCs w:val="28"/>
        </w:rPr>
      </w:pPr>
      <w:r w:rsidRPr="00AC4B81">
        <w:rPr>
          <w:rFonts w:ascii="Arial" w:hAnsi="Arial" w:cs="Arial"/>
          <w:b/>
          <w:sz w:val="28"/>
          <w:szCs w:val="28"/>
        </w:rPr>
        <w:t>Mtra. A. Zulema Tovar Figueroa</w:t>
      </w:r>
    </w:p>
    <w:p w:rsidR="00AC4B81" w:rsidRPr="00AC4B81" w:rsidRDefault="00AC4B81" w:rsidP="00AC4B81">
      <w:pPr>
        <w:pStyle w:val="Prrafodelista"/>
        <w:ind w:left="1776"/>
        <w:jc w:val="center"/>
        <w:rPr>
          <w:rFonts w:ascii="Arial" w:hAnsi="Arial" w:cs="Arial"/>
          <w:b/>
          <w:sz w:val="28"/>
          <w:szCs w:val="28"/>
        </w:rPr>
      </w:pPr>
      <w:r w:rsidRPr="00AC4B81">
        <w:rPr>
          <w:rFonts w:ascii="Arial" w:hAnsi="Arial" w:cs="Arial"/>
          <w:b/>
          <w:sz w:val="28"/>
          <w:szCs w:val="28"/>
        </w:rPr>
        <w:t>Coordinación de archivos del INAIP</w:t>
      </w:r>
    </w:p>
    <w:p w:rsidR="00BA567E" w:rsidRDefault="00BA567E" w:rsidP="00BA567E">
      <w:pPr>
        <w:pStyle w:val="Prrafodelista"/>
        <w:ind w:left="1776"/>
        <w:jc w:val="both"/>
        <w:rPr>
          <w:rFonts w:ascii="Arial" w:hAnsi="Arial" w:cs="Arial"/>
          <w:sz w:val="28"/>
          <w:szCs w:val="28"/>
        </w:rPr>
      </w:pPr>
    </w:p>
    <w:p w:rsidR="00160248" w:rsidRPr="009902D6" w:rsidRDefault="00160248" w:rsidP="00D27E53">
      <w:pPr>
        <w:jc w:val="both"/>
        <w:rPr>
          <w:rFonts w:ascii="Arial" w:hAnsi="Arial" w:cs="Arial"/>
          <w:sz w:val="28"/>
          <w:szCs w:val="28"/>
        </w:rPr>
      </w:pPr>
    </w:p>
    <w:p w:rsidR="00160248" w:rsidRPr="009902D6" w:rsidRDefault="00160248" w:rsidP="00D27E53">
      <w:pPr>
        <w:jc w:val="both"/>
        <w:rPr>
          <w:rFonts w:ascii="Arial" w:hAnsi="Arial" w:cs="Arial"/>
          <w:sz w:val="28"/>
          <w:szCs w:val="28"/>
        </w:rPr>
      </w:pPr>
    </w:p>
    <w:sectPr w:rsidR="00160248" w:rsidRPr="009902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C0" w:rsidRDefault="00043AC0" w:rsidP="008E65FA">
      <w:pPr>
        <w:spacing w:after="0" w:line="240" w:lineRule="auto"/>
      </w:pPr>
      <w:r>
        <w:separator/>
      </w:r>
    </w:p>
  </w:endnote>
  <w:endnote w:type="continuationSeparator" w:id="0">
    <w:p w:rsidR="00043AC0" w:rsidRDefault="00043AC0" w:rsidP="008E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C0" w:rsidRDefault="00043AC0" w:rsidP="008E65FA">
      <w:pPr>
        <w:spacing w:after="0" w:line="240" w:lineRule="auto"/>
      </w:pPr>
      <w:r>
        <w:separator/>
      </w:r>
    </w:p>
  </w:footnote>
  <w:footnote w:type="continuationSeparator" w:id="0">
    <w:p w:rsidR="00043AC0" w:rsidRDefault="00043AC0" w:rsidP="008E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174" w:rsidRDefault="00B13174" w:rsidP="008E65FA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B13174" w:rsidRDefault="00B13174" w:rsidP="008E65FA">
    <w:pPr>
      <w:pStyle w:val="Encabezado"/>
      <w:jc w:val="center"/>
      <w:rPr>
        <w:rFonts w:ascii="Arial" w:hAnsi="Arial" w:cs="Arial"/>
        <w:b/>
        <w:sz w:val="28"/>
        <w:szCs w:val="28"/>
      </w:rPr>
    </w:pPr>
  </w:p>
  <w:p w:rsidR="008E65FA" w:rsidRPr="008E65FA" w:rsidRDefault="008E65FA" w:rsidP="008E65FA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8E65FA">
      <w:rPr>
        <w:rFonts w:ascii="Arial" w:hAnsi="Arial" w:cs="Arial"/>
        <w:b/>
        <w:sz w:val="28"/>
        <w:szCs w:val="28"/>
      </w:rPr>
      <w:t>Diagnóstico de archivos del INAIP Yucatán</w:t>
    </w:r>
  </w:p>
  <w:p w:rsidR="008E65FA" w:rsidRDefault="008E65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645"/>
    <w:multiLevelType w:val="hybridMultilevel"/>
    <w:tmpl w:val="1D14F446"/>
    <w:lvl w:ilvl="0" w:tplc="E47C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126AB"/>
    <w:multiLevelType w:val="hybridMultilevel"/>
    <w:tmpl w:val="6510B4D0"/>
    <w:lvl w:ilvl="0" w:tplc="C2D29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E7861"/>
    <w:multiLevelType w:val="hybridMultilevel"/>
    <w:tmpl w:val="0876E5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0D1F4B"/>
    <w:multiLevelType w:val="hybridMultilevel"/>
    <w:tmpl w:val="B5A4CE22"/>
    <w:lvl w:ilvl="0" w:tplc="F1B2F85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25" w:hanging="360"/>
      </w:pPr>
    </w:lvl>
    <w:lvl w:ilvl="2" w:tplc="080A001B" w:tentative="1">
      <w:start w:val="1"/>
      <w:numFmt w:val="lowerRoman"/>
      <w:lvlText w:val="%3."/>
      <w:lvlJc w:val="right"/>
      <w:pPr>
        <w:ind w:left="3045" w:hanging="180"/>
      </w:pPr>
    </w:lvl>
    <w:lvl w:ilvl="3" w:tplc="080A000F" w:tentative="1">
      <w:start w:val="1"/>
      <w:numFmt w:val="decimal"/>
      <w:lvlText w:val="%4."/>
      <w:lvlJc w:val="left"/>
      <w:pPr>
        <w:ind w:left="3765" w:hanging="360"/>
      </w:pPr>
    </w:lvl>
    <w:lvl w:ilvl="4" w:tplc="080A0019" w:tentative="1">
      <w:start w:val="1"/>
      <w:numFmt w:val="lowerLetter"/>
      <w:lvlText w:val="%5."/>
      <w:lvlJc w:val="left"/>
      <w:pPr>
        <w:ind w:left="4485" w:hanging="360"/>
      </w:pPr>
    </w:lvl>
    <w:lvl w:ilvl="5" w:tplc="080A001B" w:tentative="1">
      <w:start w:val="1"/>
      <w:numFmt w:val="lowerRoman"/>
      <w:lvlText w:val="%6."/>
      <w:lvlJc w:val="right"/>
      <w:pPr>
        <w:ind w:left="5205" w:hanging="180"/>
      </w:pPr>
    </w:lvl>
    <w:lvl w:ilvl="6" w:tplc="080A000F" w:tentative="1">
      <w:start w:val="1"/>
      <w:numFmt w:val="decimal"/>
      <w:lvlText w:val="%7."/>
      <w:lvlJc w:val="left"/>
      <w:pPr>
        <w:ind w:left="5925" w:hanging="360"/>
      </w:pPr>
    </w:lvl>
    <w:lvl w:ilvl="7" w:tplc="080A0019" w:tentative="1">
      <w:start w:val="1"/>
      <w:numFmt w:val="lowerLetter"/>
      <w:lvlText w:val="%8."/>
      <w:lvlJc w:val="left"/>
      <w:pPr>
        <w:ind w:left="6645" w:hanging="360"/>
      </w:pPr>
    </w:lvl>
    <w:lvl w:ilvl="8" w:tplc="080A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59B9641D"/>
    <w:multiLevelType w:val="hybridMultilevel"/>
    <w:tmpl w:val="53DEF868"/>
    <w:lvl w:ilvl="0" w:tplc="1CB493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48"/>
    <w:rsid w:val="00043AC0"/>
    <w:rsid w:val="000B5597"/>
    <w:rsid w:val="000E6520"/>
    <w:rsid w:val="0012731C"/>
    <w:rsid w:val="001364F7"/>
    <w:rsid w:val="00144F06"/>
    <w:rsid w:val="00160248"/>
    <w:rsid w:val="002204DD"/>
    <w:rsid w:val="00291DB1"/>
    <w:rsid w:val="00292813"/>
    <w:rsid w:val="003429A0"/>
    <w:rsid w:val="00351CDA"/>
    <w:rsid w:val="003A3231"/>
    <w:rsid w:val="003A3BBB"/>
    <w:rsid w:val="003E1E5C"/>
    <w:rsid w:val="003E56A3"/>
    <w:rsid w:val="004273F1"/>
    <w:rsid w:val="00435083"/>
    <w:rsid w:val="00460741"/>
    <w:rsid w:val="00465595"/>
    <w:rsid w:val="00527BE7"/>
    <w:rsid w:val="0058725D"/>
    <w:rsid w:val="005B62A9"/>
    <w:rsid w:val="005D293D"/>
    <w:rsid w:val="00665E51"/>
    <w:rsid w:val="0072220F"/>
    <w:rsid w:val="00732E08"/>
    <w:rsid w:val="00795026"/>
    <w:rsid w:val="007C7216"/>
    <w:rsid w:val="007E5678"/>
    <w:rsid w:val="00843C4D"/>
    <w:rsid w:val="0084424C"/>
    <w:rsid w:val="0086272E"/>
    <w:rsid w:val="00864BB1"/>
    <w:rsid w:val="008D4009"/>
    <w:rsid w:val="008E65FA"/>
    <w:rsid w:val="008F1CDF"/>
    <w:rsid w:val="009169F7"/>
    <w:rsid w:val="00921D7F"/>
    <w:rsid w:val="0097474C"/>
    <w:rsid w:val="009902D6"/>
    <w:rsid w:val="009C4D99"/>
    <w:rsid w:val="00A271A4"/>
    <w:rsid w:val="00A530A2"/>
    <w:rsid w:val="00AC4B81"/>
    <w:rsid w:val="00AE359A"/>
    <w:rsid w:val="00B0477A"/>
    <w:rsid w:val="00B13174"/>
    <w:rsid w:val="00B73517"/>
    <w:rsid w:val="00B82B1A"/>
    <w:rsid w:val="00BA567E"/>
    <w:rsid w:val="00BB0C12"/>
    <w:rsid w:val="00C16984"/>
    <w:rsid w:val="00CB375A"/>
    <w:rsid w:val="00D27E53"/>
    <w:rsid w:val="00D47FD9"/>
    <w:rsid w:val="00D563FB"/>
    <w:rsid w:val="00DB0D28"/>
    <w:rsid w:val="00DC089D"/>
    <w:rsid w:val="00DE0F77"/>
    <w:rsid w:val="00E11218"/>
    <w:rsid w:val="00E24887"/>
    <w:rsid w:val="00F505BA"/>
    <w:rsid w:val="00F945C8"/>
    <w:rsid w:val="00FE76CA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996B"/>
  <w15:chartTrackingRefBased/>
  <w15:docId w15:val="{EEC9C656-EA79-42D1-A650-F1C362B4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24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5FA"/>
  </w:style>
  <w:style w:type="paragraph" w:styleId="Piedepgina">
    <w:name w:val="footer"/>
    <w:basedOn w:val="Normal"/>
    <w:link w:val="PiedepginaCar"/>
    <w:uiPriority w:val="99"/>
    <w:unhideWhenUsed/>
    <w:rsid w:val="008E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1314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SE</dc:creator>
  <cp:keywords/>
  <dc:description/>
  <cp:lastModifiedBy>Archivo</cp:lastModifiedBy>
  <cp:revision>3</cp:revision>
  <dcterms:created xsi:type="dcterms:W3CDTF">2019-01-22T21:01:00Z</dcterms:created>
  <dcterms:modified xsi:type="dcterms:W3CDTF">2019-01-22T21:03:00Z</dcterms:modified>
</cp:coreProperties>
</file>